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61CC" w:rsidRDefault="002361CC" w:rsidP="00E17EB5">
      <w:pPr>
        <w:rPr>
          <w:u w:val="single"/>
        </w:rPr>
      </w:pPr>
    </w:p>
    <w:p w:rsidR="001C60E9" w:rsidRPr="00A85BFE" w:rsidRDefault="001C60E9" w:rsidP="001C60E9">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9264" behindDoc="0" locked="0" layoutInCell="1" allowOverlap="1" wp14:anchorId="49FBE5D8" wp14:editId="5FAD66D5">
            <wp:simplePos x="0" y="0"/>
            <wp:positionH relativeFrom="column">
              <wp:posOffset>57150</wp:posOffset>
            </wp:positionH>
            <wp:positionV relativeFrom="paragraph">
              <wp:posOffset>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6D4D0207">
        <w:rPr>
          <w:rFonts w:ascii="Arial" w:hAnsi="Arial" w:cs="Arial"/>
          <w:b/>
          <w:bCs/>
          <w:sz w:val="28"/>
          <w:szCs w:val="28"/>
        </w:rPr>
        <w:t>APPENDIX GA36c</w:t>
      </w:r>
    </w:p>
    <w:p w:rsidR="001C60E9" w:rsidRPr="00A406E5" w:rsidRDefault="001C60E9" w:rsidP="001C60E9">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8"/>
      </w:tblGrid>
      <w:tr w:rsidR="001C60E9" w:rsidRPr="00A406E5" w:rsidTr="00B34E3C">
        <w:tc>
          <w:tcPr>
            <w:tcW w:w="9922" w:type="dxa"/>
            <w:shd w:val="clear" w:color="auto" w:fill="C0C0C0"/>
          </w:tcPr>
          <w:p w:rsidR="001C60E9" w:rsidRPr="00A406E5" w:rsidRDefault="001C60E9" w:rsidP="00B34E3C">
            <w:pPr>
              <w:pStyle w:val="Heading4"/>
              <w:rPr>
                <w:rFonts w:ascii="Arial" w:hAnsi="Arial" w:cs="Arial"/>
                <w:b/>
                <w:bCs/>
              </w:rPr>
            </w:pPr>
            <w:r w:rsidRPr="6D4D0207">
              <w:rPr>
                <w:rFonts w:ascii="Arial" w:hAnsi="Arial" w:cs="Arial"/>
                <w:b/>
                <w:bCs/>
              </w:rPr>
              <w:t xml:space="preserve">LEVEL 6 ASSESSMENT SPECIFICATION </w:t>
            </w:r>
          </w:p>
        </w:tc>
      </w:tr>
    </w:tbl>
    <w:p w:rsidR="001C60E9" w:rsidRPr="00A406E5" w:rsidRDefault="001C60E9" w:rsidP="001C60E9">
      <w:pPr>
        <w:jc w:val="center"/>
        <w:rPr>
          <w:rFonts w:ascii="Arial" w:hAnsi="Arial" w:cs="Arial"/>
          <w:b/>
          <w:i/>
          <w:sz w:val="32"/>
        </w:rPr>
      </w:pPr>
    </w:p>
    <w:tbl>
      <w:tblPr>
        <w:tblW w:w="992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1C60E9" w:rsidRPr="00A406E5" w:rsidTr="00B34E3C">
        <w:tc>
          <w:tcPr>
            <w:tcW w:w="2093"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Student name:</w:t>
            </w:r>
          </w:p>
        </w:tc>
        <w:tc>
          <w:tcPr>
            <w:tcW w:w="3293" w:type="dxa"/>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Jesse Jones</w:t>
            </w:r>
          </w:p>
        </w:tc>
        <w:tc>
          <w:tcPr>
            <w:tcW w:w="2268" w:type="dxa"/>
            <w:shd w:val="clear" w:color="auto" w:fill="D9D9D9" w:themeFill="background1" w:themeFillShade="D9"/>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Student ID number:</w:t>
            </w:r>
          </w:p>
        </w:tc>
        <w:tc>
          <w:tcPr>
            <w:tcW w:w="2268" w:type="dxa"/>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1803469</w:t>
            </w:r>
          </w:p>
        </w:tc>
      </w:tr>
      <w:tr w:rsidR="001C60E9" w:rsidRPr="00A406E5" w:rsidTr="00B34E3C">
        <w:tc>
          <w:tcPr>
            <w:tcW w:w="2093"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Programme:</w:t>
            </w:r>
          </w:p>
        </w:tc>
        <w:tc>
          <w:tcPr>
            <w:tcW w:w="7829" w:type="dxa"/>
            <w:gridSpan w:val="3"/>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Secondary PGCE</w:t>
            </w:r>
          </w:p>
        </w:tc>
      </w:tr>
      <w:tr w:rsidR="001C60E9" w:rsidRPr="00A406E5" w:rsidTr="00B34E3C">
        <w:tc>
          <w:tcPr>
            <w:tcW w:w="2093"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Module:</w:t>
            </w:r>
          </w:p>
        </w:tc>
        <w:tc>
          <w:tcPr>
            <w:tcW w:w="7829" w:type="dxa"/>
            <w:gridSpan w:val="3"/>
            <w:shd w:val="clear" w:color="auto" w:fill="auto"/>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 xml:space="preserve">Principles of Teaching, Learning and Pedagogy in the Secondary Sector </w:t>
            </w:r>
          </w:p>
        </w:tc>
      </w:tr>
      <w:tr w:rsidR="001C60E9" w:rsidRPr="00A406E5" w:rsidTr="00B34E3C">
        <w:tc>
          <w:tcPr>
            <w:tcW w:w="2093"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Module code:</w:t>
            </w:r>
          </w:p>
        </w:tc>
        <w:tc>
          <w:tcPr>
            <w:tcW w:w="3293" w:type="dxa"/>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ECSP6001</w:t>
            </w:r>
          </w:p>
        </w:tc>
        <w:tc>
          <w:tcPr>
            <w:tcW w:w="2268" w:type="dxa"/>
            <w:shd w:val="clear" w:color="auto" w:fill="D9D9D9" w:themeFill="background1" w:themeFillShade="D9"/>
          </w:tcPr>
          <w:p w:rsidR="001C60E9" w:rsidRPr="004D5E9B" w:rsidRDefault="001C60E9" w:rsidP="00B34E3C">
            <w:pPr>
              <w:pStyle w:val="Heading2"/>
              <w:rPr>
                <w:rFonts w:ascii="Arial" w:hAnsi="Arial" w:cs="Arial"/>
                <w:sz w:val="22"/>
                <w:szCs w:val="22"/>
              </w:rPr>
            </w:pPr>
            <w:r w:rsidRPr="6D4D0207">
              <w:rPr>
                <w:rFonts w:ascii="Arial" w:hAnsi="Arial" w:cs="Arial"/>
                <w:sz w:val="22"/>
                <w:szCs w:val="22"/>
              </w:rPr>
              <w:t>Contribution to Overall Module Assessment (%):</w:t>
            </w:r>
          </w:p>
        </w:tc>
        <w:tc>
          <w:tcPr>
            <w:tcW w:w="2268" w:type="dxa"/>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50%</w:t>
            </w:r>
          </w:p>
        </w:tc>
      </w:tr>
      <w:tr w:rsidR="001C60E9" w:rsidRPr="00A406E5" w:rsidTr="00B34E3C">
        <w:tc>
          <w:tcPr>
            <w:tcW w:w="2093"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Lecturer:</w:t>
            </w:r>
          </w:p>
        </w:tc>
        <w:tc>
          <w:tcPr>
            <w:tcW w:w="3293" w:type="dxa"/>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 xml:space="preserve">Alison S Evans </w:t>
            </w:r>
          </w:p>
        </w:tc>
        <w:tc>
          <w:tcPr>
            <w:tcW w:w="2268" w:type="dxa"/>
            <w:shd w:val="clear" w:color="auto" w:fill="D9D9D9" w:themeFill="background1" w:themeFillShade="D9"/>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Internal Verifier:</w:t>
            </w:r>
          </w:p>
        </w:tc>
        <w:tc>
          <w:tcPr>
            <w:tcW w:w="2268" w:type="dxa"/>
          </w:tcPr>
          <w:p w:rsidR="001C60E9" w:rsidRPr="00A406E5" w:rsidRDefault="001C60E9" w:rsidP="00B34E3C">
            <w:pPr>
              <w:spacing w:before="120" w:after="120"/>
              <w:jc w:val="both"/>
              <w:rPr>
                <w:rFonts w:ascii="Arial" w:hAnsi="Arial" w:cs="Arial"/>
                <w:b/>
                <w:sz w:val="22"/>
                <w:szCs w:val="22"/>
              </w:rPr>
            </w:pPr>
          </w:p>
        </w:tc>
      </w:tr>
      <w:tr w:rsidR="001C60E9" w:rsidRPr="00A406E5" w:rsidTr="00B34E3C">
        <w:tc>
          <w:tcPr>
            <w:tcW w:w="2093"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Assignment Title:</w:t>
            </w:r>
          </w:p>
        </w:tc>
        <w:tc>
          <w:tcPr>
            <w:tcW w:w="3293" w:type="dxa"/>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Part B, (</w:t>
            </w:r>
            <w:proofErr w:type="spellStart"/>
            <w:r>
              <w:rPr>
                <w:rFonts w:ascii="Arial" w:hAnsi="Arial" w:cs="Arial"/>
                <w:b/>
                <w:sz w:val="22"/>
                <w:szCs w:val="22"/>
              </w:rPr>
              <w:t>i</w:t>
            </w:r>
            <w:proofErr w:type="spellEnd"/>
            <w:r>
              <w:rPr>
                <w:rFonts w:ascii="Arial" w:hAnsi="Arial" w:cs="Arial"/>
                <w:b/>
                <w:sz w:val="22"/>
                <w:szCs w:val="22"/>
              </w:rPr>
              <w:t xml:space="preserve">) and (ii) </w:t>
            </w:r>
          </w:p>
        </w:tc>
        <w:tc>
          <w:tcPr>
            <w:tcW w:w="2268"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Word count (or equivalent):</w:t>
            </w:r>
          </w:p>
        </w:tc>
        <w:tc>
          <w:tcPr>
            <w:tcW w:w="2268" w:type="dxa"/>
          </w:tcPr>
          <w:p w:rsidR="001C60E9" w:rsidRDefault="001C60E9" w:rsidP="00B34E3C">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1,500</w:t>
            </w:r>
          </w:p>
          <w:p w:rsidR="001C60E9" w:rsidRPr="006E02E8" w:rsidRDefault="001C60E9" w:rsidP="00B34E3C">
            <w:pPr>
              <w:pStyle w:val="ListParagraph"/>
              <w:numPr>
                <w:ilvl w:val="0"/>
                <w:numId w:val="1"/>
              </w:numPr>
              <w:spacing w:before="120" w:after="120"/>
              <w:jc w:val="both"/>
              <w:rPr>
                <w:rFonts w:ascii="Arial" w:hAnsi="Arial" w:cs="Arial"/>
                <w:b/>
                <w:sz w:val="22"/>
                <w:szCs w:val="22"/>
              </w:rPr>
            </w:pPr>
            <w:r>
              <w:rPr>
                <w:rFonts w:ascii="Arial" w:hAnsi="Arial" w:cs="Arial"/>
                <w:b/>
                <w:sz w:val="22"/>
                <w:szCs w:val="22"/>
              </w:rPr>
              <w:t>= 2,000</w:t>
            </w:r>
          </w:p>
        </w:tc>
      </w:tr>
      <w:tr w:rsidR="001C60E9" w:rsidRPr="00A406E5" w:rsidTr="00B34E3C">
        <w:tc>
          <w:tcPr>
            <w:tcW w:w="2093"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Submission deadline:</w:t>
            </w:r>
          </w:p>
        </w:tc>
        <w:tc>
          <w:tcPr>
            <w:tcW w:w="3293" w:type="dxa"/>
            <w:shd w:val="clear" w:color="auto" w:fill="auto"/>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26 November 2018</w:t>
            </w:r>
          </w:p>
        </w:tc>
        <w:tc>
          <w:tcPr>
            <w:tcW w:w="2268"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Return date of provisional marks &amp; written feedback:</w:t>
            </w:r>
          </w:p>
        </w:tc>
        <w:tc>
          <w:tcPr>
            <w:tcW w:w="2268" w:type="dxa"/>
          </w:tcPr>
          <w:p w:rsidR="001C60E9" w:rsidRPr="00A406E5" w:rsidRDefault="001C60E9" w:rsidP="00B34E3C">
            <w:pPr>
              <w:spacing w:before="120" w:after="120"/>
              <w:jc w:val="both"/>
              <w:rPr>
                <w:rFonts w:ascii="Arial" w:hAnsi="Arial" w:cs="Arial"/>
                <w:b/>
                <w:sz w:val="22"/>
                <w:szCs w:val="22"/>
              </w:rPr>
            </w:pPr>
            <w:r>
              <w:rPr>
                <w:rFonts w:ascii="Arial" w:hAnsi="Arial" w:cs="Arial"/>
                <w:b/>
                <w:sz w:val="22"/>
                <w:szCs w:val="22"/>
              </w:rPr>
              <w:t>17 December 2018</w:t>
            </w:r>
          </w:p>
        </w:tc>
      </w:tr>
      <w:tr w:rsidR="001C60E9" w:rsidRPr="00A406E5" w:rsidTr="00B34E3C">
        <w:tc>
          <w:tcPr>
            <w:tcW w:w="2093" w:type="dxa"/>
            <w:shd w:val="clear" w:color="auto" w:fill="auto"/>
          </w:tcPr>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Submission method:</w:t>
            </w:r>
          </w:p>
        </w:tc>
        <w:tc>
          <w:tcPr>
            <w:tcW w:w="7829" w:type="dxa"/>
            <w:gridSpan w:val="3"/>
            <w:shd w:val="clear" w:color="auto" w:fill="auto"/>
          </w:tcPr>
          <w:p w:rsidR="001C60E9" w:rsidRPr="00A406E5" w:rsidRDefault="001C60E9" w:rsidP="00B34E3C">
            <w:pPr>
              <w:rPr>
                <w:rFonts w:ascii="Arial" w:hAnsi="Arial" w:cs="Arial"/>
                <w:sz w:val="22"/>
                <w:szCs w:val="22"/>
              </w:rPr>
            </w:pPr>
            <w:r w:rsidRPr="6D4D0207">
              <w:rPr>
                <w:rFonts w:ascii="Arial" w:hAnsi="Arial" w:cs="Arial"/>
                <w:sz w:val="22"/>
                <w:szCs w:val="22"/>
              </w:rPr>
              <w:t xml:space="preserve">All written assessments, where practical and possible, must be submitted via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unless otherwise instructed by the Lecturer. (Please DO NOT put this assessment specification into </w:t>
            </w:r>
            <w:proofErr w:type="spellStart"/>
            <w:r w:rsidRPr="6D4D0207">
              <w:rPr>
                <w:rFonts w:ascii="Arial" w:hAnsi="Arial" w:cs="Arial"/>
                <w:sz w:val="22"/>
                <w:szCs w:val="22"/>
              </w:rPr>
              <w:t>Turnitin</w:t>
            </w:r>
            <w:proofErr w:type="spellEnd"/>
            <w:r w:rsidRPr="6D4D0207">
              <w:rPr>
                <w:rFonts w:ascii="Arial" w:hAnsi="Arial" w:cs="Arial"/>
                <w:sz w:val="22"/>
                <w:szCs w:val="22"/>
              </w:rPr>
              <w:t xml:space="preserve"> or it will match many similarities with other students’ submissions.)</w:t>
            </w:r>
          </w:p>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 xml:space="preserve">Alternative submission method (if applicable): </w:t>
            </w:r>
          </w:p>
          <w:p w:rsidR="001C60E9" w:rsidRPr="00A406E5" w:rsidRDefault="001C60E9" w:rsidP="00B34E3C">
            <w:pPr>
              <w:spacing w:before="120" w:after="120"/>
              <w:jc w:val="both"/>
              <w:rPr>
                <w:rFonts w:ascii="Arial" w:hAnsi="Arial" w:cs="Arial"/>
                <w:b/>
                <w:bCs/>
                <w:sz w:val="22"/>
                <w:szCs w:val="22"/>
              </w:rPr>
            </w:pPr>
            <w:r w:rsidRPr="6D4D0207">
              <w:rPr>
                <w:rFonts w:ascii="Arial" w:hAnsi="Arial" w:cs="Arial"/>
                <w:b/>
                <w:bCs/>
                <w:sz w:val="22"/>
                <w:szCs w:val="22"/>
              </w:rPr>
              <w:t xml:space="preserve">Late submission of the assessment will result in a late penalty mark.  </w:t>
            </w:r>
            <w:r w:rsidRPr="6D4D0207">
              <w:rPr>
                <w:rFonts w:ascii="Arial" w:hAnsi="Arial" w:cs="Arial"/>
                <w:sz w:val="22"/>
                <w:szCs w:val="22"/>
              </w:rPr>
              <w:t>Penalties for late submission: Up to one week late, maximum mark of 40%.  Over one week late, 0%.  Only the Extenuating Circumstances Panel may approve a change to submission dates.</w:t>
            </w:r>
          </w:p>
        </w:tc>
      </w:tr>
      <w:tr w:rsidR="001C60E9" w:rsidRPr="00A406E5" w:rsidTr="00B34E3C">
        <w:tc>
          <w:tcPr>
            <w:tcW w:w="2093" w:type="dxa"/>
            <w:shd w:val="clear" w:color="auto" w:fill="auto"/>
          </w:tcPr>
          <w:p w:rsidR="001C60E9" w:rsidRPr="00A406E5" w:rsidRDefault="001C60E9" w:rsidP="00B34E3C">
            <w:pPr>
              <w:spacing w:before="120" w:after="120"/>
              <w:rPr>
                <w:rFonts w:ascii="Arial" w:hAnsi="Arial" w:cs="Arial"/>
                <w:b/>
                <w:bCs/>
                <w:sz w:val="22"/>
                <w:szCs w:val="22"/>
              </w:rPr>
            </w:pPr>
            <w:r w:rsidRPr="6D4D0207">
              <w:rPr>
                <w:rFonts w:ascii="Arial" w:hAnsi="Arial" w:cs="Arial"/>
                <w:b/>
                <w:bCs/>
                <w:sz w:val="22"/>
                <w:szCs w:val="22"/>
              </w:rPr>
              <w:t>Academic honesty / referencing:</w:t>
            </w:r>
          </w:p>
        </w:tc>
        <w:tc>
          <w:tcPr>
            <w:tcW w:w="7829" w:type="dxa"/>
            <w:gridSpan w:val="3"/>
            <w:shd w:val="clear" w:color="auto" w:fill="auto"/>
          </w:tcPr>
          <w:p w:rsidR="001C60E9" w:rsidRPr="00A406E5" w:rsidRDefault="001C60E9" w:rsidP="00B34E3C">
            <w:pPr>
              <w:spacing w:before="120" w:after="120"/>
              <w:jc w:val="both"/>
              <w:rPr>
                <w:rFonts w:ascii="Arial" w:hAnsi="Arial" w:cs="Arial"/>
                <w:sz w:val="22"/>
                <w:szCs w:val="22"/>
              </w:rPr>
            </w:pPr>
            <w:r w:rsidRPr="6D4D0207">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001C60E9" w:rsidRDefault="001C60E9" w:rsidP="00E17EB5">
      <w:pPr>
        <w:rPr>
          <w:u w:val="single"/>
        </w:rPr>
      </w:pPr>
    </w:p>
    <w:p w:rsidR="001C60E9" w:rsidRDefault="001C60E9" w:rsidP="00E17EB5">
      <w:pPr>
        <w:rPr>
          <w:u w:val="single"/>
        </w:rPr>
      </w:pPr>
    </w:p>
    <w:p w:rsidR="001C60E9" w:rsidRDefault="001C60E9" w:rsidP="00E17EB5">
      <w:pPr>
        <w:rPr>
          <w:u w:val="single"/>
        </w:rPr>
      </w:pPr>
    </w:p>
    <w:p w:rsidR="001C60E9" w:rsidRDefault="001C60E9" w:rsidP="00E17EB5">
      <w:pPr>
        <w:rPr>
          <w:u w:val="single"/>
        </w:rPr>
      </w:pPr>
    </w:p>
    <w:p w:rsidR="001C60E9" w:rsidRDefault="001C60E9" w:rsidP="00E17EB5">
      <w:pPr>
        <w:rPr>
          <w:u w:val="single"/>
        </w:rPr>
      </w:pPr>
    </w:p>
    <w:p w:rsidR="001C60E9" w:rsidRDefault="001C60E9" w:rsidP="00E17EB5">
      <w:pPr>
        <w:rPr>
          <w:u w:val="single"/>
        </w:rPr>
      </w:pPr>
    </w:p>
    <w:p w:rsidR="001C60E9" w:rsidRDefault="001C60E9" w:rsidP="00E17EB5">
      <w:pPr>
        <w:rPr>
          <w:u w:val="single"/>
        </w:rPr>
      </w:pPr>
    </w:p>
    <w:p w:rsidR="001C60E9" w:rsidRDefault="001C60E9" w:rsidP="00E17EB5">
      <w:pPr>
        <w:rPr>
          <w:u w:val="single"/>
        </w:rPr>
      </w:pPr>
    </w:p>
    <w:p w:rsidR="00E17EB5" w:rsidRDefault="002361CC" w:rsidP="00B05823">
      <w:pPr>
        <w:spacing w:line="480" w:lineRule="auto"/>
        <w:jc w:val="both"/>
        <w:rPr>
          <w:rFonts w:ascii="Times New Roman" w:hAnsi="Times New Roman" w:cs="Times New Roman"/>
          <w:u w:val="single"/>
        </w:rPr>
      </w:pPr>
      <w:r w:rsidRPr="00B05823">
        <w:rPr>
          <w:rFonts w:ascii="Times New Roman" w:hAnsi="Times New Roman" w:cs="Times New Roman"/>
          <w:u w:val="single"/>
        </w:rPr>
        <w:lastRenderedPageBreak/>
        <w:t>Preparing for microteach presentation using literature and professional documents</w:t>
      </w:r>
    </w:p>
    <w:p w:rsidR="00B05823" w:rsidRPr="00B05823" w:rsidRDefault="00B05823" w:rsidP="00B05823">
      <w:pPr>
        <w:spacing w:line="480" w:lineRule="auto"/>
        <w:jc w:val="both"/>
        <w:rPr>
          <w:rFonts w:ascii="Times New Roman" w:hAnsi="Times New Roman" w:cs="Times New Roman"/>
          <w:u w:val="single"/>
        </w:rPr>
      </w:pPr>
    </w:p>
    <w:p w:rsidR="00E17EB5" w:rsidRPr="00B05823" w:rsidRDefault="00E17EB5" w:rsidP="00B05823">
      <w:pPr>
        <w:spacing w:line="480" w:lineRule="auto"/>
        <w:jc w:val="both"/>
        <w:rPr>
          <w:rFonts w:ascii="Times New Roman" w:hAnsi="Times New Roman" w:cs="Times New Roman"/>
        </w:rPr>
      </w:pPr>
      <w:r w:rsidRPr="00B05823">
        <w:rPr>
          <w:rFonts w:ascii="Times New Roman" w:hAnsi="Times New Roman" w:cs="Times New Roman"/>
        </w:rPr>
        <w:t xml:space="preserve">Successful lessons often rely on a well thought out lesson plan underpinned by theories of pedagogy and support from syllabus requirements. Ensuring lessons encompass these features, and incorporate new techniques is essential to developing one’s own teaching style to ensure the best environment for learners (Haydn et al. 2015). The use of pedagogical literature, theory, subject knowledge and documents became an essential factor when preparing a lesson plan, resources, and scheme of work for the microteaching assessment. It is important to use both existing and developing literature throughout one’s teaching career, as it illustrates both an evolution of thinking and extension of one’s own learning. This essay will focus on the incorporation of literature used to support microteaching assignment. It will discuss the use of and importance of Curriculum </w:t>
      </w:r>
      <w:proofErr w:type="spellStart"/>
      <w:r w:rsidRPr="00B05823">
        <w:rPr>
          <w:rFonts w:ascii="Times New Roman" w:hAnsi="Times New Roman" w:cs="Times New Roman"/>
        </w:rPr>
        <w:t>Cymreig</w:t>
      </w:r>
      <w:proofErr w:type="spellEnd"/>
      <w:r w:rsidRPr="00B05823">
        <w:rPr>
          <w:rFonts w:ascii="Times New Roman" w:hAnsi="Times New Roman" w:cs="Times New Roman"/>
        </w:rPr>
        <w:t xml:space="preserve"> in the secondary sector (ACCAC, 2003), the use of the Zone of Proximal Development in everyday lessons (Vygotsky, 1978), and importance of using an Initial Stimulus Material at the beginning of lessons (Phil</w:t>
      </w:r>
      <w:r w:rsidR="00B255CF" w:rsidRPr="00B05823">
        <w:rPr>
          <w:rFonts w:ascii="Times New Roman" w:hAnsi="Times New Roman" w:cs="Times New Roman"/>
        </w:rPr>
        <w:t>l</w:t>
      </w:r>
      <w:r w:rsidRPr="00B05823">
        <w:rPr>
          <w:rFonts w:ascii="Times New Roman" w:hAnsi="Times New Roman" w:cs="Times New Roman"/>
        </w:rPr>
        <w:t xml:space="preserve">ips, 2002). </w:t>
      </w:r>
    </w:p>
    <w:p w:rsidR="00E17EB5" w:rsidRPr="00B05823" w:rsidRDefault="00E17EB5" w:rsidP="00B05823">
      <w:pPr>
        <w:spacing w:line="480" w:lineRule="auto"/>
        <w:ind w:firstLine="720"/>
        <w:jc w:val="both"/>
        <w:rPr>
          <w:rFonts w:ascii="Times New Roman" w:hAnsi="Times New Roman" w:cs="Times New Roman"/>
        </w:rPr>
      </w:pPr>
      <w:r w:rsidRPr="00B05823">
        <w:rPr>
          <w:rFonts w:ascii="Times New Roman" w:hAnsi="Times New Roman" w:cs="Times New Roman"/>
        </w:rPr>
        <w:t xml:space="preserve">The Curriculum </w:t>
      </w:r>
      <w:proofErr w:type="spellStart"/>
      <w:r w:rsidRPr="00B05823">
        <w:rPr>
          <w:rFonts w:ascii="Times New Roman" w:hAnsi="Times New Roman" w:cs="Times New Roman"/>
        </w:rPr>
        <w:t>Cymreig</w:t>
      </w:r>
      <w:proofErr w:type="spellEnd"/>
      <w:r w:rsidRPr="00B05823">
        <w:rPr>
          <w:rFonts w:ascii="Times New Roman" w:hAnsi="Times New Roman" w:cs="Times New Roman"/>
        </w:rPr>
        <w:t xml:space="preserve"> aims to include and further establish Welsh culture and tries to create a Welsh dimension applicable to every lesson (ACCAC, 2003). With regards to history lessons, the </w:t>
      </w:r>
      <w:r w:rsidRPr="00B05823">
        <w:rPr>
          <w:rFonts w:ascii="Times New Roman" w:hAnsi="Times New Roman" w:cs="Times New Roman"/>
          <w:i/>
        </w:rPr>
        <w:t xml:space="preserve">Developing the Curriculum </w:t>
      </w:r>
      <w:proofErr w:type="spellStart"/>
      <w:r w:rsidRPr="00B05823">
        <w:rPr>
          <w:rFonts w:ascii="Times New Roman" w:hAnsi="Times New Roman" w:cs="Times New Roman"/>
          <w:i/>
        </w:rPr>
        <w:t>Cymreig</w:t>
      </w:r>
      <w:proofErr w:type="spellEnd"/>
      <w:r w:rsidRPr="00B05823">
        <w:rPr>
          <w:rFonts w:ascii="Times New Roman" w:hAnsi="Times New Roman" w:cs="Times New Roman"/>
        </w:rPr>
        <w:t xml:space="preserve"> report is explicit in what it expects from each history lesson in Wales (ACCAC, 2003). The </w:t>
      </w:r>
      <w:r w:rsidRPr="00B05823">
        <w:rPr>
          <w:rFonts w:ascii="Times New Roman" w:hAnsi="Times New Roman" w:cs="Times New Roman"/>
          <w:i/>
        </w:rPr>
        <w:t xml:space="preserve">Developing the </w:t>
      </w:r>
      <w:proofErr w:type="spellStart"/>
      <w:r w:rsidRPr="00B05823">
        <w:rPr>
          <w:rFonts w:ascii="Times New Roman" w:hAnsi="Times New Roman" w:cs="Times New Roman"/>
          <w:i/>
        </w:rPr>
        <w:t>Curriciulum</w:t>
      </w:r>
      <w:proofErr w:type="spellEnd"/>
      <w:r w:rsidRPr="00B05823">
        <w:rPr>
          <w:rFonts w:ascii="Times New Roman" w:hAnsi="Times New Roman" w:cs="Times New Roman"/>
          <w:i/>
        </w:rPr>
        <w:t xml:space="preserve"> </w:t>
      </w:r>
      <w:proofErr w:type="spellStart"/>
      <w:r w:rsidRPr="00B05823">
        <w:rPr>
          <w:rFonts w:ascii="Times New Roman" w:hAnsi="Times New Roman" w:cs="Times New Roman"/>
          <w:i/>
        </w:rPr>
        <w:t>Cymreig</w:t>
      </w:r>
      <w:proofErr w:type="spellEnd"/>
      <w:r w:rsidRPr="00B05823">
        <w:rPr>
          <w:rFonts w:ascii="Times New Roman" w:hAnsi="Times New Roman" w:cs="Times New Roman"/>
        </w:rPr>
        <w:t xml:space="preserve"> report illustrates the teaching of Welsh history, notably local history, and its impact as a key factor of the Curriculum </w:t>
      </w:r>
      <w:proofErr w:type="spellStart"/>
      <w:r w:rsidRPr="00B05823">
        <w:rPr>
          <w:rFonts w:ascii="Times New Roman" w:hAnsi="Times New Roman" w:cs="Times New Roman"/>
        </w:rPr>
        <w:t>Cymreig</w:t>
      </w:r>
      <w:proofErr w:type="spellEnd"/>
      <w:r w:rsidRPr="00B05823">
        <w:rPr>
          <w:rFonts w:ascii="Times New Roman" w:hAnsi="Times New Roman" w:cs="Times New Roman"/>
        </w:rPr>
        <w:t xml:space="preserve"> (ACCAC, 2003). It is crucial to make a link with local history as it allows learners to relate through experience and a Welsh connection. </w:t>
      </w:r>
      <w:r w:rsidRPr="00B05823">
        <w:rPr>
          <w:rFonts w:ascii="Times New Roman" w:hAnsi="Times New Roman" w:cs="Times New Roman"/>
          <w:color w:val="000000" w:themeColor="text1"/>
        </w:rPr>
        <w:t xml:space="preserve">John Dewey, has </w:t>
      </w:r>
      <w:r w:rsidRPr="00B05823">
        <w:rPr>
          <w:rFonts w:ascii="Times New Roman" w:hAnsi="Times New Roman" w:cs="Times New Roman"/>
        </w:rPr>
        <w:t>emphasised the importance of experiences in regards to education (Dewey, 19</w:t>
      </w:r>
      <w:r w:rsidR="00A73A88" w:rsidRPr="00B05823">
        <w:rPr>
          <w:rFonts w:ascii="Times New Roman" w:hAnsi="Times New Roman" w:cs="Times New Roman"/>
        </w:rPr>
        <w:t>63</w:t>
      </w:r>
      <w:r w:rsidRPr="00B05823">
        <w:rPr>
          <w:rFonts w:ascii="Times New Roman" w:hAnsi="Times New Roman" w:cs="Times New Roman"/>
        </w:rPr>
        <w:t>). Dewey’s ideas are based upon using individual experiences as a tool in the classroom, and sharing those practices with others (Dewey, 19</w:t>
      </w:r>
      <w:r w:rsidR="00A73A88" w:rsidRPr="00B05823">
        <w:rPr>
          <w:rFonts w:ascii="Times New Roman" w:hAnsi="Times New Roman" w:cs="Times New Roman"/>
        </w:rPr>
        <w:t>63</w:t>
      </w:r>
      <w:r w:rsidRPr="00B05823">
        <w:rPr>
          <w:rFonts w:ascii="Times New Roman" w:hAnsi="Times New Roman" w:cs="Times New Roman"/>
        </w:rPr>
        <w:t xml:space="preserve">). Dewey’s work can be linked back to the use of the Curriculum </w:t>
      </w:r>
      <w:proofErr w:type="spellStart"/>
      <w:r w:rsidRPr="00B05823">
        <w:rPr>
          <w:rFonts w:ascii="Times New Roman" w:hAnsi="Times New Roman" w:cs="Times New Roman"/>
        </w:rPr>
        <w:t>Cymreig</w:t>
      </w:r>
      <w:proofErr w:type="spellEnd"/>
      <w:r w:rsidRPr="00B05823">
        <w:rPr>
          <w:rFonts w:ascii="Times New Roman" w:hAnsi="Times New Roman" w:cs="Times New Roman"/>
        </w:rPr>
        <w:t xml:space="preserve">, as learners are more likely to connect with syllabus material if they can </w:t>
      </w:r>
      <w:r w:rsidRPr="00B05823">
        <w:rPr>
          <w:rFonts w:ascii="Times New Roman" w:hAnsi="Times New Roman" w:cs="Times New Roman"/>
        </w:rPr>
        <w:lastRenderedPageBreak/>
        <w:t xml:space="preserve">relate via their own experiences. Whilst the use of Curriculum </w:t>
      </w:r>
      <w:proofErr w:type="spellStart"/>
      <w:r w:rsidRPr="00B05823">
        <w:rPr>
          <w:rFonts w:ascii="Times New Roman" w:hAnsi="Times New Roman" w:cs="Times New Roman"/>
        </w:rPr>
        <w:t>Cymreig</w:t>
      </w:r>
      <w:proofErr w:type="spellEnd"/>
      <w:r w:rsidRPr="00B05823">
        <w:rPr>
          <w:rFonts w:ascii="Times New Roman" w:hAnsi="Times New Roman" w:cs="Times New Roman"/>
        </w:rPr>
        <w:t xml:space="preserve"> as a relation through experience can be presented as a meaningful connection to local history, others take issue with the impact of the Curriculum </w:t>
      </w:r>
      <w:proofErr w:type="spellStart"/>
      <w:r w:rsidRPr="00B05823">
        <w:rPr>
          <w:rFonts w:ascii="Times New Roman" w:hAnsi="Times New Roman" w:cs="Times New Roman"/>
        </w:rPr>
        <w:t>Cymreig</w:t>
      </w:r>
      <w:proofErr w:type="spellEnd"/>
      <w:r w:rsidRPr="00B05823">
        <w:rPr>
          <w:rFonts w:ascii="Times New Roman" w:hAnsi="Times New Roman" w:cs="Times New Roman"/>
        </w:rPr>
        <w:t xml:space="preserve"> in reference to minorities. Kevin Smith in particular (Smith, 2010) discusses the lack of incorporation of multiculturalism in the </w:t>
      </w:r>
      <w:r w:rsidRPr="00B05823">
        <w:rPr>
          <w:rFonts w:ascii="Times New Roman" w:hAnsi="Times New Roman" w:cs="Times New Roman"/>
          <w:i/>
        </w:rPr>
        <w:t xml:space="preserve">Developing Curriculum </w:t>
      </w:r>
      <w:proofErr w:type="spellStart"/>
      <w:r w:rsidRPr="00B05823">
        <w:rPr>
          <w:rFonts w:ascii="Times New Roman" w:hAnsi="Times New Roman" w:cs="Times New Roman"/>
          <w:i/>
        </w:rPr>
        <w:t>Cymreig</w:t>
      </w:r>
      <w:proofErr w:type="spellEnd"/>
      <w:r w:rsidRPr="00B05823">
        <w:rPr>
          <w:rFonts w:ascii="Times New Roman" w:hAnsi="Times New Roman" w:cs="Times New Roman"/>
        </w:rPr>
        <w:t xml:space="preserve"> report. Smith highlights the text as neglecting diversity in Welsh schools as a ‘major concern’ (Smith, 2010, p.110). Taking Smith’s comments into account, the promotion of multiculturalism but still retaining a Welsh dimension is a point to improve on in upcoming lessons .I believe the use of the Curriculum </w:t>
      </w:r>
      <w:proofErr w:type="spellStart"/>
      <w:r w:rsidRPr="00B05823">
        <w:rPr>
          <w:rFonts w:ascii="Times New Roman" w:hAnsi="Times New Roman" w:cs="Times New Roman"/>
        </w:rPr>
        <w:t>Cymreig</w:t>
      </w:r>
      <w:proofErr w:type="spellEnd"/>
      <w:r w:rsidRPr="00B05823">
        <w:rPr>
          <w:rFonts w:ascii="Times New Roman" w:hAnsi="Times New Roman" w:cs="Times New Roman"/>
        </w:rPr>
        <w:t xml:space="preserve"> was demonstrated effectively during the scheme of work presented as part of the microteach as my topic was the Industrial Revolution therefore allowing for an extensive framework to be created with Wales as the focal point. This was shown notably through my microteach lesson, which pinpointed the Industrial Revolution through the experience of Merthyr Tydfil. </w:t>
      </w:r>
    </w:p>
    <w:p w:rsidR="00E17EB5" w:rsidRPr="00B05823" w:rsidRDefault="00E17EB5" w:rsidP="00B05823">
      <w:pPr>
        <w:spacing w:line="480" w:lineRule="auto"/>
        <w:ind w:firstLine="720"/>
        <w:jc w:val="both"/>
        <w:rPr>
          <w:rFonts w:ascii="Times New Roman" w:hAnsi="Times New Roman" w:cs="Times New Roman"/>
        </w:rPr>
      </w:pPr>
      <w:r w:rsidRPr="00B05823">
        <w:rPr>
          <w:rFonts w:ascii="Times New Roman" w:hAnsi="Times New Roman" w:cs="Times New Roman"/>
        </w:rPr>
        <w:t xml:space="preserve">The promotion of scaffolding in lessons has been largely due to Lev Vygotsky’s work on both scaffolding itself and the Zone of Proximal Development (ZPD) (Vygotsky, 1978). The term scaffolding within an educational context refers to helping and supporting a learner initially, yet this support can be withdrawn as the learner begins to progress – similar to how the construction of a building is supported by a scaffolding, the construction of a learners knowledge is also supported by scaffolding (Bates, 2016). Vygotsky’s views promote scaffolding as integral to the progression of learning during the early stages (Vygotsky, 1978). In addition, Vygotsky recognises that learners should be in the ZPD for greater learning, and that being in the ZPD allows learners to create a better understanding of a topic than they would have had previously (Bates, 2016). The ZPD is the area in which a pupil is comfortably struggling, in that the work presented to them is not too difficult nor too easy so that they would lose motivation, but that a learner is struggling to complete the work but with the assistance of a highly skilled other, the completion of the task not only becomes attainable but the learner is </w:t>
      </w:r>
      <w:r w:rsidRPr="00B05823">
        <w:rPr>
          <w:rFonts w:ascii="Times New Roman" w:hAnsi="Times New Roman" w:cs="Times New Roman"/>
        </w:rPr>
        <w:lastRenderedPageBreak/>
        <w:t xml:space="preserve">more likely to be able to complete said task alone next time. (Vygotsky, 1978; </w:t>
      </w:r>
      <w:proofErr w:type="spellStart"/>
      <w:r w:rsidRPr="00B05823">
        <w:rPr>
          <w:rFonts w:ascii="Times New Roman" w:hAnsi="Times New Roman" w:cs="Times New Roman"/>
        </w:rPr>
        <w:t>Shabani</w:t>
      </w:r>
      <w:proofErr w:type="spellEnd"/>
      <w:r w:rsidR="0053225C" w:rsidRPr="00B05823">
        <w:rPr>
          <w:rFonts w:ascii="Times New Roman" w:hAnsi="Times New Roman" w:cs="Times New Roman"/>
        </w:rPr>
        <w:t xml:space="preserve"> et al,</w:t>
      </w:r>
      <w:r w:rsidRPr="00B05823">
        <w:rPr>
          <w:rFonts w:ascii="Times New Roman" w:hAnsi="Times New Roman" w:cs="Times New Roman"/>
        </w:rPr>
        <w:t xml:space="preserve"> 2010; </w:t>
      </w:r>
      <w:proofErr w:type="spellStart"/>
      <w:r w:rsidRPr="00B05823">
        <w:rPr>
          <w:rFonts w:ascii="Times New Roman" w:hAnsi="Times New Roman" w:cs="Times New Roman"/>
        </w:rPr>
        <w:t>Chalkin</w:t>
      </w:r>
      <w:proofErr w:type="spellEnd"/>
      <w:r w:rsidRPr="00B05823">
        <w:rPr>
          <w:rFonts w:ascii="Times New Roman" w:hAnsi="Times New Roman" w:cs="Times New Roman"/>
        </w:rPr>
        <w:t xml:space="preserve">, 2003). Seth </w:t>
      </w:r>
      <w:proofErr w:type="spellStart"/>
      <w:r w:rsidRPr="00B05823">
        <w:rPr>
          <w:rFonts w:ascii="Times New Roman" w:hAnsi="Times New Roman" w:cs="Times New Roman"/>
        </w:rPr>
        <w:t>Chalkin</w:t>
      </w:r>
      <w:proofErr w:type="spellEnd"/>
      <w:r w:rsidRPr="00B05823">
        <w:rPr>
          <w:rFonts w:ascii="Times New Roman" w:hAnsi="Times New Roman" w:cs="Times New Roman"/>
        </w:rPr>
        <w:t xml:space="preserve"> builds upon this notion, and indicates that while corroboration with a more competent other is important, it is not their amount of knowledge that is necessarily key, but it is the awareness of that assistance in reference to the progression of a </w:t>
      </w:r>
      <w:r w:rsidR="00326288" w:rsidRPr="00B05823">
        <w:rPr>
          <w:rFonts w:ascii="Times New Roman" w:hAnsi="Times New Roman" w:cs="Times New Roman"/>
        </w:rPr>
        <w:t>student’s</w:t>
      </w:r>
      <w:r w:rsidRPr="00B05823">
        <w:rPr>
          <w:rFonts w:ascii="Times New Roman" w:hAnsi="Times New Roman" w:cs="Times New Roman"/>
        </w:rPr>
        <w:t xml:space="preserve"> learning (</w:t>
      </w:r>
      <w:proofErr w:type="spellStart"/>
      <w:r w:rsidRPr="00B05823">
        <w:rPr>
          <w:rFonts w:ascii="Times New Roman" w:hAnsi="Times New Roman" w:cs="Times New Roman"/>
        </w:rPr>
        <w:t>Chalkin</w:t>
      </w:r>
      <w:proofErr w:type="spellEnd"/>
      <w:r w:rsidRPr="00B05823">
        <w:rPr>
          <w:rFonts w:ascii="Times New Roman" w:hAnsi="Times New Roman" w:cs="Times New Roman"/>
        </w:rPr>
        <w:t xml:space="preserve">, 2003). </w:t>
      </w:r>
      <w:r w:rsidRPr="00B05823">
        <w:rPr>
          <w:rFonts w:ascii="Times New Roman" w:hAnsi="Times New Roman" w:cs="Times New Roman"/>
          <w:color w:val="000000" w:themeColor="text1"/>
        </w:rPr>
        <w:t xml:space="preserve">I aimed to keep the learners in my microteaching lesson in the ZPD at all times. In doing this, I tried to keep the tasks distinct (with the inclusion of a worksheet, a comic-book strip to complete, and a discussion task) so that every learner had the opportunity to remain in the ZPD.  Additionally, as a way to help to scaffold the pupils in this lesson, I discussed the PowerPoint material beforehand so that learners would be able to utilise this material in the tasks that followed. </w:t>
      </w:r>
    </w:p>
    <w:p w:rsidR="00E17EB5" w:rsidRPr="00B05823" w:rsidRDefault="00E17EB5" w:rsidP="00B05823">
      <w:pPr>
        <w:spacing w:line="480" w:lineRule="auto"/>
        <w:ind w:firstLine="720"/>
        <w:jc w:val="both"/>
        <w:rPr>
          <w:rFonts w:ascii="Times New Roman" w:hAnsi="Times New Roman" w:cs="Times New Roman"/>
          <w:color w:val="000000" w:themeColor="text1"/>
        </w:rPr>
      </w:pPr>
      <w:r w:rsidRPr="00B05823">
        <w:rPr>
          <w:rFonts w:ascii="Times New Roman" w:hAnsi="Times New Roman" w:cs="Times New Roman"/>
          <w:color w:val="000000" w:themeColor="text1"/>
        </w:rPr>
        <w:t>Using Initial Stimulus Material (ISM) at the beginning of a lesson can be shown as a successful way to ‘hook’ learners into the lesson and gain their attention as they enter the classroom (Phil</w:t>
      </w:r>
      <w:r w:rsidR="00B255CF" w:rsidRPr="00B05823">
        <w:rPr>
          <w:rFonts w:ascii="Times New Roman" w:hAnsi="Times New Roman" w:cs="Times New Roman"/>
          <w:color w:val="000000" w:themeColor="text1"/>
        </w:rPr>
        <w:t>l</w:t>
      </w:r>
      <w:r w:rsidRPr="00B05823">
        <w:rPr>
          <w:rFonts w:ascii="Times New Roman" w:hAnsi="Times New Roman" w:cs="Times New Roman"/>
          <w:color w:val="000000" w:themeColor="text1"/>
        </w:rPr>
        <w:t>ips, 2002). The use of an ISM as a ‘hook’ stimulates learners and gets them talking with their peers about the ISM, and what it could mean. The term ISM was developed by Robert Philips and has become instrumental in classrooms when either starting a new topic, or gaining an understanding on students prior knowledge (Phil</w:t>
      </w:r>
      <w:r w:rsidR="00B255CF" w:rsidRPr="00B05823">
        <w:rPr>
          <w:rFonts w:ascii="Times New Roman" w:hAnsi="Times New Roman" w:cs="Times New Roman"/>
          <w:color w:val="000000" w:themeColor="text1"/>
        </w:rPr>
        <w:t>l</w:t>
      </w:r>
      <w:r w:rsidRPr="00B05823">
        <w:rPr>
          <w:rFonts w:ascii="Times New Roman" w:hAnsi="Times New Roman" w:cs="Times New Roman"/>
          <w:color w:val="000000" w:themeColor="text1"/>
        </w:rPr>
        <w:t>ips, 2002). In Phil</w:t>
      </w:r>
      <w:r w:rsidR="00B255CF" w:rsidRPr="00B05823">
        <w:rPr>
          <w:rFonts w:ascii="Times New Roman" w:hAnsi="Times New Roman" w:cs="Times New Roman"/>
          <w:color w:val="000000" w:themeColor="text1"/>
        </w:rPr>
        <w:t>l</w:t>
      </w:r>
      <w:r w:rsidRPr="00B05823">
        <w:rPr>
          <w:rFonts w:ascii="Times New Roman" w:hAnsi="Times New Roman" w:cs="Times New Roman"/>
          <w:color w:val="000000" w:themeColor="text1"/>
        </w:rPr>
        <w:t>ips’ publication he uses the example of Charles I as a ‘case study’ for the utilisation of an ISM (Phil</w:t>
      </w:r>
      <w:r w:rsidR="00B255CF" w:rsidRPr="00B05823">
        <w:rPr>
          <w:rFonts w:ascii="Times New Roman" w:hAnsi="Times New Roman" w:cs="Times New Roman"/>
          <w:color w:val="000000" w:themeColor="text1"/>
        </w:rPr>
        <w:t>l</w:t>
      </w:r>
      <w:r w:rsidRPr="00B05823">
        <w:rPr>
          <w:rFonts w:ascii="Times New Roman" w:hAnsi="Times New Roman" w:cs="Times New Roman"/>
          <w:color w:val="000000" w:themeColor="text1"/>
        </w:rPr>
        <w:t>ips, 2002). In doing this, Philips highlights that the success of an ISM should be carefully underpinned with well-planned questions to follow. Using these questions, and allowing students to think of the wider context at hand grants the opportunity for maximal learning (Phi</w:t>
      </w:r>
      <w:r w:rsidR="00B255CF" w:rsidRPr="00B05823">
        <w:rPr>
          <w:rFonts w:ascii="Times New Roman" w:hAnsi="Times New Roman" w:cs="Times New Roman"/>
          <w:color w:val="000000" w:themeColor="text1"/>
        </w:rPr>
        <w:t>l</w:t>
      </w:r>
      <w:r w:rsidRPr="00B05823">
        <w:rPr>
          <w:rFonts w:ascii="Times New Roman" w:hAnsi="Times New Roman" w:cs="Times New Roman"/>
          <w:color w:val="000000" w:themeColor="text1"/>
        </w:rPr>
        <w:t>lips, 2002). In building upon Phillip’s work on the ISM, Steve Barnes corroborates that questioning should be used to clarify students initial thoughts, however further emphasises that students ideas not be left in a state of ‘limbo’ (Barnes, 2007, p.59). Furthermore, Barnes goes on to discuss that lack of clarification on students reactions to the ISM can be dangerous as it then allows students to engage in speculation without having a real purpose. Through Phi</w:t>
      </w:r>
      <w:r w:rsidR="00B255CF" w:rsidRPr="00B05823">
        <w:rPr>
          <w:rFonts w:ascii="Times New Roman" w:hAnsi="Times New Roman" w:cs="Times New Roman"/>
          <w:color w:val="000000" w:themeColor="text1"/>
        </w:rPr>
        <w:t>l</w:t>
      </w:r>
      <w:r w:rsidRPr="00B05823">
        <w:rPr>
          <w:rFonts w:ascii="Times New Roman" w:hAnsi="Times New Roman" w:cs="Times New Roman"/>
          <w:color w:val="000000" w:themeColor="text1"/>
        </w:rPr>
        <w:t xml:space="preserve">lips’ </w:t>
      </w:r>
      <w:r w:rsidRPr="00B05823">
        <w:rPr>
          <w:rFonts w:ascii="Times New Roman" w:hAnsi="Times New Roman" w:cs="Times New Roman"/>
          <w:color w:val="000000" w:themeColor="text1"/>
        </w:rPr>
        <w:lastRenderedPageBreak/>
        <w:t>and Barnes’ supporting ideas, it can be illustrated that the introduction of an ISM as a starter should always include a final explanation before moving on with the lesson (Phil</w:t>
      </w:r>
      <w:r w:rsidR="00B255CF" w:rsidRPr="00B05823">
        <w:rPr>
          <w:rFonts w:ascii="Times New Roman" w:hAnsi="Times New Roman" w:cs="Times New Roman"/>
          <w:color w:val="000000" w:themeColor="text1"/>
        </w:rPr>
        <w:t>l</w:t>
      </w:r>
      <w:r w:rsidRPr="00B05823">
        <w:rPr>
          <w:rFonts w:ascii="Times New Roman" w:hAnsi="Times New Roman" w:cs="Times New Roman"/>
          <w:color w:val="000000" w:themeColor="text1"/>
        </w:rPr>
        <w:t xml:space="preserve">ips, 2002; Barnes, 2007). I am confident in the use of an ISM in my microteaching assignment. Through the use of an ISM, I was able to get students to think about what each city on the map had in common. After identifying each individual place and identifying their commonality, I was able to carry on with the lesson with the knowledge that students had been engaged from their ISM activity.  </w:t>
      </w:r>
    </w:p>
    <w:p w:rsidR="00E17EB5" w:rsidRPr="00B05823" w:rsidRDefault="00E17EB5" w:rsidP="00B05823">
      <w:pPr>
        <w:spacing w:line="480" w:lineRule="auto"/>
        <w:ind w:firstLine="720"/>
        <w:jc w:val="both"/>
        <w:rPr>
          <w:rFonts w:ascii="Times New Roman" w:hAnsi="Times New Roman" w:cs="Times New Roman"/>
          <w:color w:val="000000" w:themeColor="text1"/>
        </w:rPr>
      </w:pPr>
      <w:r w:rsidRPr="00B05823">
        <w:rPr>
          <w:rFonts w:ascii="Times New Roman" w:hAnsi="Times New Roman" w:cs="Times New Roman"/>
          <w:color w:val="000000" w:themeColor="text1"/>
        </w:rPr>
        <w:t xml:space="preserve">After highlighting the literature used whilst preparing the microteach lesson, and scheme of work several conclusions can be drawn. The integration of Curriculum </w:t>
      </w:r>
      <w:proofErr w:type="spellStart"/>
      <w:r w:rsidRPr="00B05823">
        <w:rPr>
          <w:rFonts w:ascii="Times New Roman" w:hAnsi="Times New Roman" w:cs="Times New Roman"/>
          <w:color w:val="000000" w:themeColor="text1"/>
        </w:rPr>
        <w:t>Cymreig</w:t>
      </w:r>
      <w:proofErr w:type="spellEnd"/>
      <w:r w:rsidRPr="00B05823">
        <w:rPr>
          <w:rFonts w:ascii="Times New Roman" w:hAnsi="Times New Roman" w:cs="Times New Roman"/>
          <w:color w:val="000000" w:themeColor="text1"/>
        </w:rPr>
        <w:t xml:space="preserve"> within history lessons is central as this creates a connection between learners and the syllabus material (Smith, 2010). The use of Curriculum </w:t>
      </w:r>
      <w:proofErr w:type="spellStart"/>
      <w:r w:rsidRPr="00B05823">
        <w:rPr>
          <w:rFonts w:ascii="Times New Roman" w:hAnsi="Times New Roman" w:cs="Times New Roman"/>
          <w:color w:val="000000" w:themeColor="text1"/>
        </w:rPr>
        <w:t>Cymreig</w:t>
      </w:r>
      <w:proofErr w:type="spellEnd"/>
      <w:r w:rsidRPr="00B05823">
        <w:rPr>
          <w:rFonts w:ascii="Times New Roman" w:hAnsi="Times New Roman" w:cs="Times New Roman"/>
          <w:color w:val="000000" w:themeColor="text1"/>
        </w:rPr>
        <w:t xml:space="preserve"> is an element of pedagogy that I will continue to utilise throughout upcoming lessons. In addition to Curriculum </w:t>
      </w:r>
      <w:proofErr w:type="spellStart"/>
      <w:r w:rsidRPr="00B05823">
        <w:rPr>
          <w:rFonts w:ascii="Times New Roman" w:hAnsi="Times New Roman" w:cs="Times New Roman"/>
          <w:color w:val="000000" w:themeColor="text1"/>
        </w:rPr>
        <w:t>Cymreig</w:t>
      </w:r>
      <w:proofErr w:type="spellEnd"/>
      <w:r w:rsidRPr="00B05823">
        <w:rPr>
          <w:rFonts w:ascii="Times New Roman" w:hAnsi="Times New Roman" w:cs="Times New Roman"/>
          <w:color w:val="000000" w:themeColor="text1"/>
        </w:rPr>
        <w:t>, an element of further significance is the employment of Vygotsky’s ZPD within tasks set in the classroom environment (Vygotsky, 1978). The future aim after completing the microteach lesson is to scaffold learners and keep them in the ZPD for as long as possible in order to maximise the learning efforts. Finally, in keeping with the classroom environment the use of an ISM as a starter, has been shown to exercise interest in learners and allows learners to make inferences from the beginning of the lesson (Barnes, 2007). Yet, through the use of an ISM should always come relevance to the upcoming lesson in addition to the explanation behind the ISM in regards to the lesson or topic (Phi</w:t>
      </w:r>
      <w:r w:rsidR="00B255CF" w:rsidRPr="00B05823">
        <w:rPr>
          <w:rFonts w:ascii="Times New Roman" w:hAnsi="Times New Roman" w:cs="Times New Roman"/>
          <w:color w:val="000000" w:themeColor="text1"/>
        </w:rPr>
        <w:t>l</w:t>
      </w:r>
      <w:r w:rsidRPr="00B05823">
        <w:rPr>
          <w:rFonts w:ascii="Times New Roman" w:hAnsi="Times New Roman" w:cs="Times New Roman"/>
          <w:color w:val="000000" w:themeColor="text1"/>
        </w:rPr>
        <w:t>lips, 2002). Through the combination of relevant literature that has underpinned the scheme of work and lesson presented, it can be illustrated that each element of a lesson should be well-planned and have highlighted theory behind it.</w:t>
      </w:r>
    </w:p>
    <w:p w:rsidR="00EA689E" w:rsidRDefault="00BB61FE" w:rsidP="00B05823">
      <w:pPr>
        <w:spacing w:line="480" w:lineRule="auto"/>
        <w:jc w:val="both"/>
        <w:rPr>
          <w:rFonts w:ascii="Times New Roman" w:hAnsi="Times New Roman" w:cs="Times New Roman"/>
        </w:rPr>
      </w:pPr>
    </w:p>
    <w:p w:rsidR="00B05823" w:rsidRDefault="00B05823" w:rsidP="00B05823">
      <w:pPr>
        <w:spacing w:line="480" w:lineRule="auto"/>
        <w:jc w:val="both"/>
        <w:rPr>
          <w:rFonts w:ascii="Times New Roman" w:hAnsi="Times New Roman" w:cs="Times New Roman"/>
        </w:rPr>
      </w:pPr>
    </w:p>
    <w:p w:rsidR="00B05823" w:rsidRPr="00B05823" w:rsidRDefault="00B05823" w:rsidP="00B05823">
      <w:pPr>
        <w:spacing w:line="480" w:lineRule="auto"/>
        <w:jc w:val="both"/>
        <w:rPr>
          <w:rFonts w:ascii="Times New Roman" w:hAnsi="Times New Roman" w:cs="Times New Roman"/>
        </w:rPr>
      </w:pPr>
    </w:p>
    <w:p w:rsidR="00E17EB5" w:rsidRPr="00B05823" w:rsidRDefault="002361CC" w:rsidP="00B05823">
      <w:pPr>
        <w:spacing w:line="480" w:lineRule="auto"/>
        <w:jc w:val="both"/>
        <w:rPr>
          <w:rFonts w:ascii="Times New Roman" w:hAnsi="Times New Roman" w:cs="Times New Roman"/>
          <w:u w:val="single"/>
        </w:rPr>
      </w:pPr>
      <w:r w:rsidRPr="00B05823">
        <w:rPr>
          <w:rFonts w:ascii="Times New Roman" w:hAnsi="Times New Roman" w:cs="Times New Roman"/>
          <w:u w:val="single"/>
        </w:rPr>
        <w:lastRenderedPageBreak/>
        <w:t>Reflection</w:t>
      </w:r>
    </w:p>
    <w:p w:rsidR="00E17EB5" w:rsidRPr="00B05823" w:rsidRDefault="00E17EB5" w:rsidP="00B05823">
      <w:pPr>
        <w:pStyle w:val="NormalWeb"/>
        <w:spacing w:line="480" w:lineRule="auto"/>
        <w:jc w:val="both"/>
      </w:pPr>
      <w:r w:rsidRPr="00B05823">
        <w:t xml:space="preserve">The first professional teaching experience has allowed me to view my microteach lesson in a new light. Critically reviewing my microteach lesson promotes me to question the practices I once thought were appropriate during a lesson. The participation within a school has allowed me to see first-hand the results of better lesson planning, together with knowledge of learners needs to make learning accessible to all. Being present in a classroom environment in conjunction with working closely within a history department has illuminated the value in basic practices such as differentiation, timings, explanation and deliverance of visual aids. Each of these key aspects were featured as a point to build strength in following my microteach lesson. This essay will critically evaluate each of these features within the context of the microteach lesson, and will then highlight the connections with these features and learners understanding in addition to the development of these factors in reference to a classroom environment. </w:t>
      </w:r>
      <w:r w:rsidR="00B05823" w:rsidRPr="00B05823">
        <w:tab/>
      </w:r>
      <w:r w:rsidR="00B05823" w:rsidRPr="00B05823">
        <w:tab/>
      </w:r>
      <w:r w:rsidRPr="00B05823">
        <w:t xml:space="preserve">During my microteach lesson, I spent a lot of time talking through a PowerPoint with information. Upon reflection, and through feedback from the audience in addition to my tutor, it is clear that this style was too intense for the age group I intended it for (Ferris, 2011). The PowerPoint did include the main points, however it resulted in too much time talking to students. In the end, some of the class participants appeared uninspired because of this. In order to combat the lack of engagement, I will aim to keep the PowerPoint short and interesting while still retaining the important facts and key ideas of the lesson. Moreover, I will also aim to talk at learners to a minimum. In doing this, I will break the PowerPoint up with tasks set in between, as opposed to presenting the PowerPoint and leaving all tasks to the end. I believe this was a problem in my microteach lesson. </w:t>
      </w:r>
      <w:r w:rsidRPr="00B05823">
        <w:rPr>
          <w:color w:val="000000" w:themeColor="text1"/>
        </w:rPr>
        <w:t xml:space="preserve">In keeping the talking to a minimum, and the PowerPoint adorned with tasks it will help to address two issues in my microteach. Firstly, keeping a PowerPoint slide with a task on it, will help with explanation of the task. Secondly, keeping tasks built into the PowerPoint, and incorporating less talking will structure the lesson </w:t>
      </w:r>
      <w:r w:rsidRPr="00B05823">
        <w:rPr>
          <w:color w:val="000000" w:themeColor="text1"/>
        </w:rPr>
        <w:lastRenderedPageBreak/>
        <w:t xml:space="preserve">better and keep students focused in the lesson. </w:t>
      </w:r>
      <w:r w:rsidR="00B05823" w:rsidRPr="00B05823">
        <w:rPr>
          <w:color w:val="000000" w:themeColor="text1"/>
        </w:rPr>
        <w:tab/>
      </w:r>
      <w:r w:rsidR="00B05823">
        <w:rPr>
          <w:color w:val="000000" w:themeColor="text1"/>
        </w:rPr>
        <w:tab/>
      </w:r>
      <w:r w:rsidR="00B05823">
        <w:rPr>
          <w:color w:val="000000" w:themeColor="text1"/>
        </w:rPr>
        <w:tab/>
      </w:r>
      <w:r w:rsidR="00B05823">
        <w:rPr>
          <w:color w:val="000000" w:themeColor="text1"/>
        </w:rPr>
        <w:tab/>
      </w:r>
      <w:r w:rsidR="00B05823">
        <w:rPr>
          <w:color w:val="000000" w:themeColor="text1"/>
        </w:rPr>
        <w:tab/>
      </w:r>
      <w:r w:rsidR="00B05823" w:rsidRPr="00B05823">
        <w:rPr>
          <w:color w:val="000000" w:themeColor="text1"/>
        </w:rPr>
        <w:tab/>
      </w:r>
      <w:r w:rsidRPr="00B05823">
        <w:t xml:space="preserve">Furthermore, upon taking part in teaching practice, the work I set for my microteach lesson lacked an element of differentiation. For example, one class participant had finished the work I had set whilst others were still working. I did not anticipate for this to happen, and thus had nothing for said student to do. This became a flaw in my lesson as this appeared to happen in every task. In order to improve it would be a good idea to provide differentiated work for students. Through this, I will provide work that is suitable for all levels in that, the students who are finding that they are finishing the tasks I set for them relatively quickly will have an extension task to complete; and that students who are struggling with the work will have an element of scaffolding (Bates, 2016; Vygotsky, 1978) available to them in order to ensure that they are supported throughout the lesson. With the incorporation of a better range of differentiation I believe that students will feel more supported during lessons. If students are feeling as though they can achieve their goals with work that is set at their level but is still challenging enough to keep them in the Zone of Proximal Development (ZPD), </w:t>
      </w:r>
      <w:r w:rsidRPr="00B05823">
        <w:rPr>
          <w:color w:val="000000" w:themeColor="text1"/>
        </w:rPr>
        <w:t>(Vygotsky, 1978</w:t>
      </w:r>
      <w:r w:rsidRPr="00B05823">
        <w:t>) they will ultimately feel inspired to continue working thus resulting in a growth mindset (Dweck, 2006).</w:t>
      </w:r>
      <w:r w:rsidR="00B05823" w:rsidRPr="00B05823">
        <w:tab/>
      </w:r>
      <w:r w:rsidR="00B05823" w:rsidRPr="00B05823">
        <w:tab/>
      </w:r>
      <w:r w:rsidR="00B05823" w:rsidRPr="00B05823">
        <w:tab/>
      </w:r>
      <w:r w:rsidR="00895174">
        <w:tab/>
      </w:r>
      <w:r w:rsidR="00895174">
        <w:tab/>
      </w:r>
      <w:r w:rsidR="00895174">
        <w:tab/>
      </w:r>
      <w:r w:rsidR="00B05823" w:rsidRPr="00B05823">
        <w:tab/>
      </w:r>
      <w:r w:rsidR="00B05823" w:rsidRPr="00B05823">
        <w:tab/>
      </w:r>
      <w:r w:rsidR="00B05823" w:rsidRPr="00B05823">
        <w:tab/>
      </w:r>
      <w:r w:rsidR="00B05823" w:rsidRPr="00B05823">
        <w:tab/>
      </w:r>
      <w:r w:rsidRPr="00B05823">
        <w:t xml:space="preserve">Moreover, within the microteach lesson my explanation of tasks was slightly lacking. Due to the somewhat poor explanation of said tasks, some students were unsure as to what the work was asking them to do. I felt this was particularly evident within the plenary, as students were unsure whether to work as individuals, in groups or in pairs because I had failed to specify this until questioned. From my first professional teaching experience, I have seen how specific teachers are in their instructions so that learners are aware of what is expected of them, and what knowledge should be applied to said task. The value of clear explanations has become evident to me in the weeks after my microteach lesson. To improve on the clarification of the work I assign to learners, I will further plan my explanations in order to confirm that I am </w:t>
      </w:r>
      <w:r w:rsidRPr="00B05823">
        <w:lastRenderedPageBreak/>
        <w:t xml:space="preserve">gaining everyone’s understanding. Furthermore, I will be using ‘fan cards’ which uses different facial expressions and different colours so that students can keep these on their desks to indicate their understanding. I think this will be a useful classroom tool, as it allows me to evaluate how well I have explained the task and which students I should scaffold further (Vygotsky,1978). In doing this, I am hopeful that students will be able to show me how they feel without feeling any pressure of putting their hand up and admitting that they do not understand in front of the class. In using these ‘fan cards’ as a tool for explanation, I believe that students will feel more comfortable in showing me their confusion and in doing this, I can thus support them better. Finally, after being able to combat their uncertainty with better explanation and allow them to proceed with their task, behaviour will improve in theory, as students will be occupied with their work. </w:t>
      </w:r>
      <w:r w:rsidR="00B05823" w:rsidRPr="00B05823">
        <w:tab/>
      </w:r>
      <w:r w:rsidR="00B05823" w:rsidRPr="00B05823">
        <w:tab/>
      </w:r>
      <w:r w:rsidR="00B05823" w:rsidRPr="00B05823">
        <w:tab/>
      </w:r>
      <w:r w:rsidR="00B05823">
        <w:tab/>
      </w:r>
      <w:r w:rsidR="00B05823">
        <w:tab/>
      </w:r>
      <w:r w:rsidR="00895174">
        <w:tab/>
      </w:r>
      <w:r w:rsidR="00895174">
        <w:tab/>
      </w:r>
      <w:r w:rsidR="00895174">
        <w:tab/>
      </w:r>
      <w:r w:rsidR="00895174">
        <w:tab/>
      </w:r>
      <w:r w:rsidR="00B05823">
        <w:tab/>
      </w:r>
      <w:r w:rsidR="00B05823" w:rsidRPr="00B05823">
        <w:tab/>
      </w:r>
      <w:r w:rsidRPr="00B05823">
        <w:t xml:space="preserve">Finally, another area of improvement resulting from my microteach lesson is to accurately time each task and to allow learners to constantly be aware of the time they have assigned to this task. During my microteach lesson, an issue I faced was setting an inappropriate time limit for each respective task. Whilst it is appreciated that the participants within the microteach lesson were not at Key Stage 3 (KS3) level, the time limits assigned for each task appeared to be too long or too short. The importance of timing and keeping to an accurate time frame for each exercise set, has become evident to me during teaching experience. This experience has shown me that allowing an accurate time for an activity can be difficult to estimate. Nevertheless, the significance of keeping to an appropriate time frame is crucial to a well-planned and successful lesson. Through feedback from the audience present for the microteach lesson in addition to my tutor, a suggestion made was to use timers on the board so that learners would be aware of what time they have left for each task. I felt as this was a good suggestion, as it allows the learners to be selective and use their time wisely. In addition to this, the idea of a timer on the board encourages the teacher to stick to the allocated time for each </w:t>
      </w:r>
      <w:r w:rsidRPr="00B05823">
        <w:lastRenderedPageBreak/>
        <w:t>task. In improving the use of timing during a lesson, this will likely have an impact on learners. Learners will find that with the timings of each task improved, that they will be able to complete an exercise within a suitable amount of time thus eliminating students struggling when they have too little time, and students chatting when they have too much time and have resorted to chatting as a result.</w:t>
      </w:r>
      <w:r w:rsidR="00B05823" w:rsidRPr="00B05823">
        <w:tab/>
      </w:r>
      <w:r w:rsidR="00B05823" w:rsidRPr="00B05823">
        <w:tab/>
      </w:r>
      <w:r w:rsidRPr="00B05823">
        <w:t xml:space="preserve">The first professional teaching experience has allowed my thinking to develop in regards to my style of teaching. Whilst keeping to the Qualified Teacher Status (QTS) standards, it has shown me a range of ideas to bear in mind whilst taking part in the school placement. Firstly, in order to gain QTS standard ‘S3.3.10 – Using ICT’ the use of visual aids during lessons should be improved. Through the use of the QTS standards as a guideline it has become apparent to me that when ICT is used incorrectly, it can have a negative impact on learning. If I were to continue with lessons in the same fashion as the microteach lesson, it would have adverse effects on learners therefore indicating the gravity that this has on students. Furthermore, from reading QTS standard, ‘S3.3.4 – Differentiating teaching’, it is clearer to me now that in order for learning to become accessible to all, the entire range of abilities should be included, this includes students who are struggling but also students who are more able and talented. As I did not incorporate this into my microteach lesson, in order to meet this standard and gain QTS, I have understood the importance of differentiation and the implications that the lack of differentiation has on pupils learning. In addition to this I have expanded my thinking through the use of the QTS standards, </w:t>
      </w:r>
      <w:r w:rsidRPr="00B05823">
        <w:rPr>
          <w:color w:val="000000" w:themeColor="text1"/>
        </w:rPr>
        <w:t xml:space="preserve">notably ‘S3.3.7 – Time management’. </w:t>
      </w:r>
      <w:r w:rsidRPr="00B05823">
        <w:t xml:space="preserve">Considering this standard, and viewing the results of poor time management during a lesson; it is now known to me how crucial timings are in a successful lesson. As timings have been an issue for me, it is extremely important to consider time management as an area for improvement in order to comply with QTS standards. Finally, with reference to QTS standard ‘S3.3.3 – Delivering effective lessons’, it can be highlighted that an insufficient explanation is not part of an effective lesson. From recognising this, it is now apparent to me </w:t>
      </w:r>
      <w:r w:rsidRPr="00B05823">
        <w:lastRenderedPageBreak/>
        <w:t>that a desired outcome is a result of good explanation, in that students will be able to achieve once they understand the task ahead.</w:t>
      </w:r>
      <w:r w:rsidR="00B05823" w:rsidRPr="00B05823">
        <w:tab/>
      </w:r>
      <w:r w:rsidR="00B05823" w:rsidRPr="00B05823">
        <w:tab/>
      </w:r>
      <w:r w:rsidR="00B05823" w:rsidRPr="00B05823">
        <w:tab/>
      </w:r>
      <w:r w:rsidR="00B05823" w:rsidRPr="00B05823">
        <w:tab/>
      </w:r>
      <w:r w:rsidR="00B05823">
        <w:tab/>
      </w:r>
      <w:r w:rsidR="00895174">
        <w:tab/>
      </w:r>
      <w:r w:rsidR="00895174">
        <w:tab/>
      </w:r>
      <w:r w:rsidR="00895174">
        <w:tab/>
      </w:r>
      <w:r w:rsidR="00895174">
        <w:tab/>
      </w:r>
      <w:r w:rsidR="00B05823">
        <w:tab/>
      </w:r>
      <w:r w:rsidR="00B05823" w:rsidRPr="00B05823">
        <w:tab/>
      </w:r>
      <w:r w:rsidRPr="00B05823">
        <w:t xml:space="preserve">Through analysing the performance of the microteach lesson with the feedback from both audience members (including my tutor) of said lesson, in addition to observations and professional dialogue several conclusions can be drawn. Firstly, it should be noted that in light of the first teaching experience I am aware of how important it is to keep one’s audience in mind. From this, I am learning to ‘break up’ my visual aids with tasks on the board as opposed to using a lecture style tactic of presentation which was apparent in my microteach. Through implementing a different approach shown in my microteach, in the professional experience, I am confident to conclude that learners will feel more engaged and enthusiastic about the lesson. Additionally, an important point to consider for every lesson is an element of differentiation. Within my microteach lesson – I failed to consider this, which then had an effect on students who had finished early. In seeing first hand during placement the importance of differentiation for more able and talented (MAT) students, as well as students who may be struggling, it can be concluded that differentiation in lessons is crucial in ensuring a smooth lesson. Moreover, the explanation of tasks to students is an acknowledged area of improvement. The use of a clear and concise explanation is invaluable to a triumphant lesson, as it allows learners to feel confident in the task they are undertaking in addition to promoting better behaviour as learners will be constantly occupied with an exercise they are able to complete with the support of classroom resources as well as the teacher. Finally, from comments from my microteach lesson as well as to personal reflection, it is illustrated that the timing of a lesson, in addition to allowing students to see how much time of a task they have left for themselves is part of a criteria for success. I aim to do this through better planning and finding the suitable time limit for each exercise. Through the reflection and evaluation of my microteach assessment I aim for learners to not only feel challenged but will also be able to </w:t>
      </w:r>
      <w:r w:rsidRPr="00B05823">
        <w:lastRenderedPageBreak/>
        <w:t xml:space="preserve">accomplish exercises that have been tailored to keep them in the ZPD (Vygotsky, 1978) explained well via visual aids that keep them engaged, and which have the appropriate time limit. </w:t>
      </w:r>
    </w:p>
    <w:p w:rsidR="00E17EB5" w:rsidRPr="00B05823" w:rsidRDefault="00E17EB5" w:rsidP="00B05823">
      <w:pPr>
        <w:spacing w:line="480" w:lineRule="auto"/>
        <w:jc w:val="both"/>
        <w:rPr>
          <w:rFonts w:ascii="Times New Roman" w:hAnsi="Times New Roman" w:cs="Times New Roman"/>
        </w:rPr>
      </w:pPr>
    </w:p>
    <w:p w:rsidR="002361CC" w:rsidRPr="00B05823" w:rsidRDefault="002361CC" w:rsidP="00B05823">
      <w:pPr>
        <w:spacing w:line="480" w:lineRule="auto"/>
        <w:rPr>
          <w:rFonts w:ascii="Times New Roman" w:hAnsi="Times New Roman" w:cs="Times New Roman"/>
        </w:rPr>
      </w:pPr>
    </w:p>
    <w:p w:rsidR="002361CC" w:rsidRDefault="002361CC"/>
    <w:p w:rsidR="002361CC" w:rsidRDefault="002361CC"/>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FE79A9" w:rsidRDefault="00FE79A9"/>
    <w:p w:rsidR="002361CC" w:rsidRDefault="002361CC"/>
    <w:p w:rsidR="002361CC" w:rsidRDefault="002361CC"/>
    <w:p w:rsidR="001F59EF" w:rsidRPr="006318AD" w:rsidRDefault="001F59EF" w:rsidP="006318AD">
      <w:pPr>
        <w:spacing w:line="480" w:lineRule="auto"/>
        <w:rPr>
          <w:rFonts w:ascii="Times New Roman" w:hAnsi="Times New Roman" w:cs="Times New Roman"/>
          <w:u w:val="single"/>
        </w:rPr>
      </w:pPr>
      <w:r w:rsidRPr="006318AD">
        <w:rPr>
          <w:rFonts w:ascii="Times New Roman" w:hAnsi="Times New Roman" w:cs="Times New Roman"/>
          <w:u w:val="single"/>
        </w:rPr>
        <w:lastRenderedPageBreak/>
        <w:t xml:space="preserve">Bibliography </w:t>
      </w:r>
    </w:p>
    <w:p w:rsidR="002361CC" w:rsidRPr="006318AD" w:rsidRDefault="002361CC" w:rsidP="006318AD">
      <w:pPr>
        <w:spacing w:line="480" w:lineRule="auto"/>
        <w:rPr>
          <w:rFonts w:ascii="Times New Roman" w:hAnsi="Times New Roman" w:cs="Times New Roman"/>
          <w:u w:val="single"/>
        </w:rPr>
      </w:pPr>
    </w:p>
    <w:p w:rsidR="002361CC" w:rsidRPr="006318AD" w:rsidRDefault="002361CC" w:rsidP="006318AD">
      <w:pPr>
        <w:spacing w:line="480" w:lineRule="auto"/>
        <w:rPr>
          <w:rFonts w:ascii="Times New Roman" w:hAnsi="Times New Roman" w:cs="Times New Roman"/>
        </w:rPr>
      </w:pPr>
      <w:r w:rsidRPr="006318AD">
        <w:rPr>
          <w:rFonts w:ascii="Times New Roman" w:hAnsi="Times New Roman" w:cs="Times New Roman"/>
        </w:rPr>
        <w:t xml:space="preserve">ACCAC, (2003) </w:t>
      </w:r>
      <w:r w:rsidRPr="006318AD">
        <w:rPr>
          <w:rFonts w:ascii="Times New Roman" w:hAnsi="Times New Roman" w:cs="Times New Roman"/>
          <w:i/>
        </w:rPr>
        <w:t xml:space="preserve">Developing the Curriculum </w:t>
      </w:r>
      <w:proofErr w:type="spellStart"/>
      <w:r w:rsidRPr="006318AD">
        <w:rPr>
          <w:rFonts w:ascii="Times New Roman" w:hAnsi="Times New Roman" w:cs="Times New Roman"/>
          <w:i/>
        </w:rPr>
        <w:t>Cymreig</w:t>
      </w:r>
      <w:proofErr w:type="spellEnd"/>
      <w:r w:rsidRPr="006318AD">
        <w:rPr>
          <w:rFonts w:ascii="Times New Roman" w:hAnsi="Times New Roman" w:cs="Times New Roman"/>
          <w:i/>
        </w:rPr>
        <w:t xml:space="preserve">, </w:t>
      </w:r>
      <w:r w:rsidRPr="006318AD">
        <w:rPr>
          <w:rFonts w:ascii="Times New Roman" w:hAnsi="Times New Roman" w:cs="Times New Roman"/>
        </w:rPr>
        <w:t>Cardiff: ACCAC</w:t>
      </w:r>
    </w:p>
    <w:p w:rsidR="002361CC" w:rsidRPr="006318AD" w:rsidRDefault="002361CC" w:rsidP="006318AD">
      <w:pPr>
        <w:spacing w:line="480" w:lineRule="auto"/>
        <w:rPr>
          <w:rFonts w:ascii="Times New Roman" w:hAnsi="Times New Roman" w:cs="Times New Roman"/>
        </w:rPr>
      </w:pPr>
    </w:p>
    <w:p w:rsidR="002361CC" w:rsidRPr="006318AD" w:rsidRDefault="002361CC" w:rsidP="006318AD">
      <w:pPr>
        <w:spacing w:line="480" w:lineRule="auto"/>
        <w:rPr>
          <w:rFonts w:ascii="Times New Roman" w:hAnsi="Times New Roman" w:cs="Times New Roman"/>
        </w:rPr>
      </w:pPr>
      <w:r w:rsidRPr="006318AD">
        <w:rPr>
          <w:rFonts w:ascii="Times New Roman" w:hAnsi="Times New Roman" w:cs="Times New Roman"/>
        </w:rPr>
        <w:t xml:space="preserve">Barnes, S. (2007) </w:t>
      </w:r>
      <w:r w:rsidRPr="006318AD">
        <w:rPr>
          <w:rFonts w:ascii="Times New Roman" w:hAnsi="Times New Roman" w:cs="Times New Roman"/>
          <w:i/>
        </w:rPr>
        <w:t xml:space="preserve"> Meeting the Needs of Your Most Able Pupils: History, </w:t>
      </w:r>
      <w:r w:rsidRPr="006318AD">
        <w:rPr>
          <w:rFonts w:ascii="Times New Roman" w:hAnsi="Times New Roman" w:cs="Times New Roman"/>
        </w:rPr>
        <w:t xml:space="preserve">London: Routledge </w:t>
      </w:r>
    </w:p>
    <w:p w:rsidR="002361CC" w:rsidRPr="006318AD" w:rsidRDefault="002361CC" w:rsidP="006318AD">
      <w:pPr>
        <w:spacing w:line="480" w:lineRule="auto"/>
        <w:rPr>
          <w:rFonts w:ascii="Times New Roman" w:hAnsi="Times New Roman" w:cs="Times New Roman"/>
          <w:u w:val="single"/>
        </w:rPr>
      </w:pPr>
    </w:p>
    <w:p w:rsidR="002361CC" w:rsidRPr="006318AD" w:rsidRDefault="002361CC" w:rsidP="006318AD">
      <w:pPr>
        <w:spacing w:line="480" w:lineRule="auto"/>
        <w:rPr>
          <w:rFonts w:ascii="Times New Roman" w:hAnsi="Times New Roman" w:cs="Times New Roman"/>
        </w:rPr>
      </w:pPr>
      <w:r w:rsidRPr="006318AD">
        <w:rPr>
          <w:rFonts w:ascii="Times New Roman" w:hAnsi="Times New Roman" w:cs="Times New Roman"/>
        </w:rPr>
        <w:t xml:space="preserve">Bates, B. (2016) </w:t>
      </w:r>
      <w:r w:rsidRPr="006318AD">
        <w:rPr>
          <w:rFonts w:ascii="Times New Roman" w:hAnsi="Times New Roman" w:cs="Times New Roman"/>
          <w:i/>
        </w:rPr>
        <w:t xml:space="preserve">Learning Theories Simplified: …and how to apply them to teaching, </w:t>
      </w:r>
      <w:r w:rsidRPr="006318AD">
        <w:rPr>
          <w:rFonts w:ascii="Times New Roman" w:hAnsi="Times New Roman" w:cs="Times New Roman"/>
        </w:rPr>
        <w:t>London: Sage</w:t>
      </w:r>
    </w:p>
    <w:p w:rsidR="002361CC" w:rsidRPr="006318AD" w:rsidRDefault="002361CC" w:rsidP="006318AD">
      <w:pPr>
        <w:spacing w:line="480" w:lineRule="auto"/>
        <w:rPr>
          <w:rFonts w:ascii="Times New Roman" w:hAnsi="Times New Roman" w:cs="Times New Roman"/>
        </w:rPr>
      </w:pPr>
    </w:p>
    <w:p w:rsidR="002361CC" w:rsidRPr="006318AD" w:rsidRDefault="002361CC" w:rsidP="006318AD">
      <w:pPr>
        <w:spacing w:line="480" w:lineRule="auto"/>
        <w:rPr>
          <w:rFonts w:ascii="Times New Roman" w:hAnsi="Times New Roman" w:cs="Times New Roman"/>
        </w:rPr>
      </w:pPr>
      <w:proofErr w:type="spellStart"/>
      <w:r w:rsidRPr="006318AD">
        <w:rPr>
          <w:rFonts w:ascii="Times New Roman" w:hAnsi="Times New Roman" w:cs="Times New Roman"/>
        </w:rPr>
        <w:t>Chalkin</w:t>
      </w:r>
      <w:proofErr w:type="spellEnd"/>
      <w:r w:rsidRPr="006318AD">
        <w:rPr>
          <w:rFonts w:ascii="Times New Roman" w:hAnsi="Times New Roman" w:cs="Times New Roman"/>
        </w:rPr>
        <w:t xml:space="preserve">, S. (2003) ‘The Zone of Proximal Development in Vygotsky’s analysis of learning and instruction’ in </w:t>
      </w:r>
      <w:proofErr w:type="spellStart"/>
      <w:r w:rsidRPr="006318AD">
        <w:rPr>
          <w:rFonts w:ascii="Times New Roman" w:hAnsi="Times New Roman" w:cs="Times New Roman"/>
        </w:rPr>
        <w:t>Kozulin</w:t>
      </w:r>
      <w:proofErr w:type="spellEnd"/>
      <w:r w:rsidRPr="006318AD">
        <w:rPr>
          <w:rFonts w:ascii="Times New Roman" w:hAnsi="Times New Roman" w:cs="Times New Roman"/>
        </w:rPr>
        <w:t xml:space="preserve">, A. (ed.) </w:t>
      </w:r>
      <w:r w:rsidRPr="006318AD">
        <w:rPr>
          <w:rFonts w:ascii="Times New Roman" w:hAnsi="Times New Roman" w:cs="Times New Roman"/>
          <w:i/>
        </w:rPr>
        <w:t xml:space="preserve">Vygotsky’s educational theory and practice in cultural context, </w:t>
      </w:r>
      <w:r w:rsidRPr="006318AD">
        <w:rPr>
          <w:rFonts w:ascii="Times New Roman" w:hAnsi="Times New Roman" w:cs="Times New Roman"/>
        </w:rPr>
        <w:t xml:space="preserve">Cambridge: Cambridge University Press </w:t>
      </w:r>
    </w:p>
    <w:p w:rsidR="002361CC" w:rsidRPr="006318AD" w:rsidRDefault="002361CC" w:rsidP="006318AD">
      <w:pPr>
        <w:spacing w:line="480" w:lineRule="auto"/>
        <w:rPr>
          <w:rFonts w:ascii="Times New Roman" w:hAnsi="Times New Roman" w:cs="Times New Roman"/>
        </w:rPr>
      </w:pPr>
    </w:p>
    <w:p w:rsidR="002361CC" w:rsidRPr="006318AD" w:rsidRDefault="002361CC" w:rsidP="006318AD">
      <w:pPr>
        <w:spacing w:line="480" w:lineRule="auto"/>
        <w:rPr>
          <w:rFonts w:ascii="Times New Roman" w:hAnsi="Times New Roman" w:cs="Times New Roman"/>
        </w:rPr>
      </w:pPr>
      <w:r w:rsidRPr="006318AD">
        <w:rPr>
          <w:rFonts w:ascii="Times New Roman" w:hAnsi="Times New Roman" w:cs="Times New Roman"/>
        </w:rPr>
        <w:t xml:space="preserve">Dewey, J. (1963) </w:t>
      </w:r>
      <w:r w:rsidRPr="006318AD">
        <w:rPr>
          <w:rFonts w:ascii="Times New Roman" w:hAnsi="Times New Roman" w:cs="Times New Roman"/>
          <w:i/>
        </w:rPr>
        <w:t xml:space="preserve">Experience and Education, </w:t>
      </w:r>
      <w:r w:rsidRPr="006318AD">
        <w:rPr>
          <w:rFonts w:ascii="Times New Roman" w:hAnsi="Times New Roman" w:cs="Times New Roman"/>
        </w:rPr>
        <w:t xml:space="preserve">New York: Collier Books </w:t>
      </w:r>
    </w:p>
    <w:p w:rsidR="002361CC" w:rsidRPr="006318AD" w:rsidRDefault="002361CC" w:rsidP="006318AD">
      <w:pPr>
        <w:spacing w:line="480" w:lineRule="auto"/>
        <w:rPr>
          <w:rFonts w:ascii="Times New Roman" w:hAnsi="Times New Roman" w:cs="Times New Roman"/>
        </w:rPr>
      </w:pPr>
    </w:p>
    <w:p w:rsidR="002361CC" w:rsidRPr="006318AD" w:rsidRDefault="002361CC" w:rsidP="006318AD">
      <w:pPr>
        <w:spacing w:line="480" w:lineRule="auto"/>
        <w:rPr>
          <w:rFonts w:ascii="Times New Roman" w:hAnsi="Times New Roman" w:cs="Times New Roman"/>
        </w:rPr>
      </w:pPr>
      <w:r w:rsidRPr="006318AD">
        <w:rPr>
          <w:rFonts w:ascii="Times New Roman" w:hAnsi="Times New Roman" w:cs="Times New Roman"/>
        </w:rPr>
        <w:t xml:space="preserve">Dweck, C. S. (2006) </w:t>
      </w:r>
      <w:r w:rsidRPr="006318AD">
        <w:rPr>
          <w:rFonts w:ascii="Times New Roman" w:hAnsi="Times New Roman" w:cs="Times New Roman"/>
          <w:i/>
        </w:rPr>
        <w:t xml:space="preserve">Mindset: The New Psychology of Success, </w:t>
      </w:r>
      <w:r w:rsidRPr="006318AD">
        <w:rPr>
          <w:rFonts w:ascii="Times New Roman" w:hAnsi="Times New Roman" w:cs="Times New Roman"/>
        </w:rPr>
        <w:t>New York: Random House</w:t>
      </w:r>
    </w:p>
    <w:p w:rsidR="002361CC" w:rsidRPr="006318AD" w:rsidRDefault="002361CC" w:rsidP="006318AD">
      <w:pPr>
        <w:spacing w:line="480" w:lineRule="auto"/>
        <w:rPr>
          <w:rFonts w:ascii="Times New Roman" w:hAnsi="Times New Roman" w:cs="Times New Roman"/>
        </w:rPr>
      </w:pPr>
    </w:p>
    <w:p w:rsidR="002361CC" w:rsidRPr="006318AD" w:rsidRDefault="002361CC" w:rsidP="006318AD">
      <w:pPr>
        <w:spacing w:line="480" w:lineRule="auto"/>
        <w:rPr>
          <w:rFonts w:ascii="Times New Roman" w:hAnsi="Times New Roman" w:cs="Times New Roman"/>
        </w:rPr>
      </w:pPr>
      <w:r w:rsidRPr="006318AD">
        <w:rPr>
          <w:rFonts w:ascii="Times New Roman" w:hAnsi="Times New Roman" w:cs="Times New Roman"/>
        </w:rPr>
        <w:t xml:space="preserve">Ferris, S. P. et al. (2011) </w:t>
      </w:r>
      <w:r w:rsidRPr="006318AD">
        <w:rPr>
          <w:rFonts w:ascii="Times New Roman" w:hAnsi="Times New Roman" w:cs="Times New Roman"/>
          <w:i/>
        </w:rPr>
        <w:t xml:space="preserve">Teaching, learning, and the Net generation: concepts and tools for reaching digital learners,  </w:t>
      </w:r>
      <w:r w:rsidRPr="006318AD">
        <w:rPr>
          <w:rFonts w:ascii="Times New Roman" w:hAnsi="Times New Roman" w:cs="Times New Roman"/>
        </w:rPr>
        <w:t xml:space="preserve">USA: Information Science Reference </w:t>
      </w:r>
    </w:p>
    <w:p w:rsidR="001F59EF" w:rsidRPr="006318AD" w:rsidRDefault="001F59EF" w:rsidP="006318AD">
      <w:pPr>
        <w:spacing w:line="480" w:lineRule="auto"/>
        <w:rPr>
          <w:rFonts w:ascii="Times New Roman" w:hAnsi="Times New Roman" w:cs="Times New Roman"/>
          <w:u w:val="single"/>
        </w:rPr>
      </w:pPr>
    </w:p>
    <w:p w:rsidR="002B3342" w:rsidRPr="006318AD" w:rsidRDefault="001F59EF" w:rsidP="006318AD">
      <w:pPr>
        <w:spacing w:line="480" w:lineRule="auto"/>
        <w:rPr>
          <w:rFonts w:ascii="Times New Roman" w:hAnsi="Times New Roman" w:cs="Times New Roman"/>
        </w:rPr>
      </w:pPr>
      <w:r w:rsidRPr="006318AD">
        <w:rPr>
          <w:rFonts w:ascii="Times New Roman" w:hAnsi="Times New Roman" w:cs="Times New Roman"/>
        </w:rPr>
        <w:t xml:space="preserve">Hayden, T. et al. (1997) </w:t>
      </w:r>
      <w:r w:rsidRPr="006318AD">
        <w:rPr>
          <w:rFonts w:ascii="Times New Roman" w:hAnsi="Times New Roman" w:cs="Times New Roman"/>
          <w:i/>
        </w:rPr>
        <w:t xml:space="preserve">Learning to Teach History in the Secondary School: A Companion to School Experience, </w:t>
      </w:r>
      <w:r w:rsidR="002B3342" w:rsidRPr="006318AD">
        <w:rPr>
          <w:rFonts w:ascii="Times New Roman" w:hAnsi="Times New Roman" w:cs="Times New Roman"/>
        </w:rPr>
        <w:t xml:space="preserve">Oxon: Routledge </w:t>
      </w:r>
    </w:p>
    <w:p w:rsidR="002361CC" w:rsidRPr="006318AD" w:rsidRDefault="002361CC" w:rsidP="006318AD">
      <w:pPr>
        <w:spacing w:line="480" w:lineRule="auto"/>
        <w:rPr>
          <w:rFonts w:ascii="Times New Roman" w:hAnsi="Times New Roman" w:cs="Times New Roman"/>
        </w:rPr>
      </w:pPr>
    </w:p>
    <w:p w:rsidR="002361CC" w:rsidRPr="006318AD" w:rsidRDefault="002361CC" w:rsidP="006318AD">
      <w:pPr>
        <w:spacing w:line="480" w:lineRule="auto"/>
        <w:rPr>
          <w:rFonts w:ascii="Times New Roman" w:hAnsi="Times New Roman" w:cs="Times New Roman"/>
        </w:rPr>
      </w:pPr>
      <w:r w:rsidRPr="006318AD">
        <w:rPr>
          <w:rFonts w:ascii="Times New Roman" w:hAnsi="Times New Roman" w:cs="Times New Roman"/>
        </w:rPr>
        <w:t xml:space="preserve">Phillips, R. (2002) </w:t>
      </w:r>
      <w:r w:rsidRPr="006318AD">
        <w:rPr>
          <w:rFonts w:ascii="Times New Roman" w:hAnsi="Times New Roman" w:cs="Times New Roman"/>
          <w:i/>
        </w:rPr>
        <w:t xml:space="preserve">Reflective Teaching of History 11-18: Meeting Standards and Applying Research, </w:t>
      </w:r>
      <w:r w:rsidRPr="006318AD">
        <w:rPr>
          <w:rFonts w:ascii="Times New Roman" w:hAnsi="Times New Roman" w:cs="Times New Roman"/>
        </w:rPr>
        <w:t>London: Continuum</w:t>
      </w:r>
    </w:p>
    <w:p w:rsidR="002361CC" w:rsidRPr="006318AD" w:rsidRDefault="002361CC" w:rsidP="006318AD">
      <w:pPr>
        <w:spacing w:line="480" w:lineRule="auto"/>
        <w:rPr>
          <w:rFonts w:ascii="Times New Roman" w:hAnsi="Times New Roman" w:cs="Times New Roman"/>
        </w:rPr>
      </w:pPr>
    </w:p>
    <w:p w:rsidR="002361CC" w:rsidRPr="006318AD" w:rsidRDefault="002361CC" w:rsidP="006318AD">
      <w:pPr>
        <w:spacing w:line="480" w:lineRule="auto"/>
        <w:rPr>
          <w:rFonts w:ascii="Times New Roman" w:hAnsi="Times New Roman" w:cs="Times New Roman"/>
        </w:rPr>
      </w:pPr>
      <w:proofErr w:type="spellStart"/>
      <w:r w:rsidRPr="006318AD">
        <w:rPr>
          <w:rFonts w:ascii="Times New Roman" w:hAnsi="Times New Roman" w:cs="Times New Roman"/>
        </w:rPr>
        <w:t>Shabani</w:t>
      </w:r>
      <w:proofErr w:type="spellEnd"/>
      <w:r w:rsidRPr="006318AD">
        <w:rPr>
          <w:rFonts w:ascii="Times New Roman" w:hAnsi="Times New Roman" w:cs="Times New Roman"/>
        </w:rPr>
        <w:t xml:space="preserve">, K. et al. (2010) </w:t>
      </w:r>
      <w:r w:rsidRPr="006318AD">
        <w:rPr>
          <w:rFonts w:ascii="Times New Roman" w:hAnsi="Times New Roman" w:cs="Times New Roman"/>
          <w:i/>
        </w:rPr>
        <w:t xml:space="preserve">Vygotsky’s Zone of Proximal Development: Instructional Implications and Teachers’ Professional Development, </w:t>
      </w:r>
      <w:r w:rsidRPr="006318AD">
        <w:rPr>
          <w:rFonts w:ascii="Times New Roman" w:hAnsi="Times New Roman" w:cs="Times New Roman"/>
        </w:rPr>
        <w:t xml:space="preserve">Unpublished PhD thesis. University of Tehran  </w:t>
      </w:r>
    </w:p>
    <w:p w:rsidR="002361CC" w:rsidRPr="006318AD" w:rsidRDefault="002361CC" w:rsidP="006318AD">
      <w:pPr>
        <w:spacing w:line="480" w:lineRule="auto"/>
        <w:rPr>
          <w:rFonts w:ascii="Times New Roman" w:hAnsi="Times New Roman" w:cs="Times New Roman"/>
        </w:rPr>
      </w:pPr>
    </w:p>
    <w:p w:rsidR="002361CC" w:rsidRPr="006318AD" w:rsidRDefault="002361CC" w:rsidP="006318AD">
      <w:pPr>
        <w:spacing w:line="480" w:lineRule="auto"/>
        <w:rPr>
          <w:rFonts w:ascii="Times New Roman" w:hAnsi="Times New Roman" w:cs="Times New Roman"/>
        </w:rPr>
      </w:pPr>
      <w:r w:rsidRPr="006318AD">
        <w:rPr>
          <w:rFonts w:ascii="Times New Roman" w:hAnsi="Times New Roman" w:cs="Times New Roman"/>
        </w:rPr>
        <w:t xml:space="preserve">Smith, K. (2010) </w:t>
      </w:r>
      <w:r w:rsidRPr="006318AD">
        <w:rPr>
          <w:rFonts w:ascii="Times New Roman" w:hAnsi="Times New Roman" w:cs="Times New Roman"/>
          <w:i/>
        </w:rPr>
        <w:t xml:space="preserve">A Critical Discourse Analysis of Developing the Curriculum </w:t>
      </w:r>
      <w:proofErr w:type="spellStart"/>
      <w:r w:rsidRPr="006318AD">
        <w:rPr>
          <w:rFonts w:ascii="Times New Roman" w:hAnsi="Times New Roman" w:cs="Times New Roman"/>
          <w:i/>
        </w:rPr>
        <w:t>Cymreig</w:t>
      </w:r>
      <w:proofErr w:type="spellEnd"/>
      <w:r w:rsidRPr="006318AD">
        <w:rPr>
          <w:rFonts w:ascii="Times New Roman" w:hAnsi="Times New Roman" w:cs="Times New Roman"/>
          <w:i/>
        </w:rPr>
        <w:t xml:space="preserve">: The Language of Learning </w:t>
      </w:r>
      <w:proofErr w:type="spellStart"/>
      <w:r w:rsidRPr="006318AD">
        <w:rPr>
          <w:rFonts w:ascii="Times New Roman" w:hAnsi="Times New Roman" w:cs="Times New Roman"/>
          <w:i/>
        </w:rPr>
        <w:t>Welshness</w:t>
      </w:r>
      <w:proofErr w:type="spellEnd"/>
      <w:r w:rsidRPr="006318AD">
        <w:rPr>
          <w:rFonts w:ascii="Times New Roman" w:hAnsi="Times New Roman" w:cs="Times New Roman"/>
          <w:i/>
        </w:rPr>
        <w:t xml:space="preserve">, </w:t>
      </w:r>
      <w:r w:rsidRPr="006318AD">
        <w:rPr>
          <w:rFonts w:ascii="Times New Roman" w:hAnsi="Times New Roman" w:cs="Times New Roman"/>
        </w:rPr>
        <w:t xml:space="preserve">Unpublished PhD thesis. Miami University </w:t>
      </w:r>
    </w:p>
    <w:p w:rsidR="002B3342" w:rsidRPr="006318AD" w:rsidRDefault="002B3342" w:rsidP="006318AD">
      <w:pPr>
        <w:spacing w:line="480" w:lineRule="auto"/>
        <w:rPr>
          <w:rFonts w:ascii="Times New Roman" w:hAnsi="Times New Roman" w:cs="Times New Roman"/>
          <w:i/>
        </w:rPr>
      </w:pPr>
    </w:p>
    <w:p w:rsidR="002B3342" w:rsidRPr="006318AD" w:rsidRDefault="002B3342" w:rsidP="006318AD">
      <w:pPr>
        <w:spacing w:line="480" w:lineRule="auto"/>
        <w:rPr>
          <w:rFonts w:ascii="Times New Roman" w:hAnsi="Times New Roman" w:cs="Times New Roman"/>
        </w:rPr>
      </w:pPr>
      <w:r w:rsidRPr="006318AD">
        <w:rPr>
          <w:rFonts w:ascii="Times New Roman" w:hAnsi="Times New Roman" w:cs="Times New Roman"/>
        </w:rPr>
        <w:t xml:space="preserve">Vygotsky, L. S. (1978) </w:t>
      </w:r>
      <w:r w:rsidRPr="006318AD">
        <w:rPr>
          <w:rFonts w:ascii="Times New Roman" w:hAnsi="Times New Roman" w:cs="Times New Roman"/>
          <w:i/>
        </w:rPr>
        <w:t xml:space="preserve">Mind in Society: The Development of Higher Psychological Processes, </w:t>
      </w:r>
      <w:r w:rsidRPr="006318AD">
        <w:rPr>
          <w:rFonts w:ascii="Times New Roman" w:hAnsi="Times New Roman" w:cs="Times New Roman"/>
        </w:rPr>
        <w:t xml:space="preserve">Cambridge: Harvard University Press </w:t>
      </w:r>
    </w:p>
    <w:p w:rsidR="00484691" w:rsidRPr="006318AD" w:rsidRDefault="00484691" w:rsidP="006318AD">
      <w:pPr>
        <w:spacing w:line="480" w:lineRule="auto"/>
        <w:rPr>
          <w:rFonts w:ascii="Times New Roman" w:hAnsi="Times New Roman" w:cs="Times New Roman"/>
        </w:rPr>
      </w:pPr>
    </w:p>
    <w:p w:rsidR="00CE56D6" w:rsidRPr="006318AD" w:rsidRDefault="00CE56D6" w:rsidP="006318AD">
      <w:pPr>
        <w:spacing w:line="480" w:lineRule="auto"/>
        <w:rPr>
          <w:rFonts w:ascii="Times New Roman" w:hAnsi="Times New Roman" w:cs="Times New Roman"/>
        </w:rPr>
      </w:pPr>
      <w:r w:rsidRPr="006318AD">
        <w:rPr>
          <w:rFonts w:ascii="Times New Roman" w:hAnsi="Times New Roman" w:cs="Times New Roman"/>
        </w:rPr>
        <w:t xml:space="preserve">Welsh Assembly Government (2009), </w:t>
      </w:r>
      <w:r w:rsidRPr="006318AD">
        <w:rPr>
          <w:rFonts w:ascii="Times New Roman" w:hAnsi="Times New Roman" w:cs="Times New Roman"/>
          <w:i/>
        </w:rPr>
        <w:t xml:space="preserve">Becoming a Qualified Teacher: Handbook of Guidance, </w:t>
      </w:r>
      <w:r w:rsidR="00356217" w:rsidRPr="006318AD">
        <w:rPr>
          <w:rFonts w:ascii="Times New Roman" w:hAnsi="Times New Roman" w:cs="Times New Roman"/>
        </w:rPr>
        <w:t>Cardiff: Welsh Assembly Government</w:t>
      </w:r>
    </w:p>
    <w:p w:rsidR="005C5DEE" w:rsidRDefault="005C5DEE"/>
    <w:p w:rsidR="00185ADC" w:rsidRDefault="00185ADC"/>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Default="006318AD"/>
    <w:p w:rsidR="006318AD" w:rsidRPr="00B20307" w:rsidRDefault="006318AD" w:rsidP="006318AD">
      <w:pPr>
        <w:jc w:val="center"/>
        <w:rPr>
          <w:rFonts w:ascii="Calibri" w:eastAsia="Times New Roman" w:hAnsi="Calibri" w:cs="Calibri"/>
          <w:b/>
        </w:rPr>
      </w:pPr>
    </w:p>
    <w:tbl>
      <w:tblPr>
        <w:tblW w:w="15171" w:type="dxa"/>
        <w:tblInd w:w="18" w:type="dxa"/>
        <w:tblLayout w:type="fixed"/>
        <w:tblCellMar>
          <w:left w:w="126" w:type="dxa"/>
          <w:right w:w="126" w:type="dxa"/>
        </w:tblCellMar>
        <w:tblLook w:val="0000" w:firstRow="0" w:lastRow="0" w:firstColumn="0" w:lastColumn="0" w:noHBand="0" w:noVBand="0"/>
      </w:tblPr>
      <w:tblGrid>
        <w:gridCol w:w="108"/>
        <w:gridCol w:w="284"/>
        <w:gridCol w:w="5170"/>
        <w:gridCol w:w="8999"/>
        <w:gridCol w:w="6"/>
        <w:gridCol w:w="604"/>
      </w:tblGrid>
      <w:tr w:rsidR="006318AD" w:rsidRPr="00B20307" w:rsidTr="00FD119B">
        <w:trPr>
          <w:gridBefore w:val="1"/>
          <w:wBefore w:w="108" w:type="dxa"/>
          <w:trHeight w:val="536"/>
        </w:trPr>
        <w:tc>
          <w:tcPr>
            <w:tcW w:w="284" w:type="dxa"/>
            <w:tcBorders>
              <w:right w:val="single" w:sz="4" w:space="0" w:color="auto"/>
            </w:tcBorders>
          </w:tcPr>
          <w:p w:rsidR="006318AD" w:rsidRPr="00B20307" w:rsidRDefault="006318AD" w:rsidP="00FD119B">
            <w:pPr>
              <w:spacing w:line="163" w:lineRule="exact"/>
              <w:rPr>
                <w:rFonts w:ascii="Arial" w:eastAsia="Times New Roman" w:hAnsi="Arial" w:cs="Times New Roman"/>
                <w:szCs w:val="20"/>
                <w:lang w:val="en-US"/>
              </w:rPr>
            </w:pPr>
          </w:p>
          <w:p w:rsidR="006318AD" w:rsidRPr="00B20307" w:rsidRDefault="006318AD" w:rsidP="00FD119B">
            <w:pPr>
              <w:spacing w:after="19"/>
              <w:rPr>
                <w:rFonts w:ascii="Arial" w:eastAsia="Times New Roman" w:hAnsi="Arial" w:cs="Times New Roman"/>
              </w:rPr>
            </w:pPr>
          </w:p>
        </w:tc>
        <w:tc>
          <w:tcPr>
            <w:tcW w:w="14175" w:type="dxa"/>
            <w:gridSpan w:val="3"/>
            <w:tcBorders>
              <w:top w:val="single" w:sz="4" w:space="0" w:color="auto"/>
              <w:left w:val="single" w:sz="4" w:space="0" w:color="auto"/>
              <w:bottom w:val="single" w:sz="4" w:space="0" w:color="auto"/>
              <w:right w:val="single" w:sz="4" w:space="0" w:color="auto"/>
            </w:tcBorders>
          </w:tcPr>
          <w:p w:rsidR="006318AD" w:rsidRPr="00695D6E" w:rsidRDefault="006318AD" w:rsidP="006318AD">
            <w:pPr>
              <w:rPr>
                <w:rFonts w:eastAsia="Times New Roman"/>
                <w:b/>
                <w:sz w:val="28"/>
                <w:szCs w:val="28"/>
              </w:rPr>
            </w:pPr>
            <w:bookmarkStart w:id="0" w:name="_Toc334522047"/>
            <w:r w:rsidRPr="00695D6E">
              <w:rPr>
                <w:rFonts w:eastAsia="Times New Roman"/>
                <w:b/>
                <w:sz w:val="28"/>
                <w:szCs w:val="28"/>
              </w:rPr>
              <w:t>ACTION PLAN  -  Objectives and programme for Term</w:t>
            </w:r>
            <w:bookmarkEnd w:id="0"/>
            <w:r>
              <w:rPr>
                <w:rFonts w:eastAsia="Times New Roman"/>
                <w:b/>
                <w:sz w:val="28"/>
                <w:szCs w:val="28"/>
              </w:rPr>
              <w:t xml:space="preserve"> 1</w:t>
            </w:r>
          </w:p>
        </w:tc>
        <w:tc>
          <w:tcPr>
            <w:tcW w:w="604" w:type="dxa"/>
            <w:tcBorders>
              <w:left w:val="single" w:sz="4" w:space="0" w:color="auto"/>
            </w:tcBorders>
          </w:tcPr>
          <w:p w:rsidR="006318AD" w:rsidRPr="00B20307" w:rsidRDefault="006318AD" w:rsidP="00FD119B">
            <w:pPr>
              <w:tabs>
                <w:tab w:val="right" w:leader="dot" w:pos="3898"/>
              </w:tabs>
              <w:spacing w:after="19"/>
              <w:ind w:left="720"/>
              <w:rPr>
                <w:rFonts w:ascii="Arial" w:eastAsia="Times New Roman" w:hAnsi="Arial" w:cs="Times New Roman"/>
                <w:sz w:val="20"/>
              </w:rPr>
            </w:pPr>
          </w:p>
        </w:tc>
      </w:tr>
      <w:tr w:rsidR="006318AD" w:rsidRPr="00B20307" w:rsidTr="00FD119B">
        <w:tblPrEx>
          <w:tblCellMar>
            <w:left w:w="108" w:type="dxa"/>
            <w:right w:w="108" w:type="dxa"/>
          </w:tblCellMar>
        </w:tblPrEx>
        <w:trPr>
          <w:gridAfter w:val="2"/>
          <w:wAfter w:w="610" w:type="dxa"/>
          <w:trHeight w:val="414"/>
        </w:trPr>
        <w:tc>
          <w:tcPr>
            <w:tcW w:w="5562" w:type="dxa"/>
            <w:gridSpan w:val="3"/>
          </w:tcPr>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1312" behindDoc="0" locked="0" layoutInCell="1" allowOverlap="1" wp14:anchorId="1876F729" wp14:editId="26F48D9A">
                      <wp:simplePos x="0" y="0"/>
                      <wp:positionH relativeFrom="column">
                        <wp:posOffset>-676275</wp:posOffset>
                      </wp:positionH>
                      <wp:positionV relativeFrom="paragraph">
                        <wp:posOffset>159141</wp:posOffset>
                      </wp:positionV>
                      <wp:extent cx="2857500" cy="342900"/>
                      <wp:effectExtent l="10160" t="13335" r="8890" b="5715"/>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342900"/>
                              </a:xfrm>
                              <a:prstGeom prst="rect">
                                <a:avLst/>
                              </a:prstGeom>
                              <a:solidFill>
                                <a:srgbClr val="FFFFFF"/>
                              </a:solidFill>
                              <a:ln w="9525">
                                <a:solidFill>
                                  <a:srgbClr val="000000"/>
                                </a:solidFill>
                                <a:miter lim="800000"/>
                                <a:headEnd/>
                                <a:tailEnd/>
                              </a:ln>
                            </wps:spPr>
                            <wps:txbx>
                              <w:txbxContent>
                                <w:p w:rsidR="006318AD" w:rsidRPr="002D4D50" w:rsidRDefault="006318AD" w:rsidP="006318AD">
                                  <w:pPr>
                                    <w:rPr>
                                      <w:b/>
                                      <w:sz w:val="20"/>
                                    </w:rPr>
                                  </w:pPr>
                                  <w:r w:rsidRPr="002D4D50">
                                    <w:rPr>
                                      <w:b/>
                                      <w:sz w:val="20"/>
                                    </w:rPr>
                                    <w:t>Name</w:t>
                                  </w:r>
                                  <w:r>
                                    <w:rPr>
                                      <w:b/>
                                      <w:sz w:val="20"/>
                                    </w:rPr>
                                    <w:t>: Jesse Jones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876F729" id="_x0000_t202" coordsize="21600,21600" o:spt="202" path="m,l,21600r21600,l21600,xe">
                      <v:stroke joinstyle="miter"/>
                      <v:path gradientshapeok="t" o:connecttype="rect"/>
                    </v:shapetype>
                    <v:shape id="Text Box 50" o:spid="_x0000_s1026" type="#_x0000_t202" style="position:absolute;margin-left:-53.25pt;margin-top:12.55pt;width:22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">
                      <v:textbox>
                        <w:txbxContent>
                          <w:p w:rsidR="006318AD" w:rsidRPr="002D4D50" w:rsidRDefault="006318AD" w:rsidP="006318AD">
                            <w:pPr>
                              <w:rPr>
                                <w:b/>
                                <w:sz w:val="20"/>
                              </w:rPr>
                            </w:pPr>
                            <w:r w:rsidRPr="002D4D50">
                              <w:rPr>
                                <w:b/>
                                <w:sz w:val="20"/>
                              </w:rPr>
                              <w:t>Name</w:t>
                            </w:r>
                            <w:r>
                              <w:rPr>
                                <w:b/>
                                <w:sz w:val="20"/>
                              </w:rPr>
                              <w:t>: Jesse Jones</w:t>
                            </w:r>
                          </w:p>
                        </w:txbxContent>
                      </v:textbox>
                    </v:shape>
                  </w:pict>
                </mc:Fallback>
              </mc:AlternateContent>
            </w:r>
          </w:p>
          <w:p w:rsidR="006318AD" w:rsidRPr="00B20307" w:rsidRDefault="006318AD" w:rsidP="00FD119B">
            <w:pPr>
              <w:tabs>
                <w:tab w:val="left" w:pos="-720"/>
                <w:tab w:val="left" w:pos="360"/>
                <w:tab w:val="left" w:pos="720"/>
                <w:tab w:val="left" w:pos="1440"/>
                <w:tab w:val="left" w:pos="2160"/>
                <w:tab w:val="left" w:pos="2880"/>
                <w:tab w:val="left" w:pos="3330"/>
                <w:tab w:val="left" w:pos="4320"/>
              </w:tabs>
              <w:ind w:firstLine="360"/>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3360" behindDoc="0" locked="0" layoutInCell="1" allowOverlap="1" wp14:anchorId="0EE91F25" wp14:editId="205C8BE3">
                      <wp:simplePos x="0" y="0"/>
                      <wp:positionH relativeFrom="column">
                        <wp:posOffset>2364105</wp:posOffset>
                      </wp:positionH>
                      <wp:positionV relativeFrom="paragraph">
                        <wp:posOffset>19050</wp:posOffset>
                      </wp:positionV>
                      <wp:extent cx="2743200" cy="342900"/>
                      <wp:effectExtent l="13335" t="9525" r="5715" b="9525"/>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342900"/>
                              </a:xfrm>
                              <a:prstGeom prst="rect">
                                <a:avLst/>
                              </a:prstGeom>
                              <a:solidFill>
                                <a:srgbClr val="FFFFFF"/>
                              </a:solidFill>
                              <a:ln w="9525">
                                <a:solidFill>
                                  <a:srgbClr val="000000"/>
                                </a:solidFill>
                                <a:miter lim="800000"/>
                                <a:headEnd/>
                                <a:tailEnd/>
                              </a:ln>
                            </wps:spPr>
                            <wps:txbx>
                              <w:txbxContent>
                                <w:p w:rsidR="006318AD" w:rsidRPr="002D4D50" w:rsidRDefault="006318AD" w:rsidP="006318AD">
                                  <w:pPr>
                                    <w:rPr>
                                      <w:b/>
                                      <w:sz w:val="20"/>
                                    </w:rPr>
                                  </w:pPr>
                                  <w:r w:rsidRPr="002D4D50">
                                    <w:rPr>
                                      <w:b/>
                                      <w:sz w:val="20"/>
                                    </w:rPr>
                                    <w:t>Subject</w:t>
                                  </w:r>
                                  <w:r>
                                    <w:rPr>
                                      <w:b/>
                                      <w:sz w:val="20"/>
                                    </w:rPr>
                                    <w:t>: History</w:t>
                                  </w:r>
                                  <w:r>
                                    <w:rPr>
                                      <w:b/>
                                      <w:sz w:val="20"/>
                                    </w:rPr>
                                    <w:t xml:space="preserve"> </w:t>
                                  </w:r>
                                  <w:r>
                                    <w:rPr>
                                      <w:b/>
                                      <w:sz w:val="20"/>
                                    </w:rPr>
                                    <w:tab/>
                                  </w:r>
                                  <w:r>
                                    <w:rPr>
                                      <w:b/>
                                      <w:sz w:val="20"/>
                                    </w:rPr>
                                    <w:tab/>
                                    <w:t xml:space="preserve">Date: </w:t>
                                  </w:r>
                                  <w:r>
                                    <w:rPr>
                                      <w:b/>
                                      <w:sz w:val="20"/>
                                    </w:rPr>
                                    <w:t>2.11.</w:t>
                                  </w:r>
                                  <w:bookmarkStart w:id="1" w:name="_GoBack"/>
                                  <w:bookmarkEnd w:id="1"/>
                                  <w:r>
                                    <w:rPr>
                                      <w:b/>
                                      <w:sz w:val="20"/>
                                    </w:rPr>
                                    <w:t>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E91F25" id="Text Box 49" o:spid="_x0000_s1027" type="#_x0000_t202" style="position:absolute;left:0;text-align:left;margin-left:186.15pt;margin-top:1.5pt;width:3in;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">
                      <v:textbox>
                        <w:txbxContent>
                          <w:p w:rsidR="006318AD" w:rsidRPr="002D4D50" w:rsidRDefault="006318AD" w:rsidP="006318AD">
                            <w:pPr>
                              <w:rPr>
                                <w:b/>
                                <w:sz w:val="20"/>
                              </w:rPr>
                            </w:pPr>
                            <w:r w:rsidRPr="002D4D50">
                              <w:rPr>
                                <w:b/>
                                <w:sz w:val="20"/>
                              </w:rPr>
                              <w:t>Subject</w:t>
                            </w:r>
                            <w:r>
                              <w:rPr>
                                <w:b/>
                                <w:sz w:val="20"/>
                              </w:rPr>
                              <w:t>: History</w:t>
                            </w:r>
                            <w:r>
                              <w:rPr>
                                <w:b/>
                                <w:sz w:val="20"/>
                              </w:rPr>
                              <w:t xml:space="preserve"> </w:t>
                            </w:r>
                            <w:r>
                              <w:rPr>
                                <w:b/>
                                <w:sz w:val="20"/>
                              </w:rPr>
                              <w:tab/>
                            </w:r>
                            <w:r>
                              <w:rPr>
                                <w:b/>
                                <w:sz w:val="20"/>
                              </w:rPr>
                              <w:tab/>
                              <w:t xml:space="preserve">Date: </w:t>
                            </w:r>
                            <w:r>
                              <w:rPr>
                                <w:b/>
                                <w:sz w:val="20"/>
                              </w:rPr>
                              <w:t>2.11.</w:t>
                            </w:r>
                            <w:bookmarkStart w:id="2" w:name="_GoBack"/>
                            <w:bookmarkEnd w:id="2"/>
                            <w:r>
                              <w:rPr>
                                <w:b/>
                                <w:sz w:val="20"/>
                              </w:rPr>
                              <w:t>18</w:t>
                            </w:r>
                          </w:p>
                        </w:txbxContent>
                      </v:textbox>
                    </v:shape>
                  </w:pict>
                </mc:Fallback>
              </mc:AlternateContent>
            </w:r>
          </w:p>
        </w:tc>
        <w:tc>
          <w:tcPr>
            <w:tcW w:w="8999" w:type="dxa"/>
          </w:tcPr>
          <w:p w:rsidR="006318AD" w:rsidRPr="00B20307" w:rsidRDefault="006318AD" w:rsidP="00FD119B">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r>
              <w:rPr>
                <w:rFonts w:ascii="Arial" w:eastAsia="Times New Roman" w:hAnsi="Arial" w:cs="Times New Roman"/>
                <w:b/>
                <w:noProof/>
                <w:sz w:val="20"/>
              </w:rPr>
              <mc:AlternateContent>
                <mc:Choice Requires="wps">
                  <w:drawing>
                    <wp:anchor distT="0" distB="0" distL="114300" distR="114300" simplePos="0" relativeHeight="251662336" behindDoc="0" locked="0" layoutInCell="1" allowOverlap="1" wp14:anchorId="196F34D8" wp14:editId="5A4B10D8">
                      <wp:simplePos x="0" y="0"/>
                      <wp:positionH relativeFrom="column">
                        <wp:posOffset>3851275</wp:posOffset>
                      </wp:positionH>
                      <wp:positionV relativeFrom="paragraph">
                        <wp:posOffset>13335</wp:posOffset>
                      </wp:positionV>
                      <wp:extent cx="1821180" cy="342900"/>
                      <wp:effectExtent l="12700" t="13335" r="13970" b="5715"/>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180" cy="342900"/>
                              </a:xfrm>
                              <a:prstGeom prst="rect">
                                <a:avLst/>
                              </a:prstGeom>
                              <a:solidFill>
                                <a:srgbClr val="FFFFFF"/>
                              </a:solidFill>
                              <a:ln w="9525">
                                <a:solidFill>
                                  <a:srgbClr val="000000"/>
                                </a:solidFill>
                                <a:miter lim="800000"/>
                                <a:headEnd/>
                                <a:tailEnd/>
                              </a:ln>
                            </wps:spPr>
                            <wps:txbx>
                              <w:txbxContent>
                                <w:p w:rsidR="006318AD" w:rsidRPr="002D4D50" w:rsidRDefault="006318AD" w:rsidP="006318AD">
                                  <w:pPr>
                                    <w:rPr>
                                      <w:b/>
                                      <w:sz w:val="20"/>
                                    </w:rPr>
                                  </w:pPr>
                                  <w:r w:rsidRPr="002D4D50">
                                    <w:rPr>
                                      <w:b/>
                                      <w:sz w:val="20"/>
                                    </w:rPr>
                                    <w:t>Date</w:t>
                                  </w:r>
                                  <w:r>
                                    <w:rPr>
                                      <w:b/>
                                      <w:sz w:val="20"/>
                                    </w:rPr>
                                    <w:t xml:space="preserve">: 2.11.18 </w:t>
                                  </w:r>
                                  <w:r w:rsidRPr="002D4D50">
                                    <w:rPr>
                                      <w:b/>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6F34D8" id="Text Box 48" o:spid="_x0000_s1028" type="#_x0000_t202" style="position:absolute;left:0;text-align:left;margin-left:303.25pt;margin-top:1.05pt;width:143.4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">
                      <v:textbox>
                        <w:txbxContent>
                          <w:p w:rsidR="006318AD" w:rsidRPr="002D4D50" w:rsidRDefault="006318AD" w:rsidP="006318AD">
                            <w:pPr>
                              <w:rPr>
                                <w:b/>
                                <w:sz w:val="20"/>
                              </w:rPr>
                            </w:pPr>
                            <w:r w:rsidRPr="002D4D50">
                              <w:rPr>
                                <w:b/>
                                <w:sz w:val="20"/>
                              </w:rPr>
                              <w:t>Date</w:t>
                            </w:r>
                            <w:r>
                              <w:rPr>
                                <w:b/>
                                <w:sz w:val="20"/>
                              </w:rPr>
                              <w:t xml:space="preserve">: 2.11.18 </w:t>
                            </w:r>
                            <w:r w:rsidRPr="002D4D50">
                              <w:rPr>
                                <w:b/>
                                <w:sz w:val="20"/>
                              </w:rPr>
                              <w:t xml:space="preserve"> </w:t>
                            </w:r>
                          </w:p>
                        </w:txbxContent>
                      </v:textbox>
                    </v:shape>
                  </w:pict>
                </mc:Fallback>
              </mc:AlternateContent>
            </w:r>
          </w:p>
          <w:p w:rsidR="006318AD" w:rsidRPr="00B20307" w:rsidRDefault="006318AD" w:rsidP="00FD119B">
            <w:pPr>
              <w:tabs>
                <w:tab w:val="left" w:pos="-720"/>
                <w:tab w:val="left" w:pos="0"/>
                <w:tab w:val="left" w:pos="720"/>
                <w:tab w:val="left" w:pos="1440"/>
                <w:tab w:val="left" w:pos="2160"/>
                <w:tab w:val="left" w:pos="2880"/>
                <w:tab w:val="left" w:pos="3330"/>
                <w:tab w:val="left" w:pos="4320"/>
              </w:tabs>
              <w:jc w:val="right"/>
              <w:rPr>
                <w:rFonts w:ascii="Arial" w:eastAsia="Times New Roman" w:hAnsi="Arial" w:cs="Times New Roman"/>
                <w:b/>
                <w:sz w:val="20"/>
              </w:rPr>
            </w:pPr>
          </w:p>
        </w:tc>
      </w:tr>
    </w:tbl>
    <w:p w:rsidR="006318AD" w:rsidRPr="00B20307" w:rsidRDefault="006318AD" w:rsidP="006318AD">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tbl>
      <w:tblPr>
        <w:tblW w:w="4597" w:type="pct"/>
        <w:tblInd w:w="492" w:type="dxa"/>
        <w:tblCellMar>
          <w:left w:w="132" w:type="dxa"/>
          <w:right w:w="132" w:type="dxa"/>
        </w:tblCellMar>
        <w:tblLook w:val="0000" w:firstRow="0" w:lastRow="0" w:firstColumn="0" w:lastColumn="0" w:noHBand="0" w:noVBand="0"/>
      </w:tblPr>
      <w:tblGrid>
        <w:gridCol w:w="1962"/>
        <w:gridCol w:w="2675"/>
        <w:gridCol w:w="2652"/>
        <w:gridCol w:w="1221"/>
      </w:tblGrid>
      <w:tr w:rsidR="006318AD" w:rsidRPr="00B20307" w:rsidTr="00FD119B">
        <w:tc>
          <w:tcPr>
            <w:tcW w:w="843" w:type="pct"/>
            <w:tcBorders>
              <w:top w:val="single" w:sz="7" w:space="0" w:color="000000"/>
              <w:left w:val="single" w:sz="7" w:space="0" w:color="000000"/>
              <w:bottom w:val="single" w:sz="6" w:space="0" w:color="FFFFFF"/>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center" w:pos="1218"/>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OBJECTIVES</w:t>
            </w:r>
          </w:p>
          <w:p w:rsidR="006318AD" w:rsidRPr="00B20307" w:rsidRDefault="006318AD" w:rsidP="00FD119B">
            <w:pPr>
              <w:tabs>
                <w:tab w:val="center" w:pos="1218"/>
                <w:tab w:val="left" w:pos="1440"/>
                <w:tab w:val="left" w:pos="2160"/>
                <w:tab w:val="left" w:pos="2880"/>
                <w:tab w:val="left" w:pos="3330"/>
                <w:tab w:val="left" w:pos="4320"/>
              </w:tabs>
              <w:jc w:val="center"/>
              <w:rPr>
                <w:rFonts w:ascii="Arial" w:eastAsia="Times New Roman" w:hAnsi="Arial" w:cs="Times New Roman"/>
                <w:b/>
                <w:sz w:val="16"/>
              </w:rPr>
            </w:pPr>
            <w:r w:rsidRPr="00B20307">
              <w:rPr>
                <w:rFonts w:ascii="Arial" w:eastAsia="Times New Roman" w:hAnsi="Arial" w:cs="Times New Roman"/>
                <w:b/>
                <w:sz w:val="14"/>
              </w:rPr>
              <w:t>(</w:t>
            </w:r>
            <w:r w:rsidRPr="00B20307">
              <w:rPr>
                <w:rFonts w:ascii="Arial" w:eastAsia="Times New Roman" w:hAnsi="Arial" w:cs="Times New Roman"/>
                <w:b/>
                <w:sz w:val="16"/>
              </w:rPr>
              <w:t>relate to QTS Standards</w:t>
            </w:r>
          </w:p>
          <w:p w:rsidR="006318AD" w:rsidRPr="00B20307" w:rsidRDefault="006318AD" w:rsidP="00FD119B">
            <w:pPr>
              <w:tabs>
                <w:tab w:val="center" w:pos="1218"/>
                <w:tab w:val="left" w:pos="1440"/>
                <w:tab w:val="left" w:pos="2160"/>
                <w:tab w:val="left" w:pos="2880"/>
                <w:tab w:val="left" w:pos="3330"/>
                <w:tab w:val="left" w:pos="4320"/>
              </w:tabs>
              <w:jc w:val="center"/>
              <w:rPr>
                <w:rFonts w:ascii="Arial" w:eastAsia="Times New Roman" w:hAnsi="Arial" w:cs="Times New Roman"/>
                <w:b/>
                <w:sz w:val="14"/>
              </w:rPr>
            </w:pPr>
            <w:r w:rsidRPr="00B20307">
              <w:rPr>
                <w:rFonts w:ascii="Arial" w:eastAsia="Times New Roman" w:hAnsi="Arial" w:cs="Times New Roman"/>
                <w:b/>
                <w:sz w:val="16"/>
              </w:rPr>
              <w:t xml:space="preserve"> where appropriate).</w:t>
            </w:r>
          </w:p>
        </w:tc>
        <w:tc>
          <w:tcPr>
            <w:tcW w:w="2070" w:type="pct"/>
            <w:tcBorders>
              <w:top w:val="single" w:sz="7" w:space="0" w:color="000000"/>
              <w:left w:val="single" w:sz="7" w:space="0" w:color="000000"/>
              <w:bottom w:val="single" w:sz="6" w:space="0" w:color="FFFFFF"/>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center" w:pos="2883"/>
                <w:tab w:val="left" w:pos="3330"/>
                <w:tab w:val="left" w:pos="4320"/>
              </w:tabs>
              <w:rPr>
                <w:rFonts w:ascii="Arial" w:eastAsia="Times New Roman" w:hAnsi="Arial" w:cs="Times New Roman"/>
                <w:sz w:val="20"/>
              </w:rPr>
            </w:pPr>
            <w:r w:rsidRPr="00B20307">
              <w:rPr>
                <w:rFonts w:ascii="Arial" w:eastAsia="Times New Roman" w:hAnsi="Arial" w:cs="Times New Roman"/>
                <w:sz w:val="20"/>
              </w:rPr>
              <w:tab/>
            </w:r>
            <w:r w:rsidRPr="00B20307">
              <w:rPr>
                <w:rFonts w:ascii="Arial" w:eastAsia="Times New Roman" w:hAnsi="Arial" w:cs="Times New Roman"/>
                <w:b/>
                <w:sz w:val="20"/>
              </w:rPr>
              <w:t>ACTIONS TO BE TAKEN</w:t>
            </w:r>
          </w:p>
        </w:tc>
        <w:tc>
          <w:tcPr>
            <w:tcW w:w="1550" w:type="pct"/>
            <w:tcBorders>
              <w:top w:val="single" w:sz="7" w:space="0" w:color="000000"/>
              <w:left w:val="single" w:sz="7" w:space="0" w:color="000000"/>
              <w:bottom w:val="single" w:sz="6" w:space="0" w:color="FFFFFF"/>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center" w:pos="2119"/>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SUCCESS</w:t>
            </w:r>
          </w:p>
          <w:p w:rsidR="006318AD" w:rsidRPr="00B20307" w:rsidRDefault="006318AD" w:rsidP="00FD119B">
            <w:pPr>
              <w:tabs>
                <w:tab w:val="center" w:pos="2119"/>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CRITERIA</w:t>
            </w:r>
          </w:p>
        </w:tc>
        <w:tc>
          <w:tcPr>
            <w:tcW w:w="538" w:type="pct"/>
            <w:tcBorders>
              <w:top w:val="single" w:sz="7" w:space="0" w:color="000000"/>
              <w:left w:val="single" w:sz="7" w:space="0" w:color="000000"/>
              <w:bottom w:val="single" w:sz="6" w:space="0" w:color="FFFFFF"/>
              <w:right w:val="single" w:sz="7" w:space="0" w:color="000000"/>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center" w:pos="631"/>
                <w:tab w:val="left" w:pos="720"/>
                <w:tab w:val="left" w:pos="1440"/>
                <w:tab w:val="left" w:pos="2160"/>
                <w:tab w:val="left" w:pos="2880"/>
                <w:tab w:val="left" w:pos="3330"/>
                <w:tab w:val="left" w:pos="4320"/>
              </w:tabs>
              <w:rPr>
                <w:rFonts w:ascii="Arial" w:eastAsia="Times New Roman" w:hAnsi="Arial" w:cs="Times New Roman"/>
                <w:b/>
                <w:sz w:val="20"/>
              </w:rPr>
            </w:pPr>
            <w:r w:rsidRPr="00B20307">
              <w:rPr>
                <w:rFonts w:ascii="Arial" w:eastAsia="Times New Roman" w:hAnsi="Arial" w:cs="Times New Roman"/>
                <w:sz w:val="20"/>
              </w:rPr>
              <w:tab/>
            </w:r>
            <w:r w:rsidRPr="00B20307">
              <w:rPr>
                <w:rFonts w:ascii="Arial" w:eastAsia="Times New Roman" w:hAnsi="Arial" w:cs="Times New Roman"/>
                <w:b/>
                <w:sz w:val="20"/>
              </w:rPr>
              <w:t>TARGET</w:t>
            </w:r>
          </w:p>
          <w:p w:rsidR="006318AD" w:rsidRPr="00B20307" w:rsidRDefault="006318AD" w:rsidP="00FD119B">
            <w:pPr>
              <w:tabs>
                <w:tab w:val="center" w:pos="631"/>
                <w:tab w:val="left" w:pos="720"/>
                <w:tab w:val="left" w:pos="1440"/>
                <w:tab w:val="left" w:pos="2160"/>
                <w:tab w:val="left" w:pos="2880"/>
                <w:tab w:val="left" w:pos="3330"/>
                <w:tab w:val="left" w:pos="4320"/>
              </w:tabs>
              <w:rPr>
                <w:rFonts w:ascii="Arial" w:eastAsia="Times New Roman" w:hAnsi="Arial" w:cs="Times New Roman"/>
                <w:sz w:val="20"/>
              </w:rPr>
            </w:pPr>
            <w:r w:rsidRPr="00B20307">
              <w:rPr>
                <w:rFonts w:ascii="Arial" w:eastAsia="Times New Roman" w:hAnsi="Arial" w:cs="Times New Roman"/>
                <w:b/>
                <w:sz w:val="20"/>
              </w:rPr>
              <w:tab/>
              <w:t>DATE</w:t>
            </w:r>
          </w:p>
        </w:tc>
      </w:tr>
      <w:tr w:rsidR="006318AD" w:rsidRPr="00B20307" w:rsidTr="00FD119B">
        <w:tc>
          <w:tcPr>
            <w:tcW w:w="843" w:type="pct"/>
            <w:tcBorders>
              <w:top w:val="single" w:sz="7" w:space="0" w:color="000000"/>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Default="006318AD" w:rsidP="006318A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Clearly explain all tasks and define any complex words to ensure that learners do not get confused. QTS standard S3.3.3 (Delivering effective lessons) </w:t>
            </w: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Pr="000B4548" w:rsidRDefault="006318AD" w:rsidP="006318A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Improve the use of PowerPoint material to break up long spouts of talking at learners. QTS standard S3.3.10 (Using ICT)</w:t>
            </w:r>
          </w:p>
        </w:tc>
        <w:tc>
          <w:tcPr>
            <w:tcW w:w="2070" w:type="pct"/>
            <w:tcBorders>
              <w:top w:val="single" w:sz="7" w:space="0" w:color="000000"/>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Default="006318AD" w:rsidP="006318A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When introducing a task, explain said task once and then ask if anyone has any questions before moving on. Explain the task as many times as necessary. Define any words that may prohibit learners from understanding the task fully. In addition to this, I could also do one part of the task as an example to ensure students are totally aware of what is being asked of them. Alternatively, to be sure of total understanding, I could also ask a student to explain the task to the whole class after I have gone over it. This could help some learners, as having instructions coming from a peer rather than a teacher could be easier to understand and relate to. </w:t>
            </w: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Pr="00DB3FD2" w:rsidRDefault="006318AD" w:rsidP="006318A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When creating a PowerPoint presentation to support a lesson, include slides to </w:t>
            </w:r>
            <w:r>
              <w:rPr>
                <w:rFonts w:ascii="Arial" w:hAnsi="Arial"/>
                <w:szCs w:val="24"/>
              </w:rPr>
              <w:lastRenderedPageBreak/>
              <w:t>the support the task. In doing this, I could create a slide to include the instructions of the task, and at the end of a worksheet attach an answer slide after the task slide. Through the use of technology to improve the connection between the information needed and the successful task, it will ideally allow students to engage more with the task and thus complete the task in a smoother fashion. Whilst incorporating a better use of ICT, it will also make the lesson more accessible to all learners.</w:t>
            </w:r>
          </w:p>
        </w:tc>
        <w:tc>
          <w:tcPr>
            <w:tcW w:w="1550" w:type="pct"/>
            <w:tcBorders>
              <w:top w:val="single" w:sz="7" w:space="0" w:color="000000"/>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Default="006318AD" w:rsidP="006318A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If the task has been explained efficiently, learners will understand what to do and therefore will be able to complete the task. Learners will also be able to confidently reiterate back the meaning of the task after it has been explained.</w:t>
            </w: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Pr="00A12C9E" w:rsidRDefault="006318AD" w:rsidP="006318A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t xml:space="preserve">The success criteria for this standard will be as follows. If students appear more engaged with the lesson, they will be better equipped to tackle tasks. If students are better equipped to complete tasks (from using visual aids wisely to break up the amount of time talking to students) they will then be able to talk about what they have learned in discussion tasks </w:t>
            </w:r>
            <w:r>
              <w:rPr>
                <w:rFonts w:ascii="Arial" w:hAnsi="Arial"/>
                <w:szCs w:val="24"/>
              </w:rPr>
              <w:lastRenderedPageBreak/>
              <w:t xml:space="preserve">– as they have hopefully learned more. </w:t>
            </w:r>
          </w:p>
        </w:tc>
        <w:tc>
          <w:tcPr>
            <w:tcW w:w="538" w:type="pct"/>
            <w:tcBorders>
              <w:top w:val="single" w:sz="7" w:space="0" w:color="000000"/>
              <w:left w:val="single" w:sz="7" w:space="0" w:color="000000"/>
              <w:right w:val="single" w:sz="7" w:space="0" w:color="000000"/>
            </w:tcBorders>
          </w:tcPr>
          <w:p w:rsidR="006318AD" w:rsidRPr="00B20307" w:rsidRDefault="006318AD" w:rsidP="00FD119B">
            <w:pPr>
              <w:spacing w:line="163" w:lineRule="exact"/>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16.11.18 </w:t>
            </w: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p w:rsidR="006318AD"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23.11.18 </w:t>
            </w: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6318AD" w:rsidRPr="00B20307" w:rsidTr="00FD119B">
        <w:tc>
          <w:tcPr>
            <w:tcW w:w="843" w:type="pct"/>
            <w:tcBorders>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2070" w:type="pct"/>
            <w:tcBorders>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550" w:type="pct"/>
            <w:tcBorders>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538" w:type="pct"/>
            <w:tcBorders>
              <w:left w:val="single" w:sz="7" w:space="0" w:color="000000"/>
              <w:right w:val="single" w:sz="7" w:space="0" w:color="000000"/>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6318AD" w:rsidRPr="00B20307" w:rsidTr="00FD119B">
        <w:tc>
          <w:tcPr>
            <w:tcW w:w="843" w:type="pct"/>
            <w:tcBorders>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2070" w:type="pct"/>
            <w:tcBorders>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1550" w:type="pct"/>
            <w:tcBorders>
              <w:left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538" w:type="pct"/>
            <w:tcBorders>
              <w:left w:val="single" w:sz="7" w:space="0" w:color="000000"/>
              <w:right w:val="single" w:sz="7" w:space="0" w:color="000000"/>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r>
      <w:tr w:rsidR="006318AD" w:rsidRPr="00B20307" w:rsidTr="00FD119B">
        <w:trPr>
          <w:trHeight w:val="5081"/>
        </w:trPr>
        <w:tc>
          <w:tcPr>
            <w:tcW w:w="843" w:type="pct"/>
            <w:tcBorders>
              <w:left w:val="single" w:sz="7" w:space="0" w:color="000000"/>
              <w:bottom w:val="single" w:sz="7" w:space="0" w:color="000000"/>
              <w:right w:val="single" w:sz="6" w:space="0" w:color="FFFFFF"/>
            </w:tcBorders>
          </w:tcPr>
          <w:p w:rsidR="006318AD" w:rsidRPr="00B20307" w:rsidRDefault="006318AD" w:rsidP="00FD119B">
            <w:pPr>
              <w:spacing w:line="163" w:lineRule="exact"/>
              <w:rPr>
                <w:rFonts w:ascii="Arial" w:eastAsia="Times New Roman" w:hAnsi="Arial" w:cs="Times New Roman"/>
                <w:sz w:val="20"/>
              </w:rPr>
            </w:pPr>
          </w:p>
          <w:p w:rsidR="006318AD" w:rsidRPr="00090517" w:rsidRDefault="006318AD" w:rsidP="006318AD">
            <w:pPr>
              <w:pStyle w:val="ListParagraph"/>
              <w:numPr>
                <w:ilvl w:val="0"/>
                <w:numId w:val="2"/>
              </w:numPr>
              <w:tabs>
                <w:tab w:val="left" w:pos="-720"/>
                <w:tab w:val="left" w:pos="0"/>
                <w:tab w:val="left" w:pos="720"/>
                <w:tab w:val="left" w:pos="1440"/>
                <w:tab w:val="left" w:pos="2160"/>
                <w:tab w:val="left" w:pos="2880"/>
                <w:tab w:val="left" w:pos="3330"/>
                <w:tab w:val="left" w:pos="4320"/>
              </w:tabs>
              <w:rPr>
                <w:rFonts w:ascii="Arial" w:hAnsi="Arial"/>
                <w:szCs w:val="24"/>
              </w:rPr>
            </w:pPr>
            <w:r>
              <w:rPr>
                <w:rFonts w:ascii="Arial" w:hAnsi="Arial"/>
                <w:szCs w:val="24"/>
              </w:rPr>
              <w:t xml:space="preserve">To be more explicit when taking answers to questions about the key ideas that I am looking for </w:t>
            </w: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p>
        </w:tc>
        <w:tc>
          <w:tcPr>
            <w:tcW w:w="2070" w:type="pct"/>
            <w:tcBorders>
              <w:left w:val="single" w:sz="7" w:space="0" w:color="000000"/>
              <w:bottom w:val="single" w:sz="7" w:space="0" w:color="000000"/>
              <w:right w:val="single" w:sz="6" w:space="0" w:color="FFFFFF"/>
            </w:tcBorders>
          </w:tcPr>
          <w:p w:rsidR="006318AD" w:rsidRDefault="006318AD" w:rsidP="006318AD">
            <w:pPr>
              <w:pStyle w:val="ListParagraph"/>
              <w:numPr>
                <w:ilvl w:val="0"/>
                <w:numId w:val="2"/>
              </w:numPr>
              <w:tabs>
                <w:tab w:val="left" w:pos="-720"/>
                <w:tab w:val="left" w:pos="0"/>
                <w:tab w:val="left" w:pos="720"/>
                <w:tab w:val="left" w:pos="1440"/>
                <w:tab w:val="left" w:pos="2160"/>
                <w:tab w:val="left" w:pos="2880"/>
                <w:tab w:val="left" w:pos="3330"/>
                <w:tab w:val="left" w:pos="4320"/>
              </w:tabs>
              <w:spacing w:after="19"/>
              <w:rPr>
                <w:rFonts w:ascii="Arial" w:hAnsi="Arial"/>
                <w:szCs w:val="24"/>
              </w:rPr>
            </w:pPr>
            <w:r>
              <w:rPr>
                <w:rFonts w:ascii="Arial" w:hAnsi="Arial"/>
                <w:szCs w:val="24"/>
              </w:rPr>
              <w:lastRenderedPageBreak/>
              <w:t xml:space="preserve">When taking the answers to questions that I have asked to the class, probe deeper for answers in order to make a connection back to the key idea. Using this tactic allows for an aspect of differentiation to appear through questioning, in that, students who need less assistance during the lesson will be asked to expand on their answers and to connect these answers with the overarching lesson </w:t>
            </w:r>
            <w:r>
              <w:rPr>
                <w:rFonts w:ascii="Arial" w:hAnsi="Arial"/>
                <w:szCs w:val="24"/>
              </w:rPr>
              <w:lastRenderedPageBreak/>
              <w:t xml:space="preserve">objectives. This encourages learners to expand on their points during questioning, and gives them extra material in order for students to make connections between other points. </w:t>
            </w:r>
          </w:p>
          <w:p w:rsidR="006318AD" w:rsidRPr="00090517" w:rsidRDefault="006318AD" w:rsidP="00FD119B">
            <w:pPr>
              <w:pStyle w:val="ListParagraph"/>
              <w:tabs>
                <w:tab w:val="left" w:pos="-720"/>
                <w:tab w:val="left" w:pos="0"/>
                <w:tab w:val="left" w:pos="720"/>
                <w:tab w:val="left" w:pos="1440"/>
                <w:tab w:val="left" w:pos="2160"/>
                <w:tab w:val="left" w:pos="2880"/>
                <w:tab w:val="left" w:pos="3330"/>
                <w:tab w:val="left" w:pos="4320"/>
              </w:tabs>
              <w:spacing w:after="19"/>
              <w:rPr>
                <w:rFonts w:ascii="Arial" w:hAnsi="Arial"/>
                <w:szCs w:val="24"/>
              </w:rPr>
            </w:pPr>
          </w:p>
        </w:tc>
        <w:tc>
          <w:tcPr>
            <w:tcW w:w="1550" w:type="pct"/>
            <w:tcBorders>
              <w:left w:val="single" w:sz="7" w:space="0" w:color="000000"/>
              <w:bottom w:val="single" w:sz="7" w:space="0" w:color="000000"/>
              <w:right w:val="single" w:sz="8" w:space="0" w:color="000000"/>
            </w:tcBorders>
          </w:tcPr>
          <w:p w:rsidR="006318AD" w:rsidRPr="00B20307" w:rsidRDefault="006318AD" w:rsidP="006318AD">
            <w:pPr>
              <w:pStyle w:val="ListParagraph"/>
              <w:numPr>
                <w:ilvl w:val="0"/>
                <w:numId w:val="2"/>
              </w:numPr>
              <w:spacing w:line="163" w:lineRule="exact"/>
              <w:rPr>
                <w:rFonts w:ascii="Arial" w:hAnsi="Arial"/>
                <w:szCs w:val="24"/>
              </w:rPr>
            </w:pPr>
            <w:r>
              <w:rPr>
                <w:rFonts w:ascii="Arial" w:hAnsi="Arial"/>
                <w:szCs w:val="24"/>
              </w:rPr>
              <w:lastRenderedPageBreak/>
              <w:t xml:space="preserve">Learners will ideally be able to make connections between other key ideas if their original ideas have been expanded on. The expansion on students answers will be clear in students written and verbal work. If students are more likely to delve deeper into their answers verbally, it is likely that their written work would mirror this. I will check their written work to see if this is the case. </w:t>
            </w:r>
          </w:p>
        </w:tc>
        <w:tc>
          <w:tcPr>
            <w:tcW w:w="538" w:type="pct"/>
            <w:tcBorders>
              <w:left w:val="single" w:sz="8" w:space="0" w:color="000000"/>
              <w:bottom w:val="single" w:sz="8" w:space="0" w:color="000000"/>
              <w:right w:val="single" w:sz="8" w:space="0" w:color="000000"/>
            </w:tcBorders>
          </w:tcPr>
          <w:p w:rsidR="006318AD" w:rsidRPr="00B20307" w:rsidRDefault="006318AD" w:rsidP="00FD119B">
            <w:pPr>
              <w:spacing w:line="163" w:lineRule="exact"/>
              <w:rPr>
                <w:rFonts w:ascii="Arial" w:eastAsia="Times New Roman" w:hAnsi="Arial" w:cs="Times New Roman"/>
                <w:sz w:val="20"/>
              </w:rPr>
            </w:pPr>
          </w:p>
          <w:p w:rsidR="006318AD" w:rsidRPr="00B20307" w:rsidRDefault="006318AD" w:rsidP="00FD119B">
            <w:pPr>
              <w:tabs>
                <w:tab w:val="left" w:pos="-720"/>
                <w:tab w:val="left" w:pos="0"/>
                <w:tab w:val="left" w:pos="720"/>
                <w:tab w:val="left" w:pos="1440"/>
                <w:tab w:val="left" w:pos="2160"/>
                <w:tab w:val="left" w:pos="2880"/>
                <w:tab w:val="left" w:pos="3330"/>
                <w:tab w:val="left" w:pos="4320"/>
              </w:tabs>
              <w:spacing w:after="19"/>
              <w:rPr>
                <w:rFonts w:ascii="Arial" w:eastAsia="Times New Roman" w:hAnsi="Arial" w:cs="Times New Roman"/>
                <w:sz w:val="20"/>
              </w:rPr>
            </w:pPr>
            <w:r>
              <w:rPr>
                <w:rFonts w:ascii="Arial" w:eastAsia="Times New Roman" w:hAnsi="Arial" w:cs="Times New Roman"/>
                <w:sz w:val="20"/>
              </w:rPr>
              <w:t xml:space="preserve">30.11.18 </w:t>
            </w:r>
          </w:p>
        </w:tc>
      </w:tr>
    </w:tbl>
    <w:p w:rsidR="006318AD" w:rsidRDefault="006318AD"/>
    <w:sectPr w:rsidR="006318AD" w:rsidSect="006318AD">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61FE" w:rsidRDefault="00BB61FE" w:rsidP="00897E27">
      <w:r>
        <w:separator/>
      </w:r>
    </w:p>
  </w:endnote>
  <w:endnote w:type="continuationSeparator" w:id="0">
    <w:p w:rsidR="00BB61FE" w:rsidRDefault="00BB61FE" w:rsidP="00897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23399182"/>
      <w:docPartObj>
        <w:docPartGallery w:val="Page Numbers (Bottom of Page)"/>
        <w:docPartUnique/>
      </w:docPartObj>
    </w:sdtPr>
    <w:sdtEndPr>
      <w:rPr>
        <w:rStyle w:val="PageNumber"/>
      </w:rPr>
    </w:sdtEndPr>
    <w:sdtContent>
      <w:p w:rsidR="00897E27" w:rsidRDefault="00897E27" w:rsidP="00D515E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97E27" w:rsidRDefault="00897E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76470353"/>
      <w:docPartObj>
        <w:docPartGallery w:val="Page Numbers (Bottom of Page)"/>
        <w:docPartUnique/>
      </w:docPartObj>
    </w:sdtPr>
    <w:sdtEndPr>
      <w:rPr>
        <w:rStyle w:val="PageNumber"/>
        <w:rFonts w:ascii="Times New Roman" w:hAnsi="Times New Roman" w:cs="Times New Roman"/>
      </w:rPr>
    </w:sdtEndPr>
    <w:sdtContent>
      <w:p w:rsidR="00897E27" w:rsidRPr="00897E27" w:rsidRDefault="00897E27" w:rsidP="00D515E3">
        <w:pPr>
          <w:pStyle w:val="Footer"/>
          <w:framePr w:wrap="none" w:vAnchor="text" w:hAnchor="margin" w:xAlign="center" w:y="1"/>
          <w:rPr>
            <w:rStyle w:val="PageNumber"/>
            <w:rFonts w:ascii="Times New Roman" w:hAnsi="Times New Roman" w:cs="Times New Roman"/>
          </w:rPr>
        </w:pPr>
        <w:r w:rsidRPr="00897E27">
          <w:rPr>
            <w:rStyle w:val="PageNumber"/>
            <w:rFonts w:ascii="Times New Roman" w:hAnsi="Times New Roman" w:cs="Times New Roman"/>
          </w:rPr>
          <w:fldChar w:fldCharType="begin"/>
        </w:r>
        <w:r w:rsidRPr="00897E27">
          <w:rPr>
            <w:rStyle w:val="PageNumber"/>
            <w:rFonts w:ascii="Times New Roman" w:hAnsi="Times New Roman" w:cs="Times New Roman"/>
          </w:rPr>
          <w:instrText xml:space="preserve"> PAGE </w:instrText>
        </w:r>
        <w:r w:rsidRPr="00897E27">
          <w:rPr>
            <w:rStyle w:val="PageNumber"/>
            <w:rFonts w:ascii="Times New Roman" w:hAnsi="Times New Roman" w:cs="Times New Roman"/>
          </w:rPr>
          <w:fldChar w:fldCharType="separate"/>
        </w:r>
        <w:r w:rsidRPr="00897E27">
          <w:rPr>
            <w:rStyle w:val="PageNumber"/>
            <w:rFonts w:ascii="Times New Roman" w:hAnsi="Times New Roman" w:cs="Times New Roman"/>
            <w:noProof/>
          </w:rPr>
          <w:t>1</w:t>
        </w:r>
        <w:r w:rsidRPr="00897E27">
          <w:rPr>
            <w:rStyle w:val="PageNumber"/>
            <w:rFonts w:ascii="Times New Roman" w:hAnsi="Times New Roman" w:cs="Times New Roman"/>
          </w:rPr>
          <w:fldChar w:fldCharType="end"/>
        </w:r>
      </w:p>
    </w:sdtContent>
  </w:sdt>
  <w:p w:rsidR="00897E27" w:rsidRDefault="00897E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61FE" w:rsidRDefault="00BB61FE" w:rsidP="00897E27">
      <w:r>
        <w:separator/>
      </w:r>
    </w:p>
  </w:footnote>
  <w:footnote w:type="continuationSeparator" w:id="0">
    <w:p w:rsidR="00BB61FE" w:rsidRDefault="00BB61FE" w:rsidP="00897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6556D"/>
    <w:multiLevelType w:val="hybridMultilevel"/>
    <w:tmpl w:val="C640FFE0"/>
    <w:lvl w:ilvl="0" w:tplc="489E43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9B35F30"/>
    <w:multiLevelType w:val="hybridMultilevel"/>
    <w:tmpl w:val="40D244FA"/>
    <w:lvl w:ilvl="0" w:tplc="19B0CF0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EB5"/>
    <w:rsid w:val="000232EC"/>
    <w:rsid w:val="00160967"/>
    <w:rsid w:val="00185ADC"/>
    <w:rsid w:val="001C60E9"/>
    <w:rsid w:val="001F59EF"/>
    <w:rsid w:val="002361CC"/>
    <w:rsid w:val="002B3342"/>
    <w:rsid w:val="00326288"/>
    <w:rsid w:val="00356217"/>
    <w:rsid w:val="00484691"/>
    <w:rsid w:val="0053225C"/>
    <w:rsid w:val="005C5DEE"/>
    <w:rsid w:val="005D3BDA"/>
    <w:rsid w:val="0062175F"/>
    <w:rsid w:val="006318AD"/>
    <w:rsid w:val="006E21E6"/>
    <w:rsid w:val="0088601B"/>
    <w:rsid w:val="00895174"/>
    <w:rsid w:val="00897E27"/>
    <w:rsid w:val="00952E8A"/>
    <w:rsid w:val="00A73A88"/>
    <w:rsid w:val="00B05823"/>
    <w:rsid w:val="00B255CF"/>
    <w:rsid w:val="00BB61FE"/>
    <w:rsid w:val="00C060ED"/>
    <w:rsid w:val="00CE56D6"/>
    <w:rsid w:val="00CE66A2"/>
    <w:rsid w:val="00D86C56"/>
    <w:rsid w:val="00E17EB5"/>
    <w:rsid w:val="00F56823"/>
    <w:rsid w:val="00FE79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12F1B"/>
  <w15:chartTrackingRefBased/>
  <w15:docId w15:val="{EF243DD0-F14C-ED4A-AB5E-064367AD8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17EB5"/>
  </w:style>
  <w:style w:type="paragraph" w:styleId="Heading2">
    <w:name w:val="heading 2"/>
    <w:basedOn w:val="Normal"/>
    <w:next w:val="Normal"/>
    <w:link w:val="Heading2Char"/>
    <w:qFormat/>
    <w:rsid w:val="001C60E9"/>
    <w:pPr>
      <w:keepNext/>
      <w:jc w:val="both"/>
      <w:outlineLvl w:val="1"/>
    </w:pPr>
    <w:rPr>
      <w:rFonts w:ascii="Times New Roman" w:eastAsia="Times New Roman" w:hAnsi="Times New Roman" w:cs="Times New Roman"/>
      <w:b/>
      <w:szCs w:val="20"/>
      <w:lang w:eastAsia="en-GB"/>
    </w:rPr>
  </w:style>
  <w:style w:type="paragraph" w:styleId="Heading4">
    <w:name w:val="heading 4"/>
    <w:basedOn w:val="Normal"/>
    <w:next w:val="Normal"/>
    <w:link w:val="Heading4Char"/>
    <w:qFormat/>
    <w:rsid w:val="001C60E9"/>
    <w:pPr>
      <w:keepNext/>
      <w:spacing w:before="120" w:after="120"/>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17EB5"/>
    <w:pPr>
      <w:spacing w:before="100" w:beforeAutospacing="1" w:after="100" w:afterAutospacing="1"/>
    </w:pPr>
    <w:rPr>
      <w:rFonts w:ascii="Times New Roman" w:eastAsia="Times New Roman" w:hAnsi="Times New Roman" w:cs="Times New Roman"/>
    </w:rPr>
  </w:style>
  <w:style w:type="character" w:customStyle="1" w:styleId="Heading2Char">
    <w:name w:val="Heading 2 Char"/>
    <w:basedOn w:val="DefaultParagraphFont"/>
    <w:link w:val="Heading2"/>
    <w:rsid w:val="001C60E9"/>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1C60E9"/>
    <w:rPr>
      <w:rFonts w:ascii="Times New Roman" w:eastAsia="Times New Roman" w:hAnsi="Times New Roman" w:cs="Times New Roman"/>
      <w:sz w:val="40"/>
      <w:szCs w:val="20"/>
      <w:lang w:eastAsia="en-GB"/>
    </w:rPr>
  </w:style>
  <w:style w:type="paragraph" w:styleId="Header">
    <w:name w:val="header"/>
    <w:basedOn w:val="Normal"/>
    <w:link w:val="HeaderChar"/>
    <w:rsid w:val="001C60E9"/>
    <w:pPr>
      <w:tabs>
        <w:tab w:val="center" w:pos="4153"/>
        <w:tab w:val="right" w:pos="8306"/>
      </w:tabs>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1C60E9"/>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1C60E9"/>
    <w:pPr>
      <w:ind w:left="720"/>
      <w:contextualSpacing/>
    </w:pPr>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897E27"/>
    <w:pPr>
      <w:tabs>
        <w:tab w:val="center" w:pos="4680"/>
        <w:tab w:val="right" w:pos="9360"/>
      </w:tabs>
    </w:pPr>
  </w:style>
  <w:style w:type="character" w:customStyle="1" w:styleId="FooterChar">
    <w:name w:val="Footer Char"/>
    <w:basedOn w:val="DefaultParagraphFont"/>
    <w:link w:val="Footer"/>
    <w:uiPriority w:val="99"/>
    <w:rsid w:val="00897E27"/>
  </w:style>
  <w:style w:type="character" w:styleId="PageNumber">
    <w:name w:val="page number"/>
    <w:basedOn w:val="DefaultParagraphFont"/>
    <w:uiPriority w:val="99"/>
    <w:semiHidden/>
    <w:unhideWhenUsed/>
    <w:rsid w:val="00897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848702-2E86-4E4D-B4DA-7F723F2AC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16</Pages>
  <Words>4025</Words>
  <Characters>22944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nelson-jones</dc:creator>
  <cp:keywords/>
  <dc:description/>
  <cp:lastModifiedBy>J JONES (Ysgol Cwm Brombil)</cp:lastModifiedBy>
  <cp:revision>14</cp:revision>
  <dcterms:created xsi:type="dcterms:W3CDTF">2018-11-21T09:22:00Z</dcterms:created>
  <dcterms:modified xsi:type="dcterms:W3CDTF">2018-11-25T15:14:00Z</dcterms:modified>
</cp:coreProperties>
</file>