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42B09" w14:textId="77777777" w:rsidR="00C9588C" w:rsidRPr="00C9588C" w:rsidRDefault="00C9588C" w:rsidP="00C9588C">
      <w:pPr>
        <w:jc w:val="center"/>
        <w:rPr>
          <w:iCs/>
          <w:sz w:val="40"/>
          <w:szCs w:val="40"/>
        </w:rPr>
      </w:pPr>
      <w:r w:rsidRPr="00C9588C">
        <w:rPr>
          <w:iCs/>
          <w:sz w:val="40"/>
          <w:szCs w:val="40"/>
        </w:rPr>
        <w:t>Management Accounting</w:t>
      </w:r>
    </w:p>
    <w:p w14:paraId="27B3C898" w14:textId="77777777" w:rsidR="00C9588C" w:rsidRPr="00C9588C" w:rsidRDefault="00C9588C" w:rsidP="00C9588C">
      <w:pPr>
        <w:jc w:val="center"/>
        <w:rPr>
          <w:iCs/>
          <w:sz w:val="40"/>
          <w:szCs w:val="40"/>
        </w:rPr>
      </w:pPr>
      <w:r w:rsidRPr="00C9588C">
        <w:rPr>
          <w:iCs/>
          <w:sz w:val="40"/>
          <w:szCs w:val="40"/>
        </w:rPr>
        <w:t>Module code: LCBB5002</w:t>
      </w:r>
    </w:p>
    <w:p w14:paraId="37233E45" w14:textId="49EFEB8F" w:rsidR="00C9588C" w:rsidRDefault="00C9588C" w:rsidP="00C9588C">
      <w:pPr>
        <w:jc w:val="center"/>
        <w:rPr>
          <w:iCs/>
          <w:sz w:val="40"/>
          <w:szCs w:val="40"/>
        </w:rPr>
      </w:pPr>
      <w:r w:rsidRPr="00C9588C">
        <w:rPr>
          <w:iCs/>
          <w:sz w:val="40"/>
          <w:szCs w:val="40"/>
        </w:rPr>
        <w:t>Assignment 2</w:t>
      </w:r>
      <w:r w:rsidRPr="00C9588C">
        <w:rPr>
          <w:iCs/>
          <w:sz w:val="40"/>
          <w:szCs w:val="40"/>
        </w:rPr>
        <w:t>:</w:t>
      </w:r>
    </w:p>
    <w:p w14:paraId="142CB541" w14:textId="72476891" w:rsidR="00A37C16" w:rsidRPr="00C9588C" w:rsidRDefault="00A37C16" w:rsidP="00C9588C">
      <w:pPr>
        <w:jc w:val="center"/>
        <w:rPr>
          <w:iCs/>
          <w:sz w:val="40"/>
          <w:szCs w:val="40"/>
        </w:rPr>
      </w:pPr>
      <w:r>
        <w:rPr>
          <w:iCs/>
          <w:sz w:val="40"/>
          <w:szCs w:val="40"/>
        </w:rPr>
        <w:t>Control performance and design making report for Amana Ltd</w:t>
      </w:r>
    </w:p>
    <w:p w14:paraId="7B7B8B9E" w14:textId="77777777" w:rsidR="00C9588C" w:rsidRPr="00C9588C" w:rsidRDefault="00C9588C" w:rsidP="00C9588C">
      <w:pPr>
        <w:jc w:val="center"/>
        <w:rPr>
          <w:iCs/>
          <w:sz w:val="40"/>
          <w:szCs w:val="40"/>
        </w:rPr>
      </w:pPr>
    </w:p>
    <w:p w14:paraId="5E18A8BE" w14:textId="77777777" w:rsidR="00C9588C" w:rsidRDefault="00C9588C" w:rsidP="00C9588C">
      <w:pPr>
        <w:jc w:val="center"/>
        <w:rPr>
          <w:i/>
          <w:sz w:val="28"/>
          <w:szCs w:val="28"/>
          <w:u w:val="single"/>
        </w:rPr>
      </w:pPr>
      <w:r>
        <w:rPr>
          <w:i/>
          <w:sz w:val="28"/>
          <w:szCs w:val="28"/>
          <w:u w:val="single"/>
        </w:rPr>
        <w:t xml:space="preserve"> </w:t>
      </w:r>
    </w:p>
    <w:p w14:paraId="16AADE79" w14:textId="77777777" w:rsidR="006E4302" w:rsidRDefault="006E4302" w:rsidP="00C9588C">
      <w:pPr>
        <w:spacing w:line="256" w:lineRule="auto"/>
        <w:jc w:val="left"/>
        <w:rPr>
          <w:b/>
          <w:bCs/>
          <w:sz w:val="40"/>
          <w:szCs w:val="40"/>
        </w:rPr>
      </w:pPr>
    </w:p>
    <w:p w14:paraId="1C33EC0D" w14:textId="77777777" w:rsidR="006E4302" w:rsidRDefault="006E4302" w:rsidP="00C9588C">
      <w:pPr>
        <w:spacing w:line="256" w:lineRule="auto"/>
        <w:jc w:val="left"/>
        <w:rPr>
          <w:b/>
          <w:bCs/>
          <w:sz w:val="40"/>
          <w:szCs w:val="40"/>
        </w:rPr>
      </w:pPr>
    </w:p>
    <w:p w14:paraId="2CF66E93" w14:textId="77777777" w:rsidR="006E4302" w:rsidRDefault="006E4302" w:rsidP="00C9588C">
      <w:pPr>
        <w:spacing w:line="256" w:lineRule="auto"/>
        <w:jc w:val="left"/>
        <w:rPr>
          <w:b/>
          <w:bCs/>
          <w:sz w:val="40"/>
          <w:szCs w:val="40"/>
        </w:rPr>
      </w:pPr>
    </w:p>
    <w:p w14:paraId="73307350" w14:textId="77777777" w:rsidR="006E4302" w:rsidRDefault="006E4302" w:rsidP="00C9588C">
      <w:pPr>
        <w:spacing w:line="256" w:lineRule="auto"/>
        <w:jc w:val="left"/>
        <w:rPr>
          <w:b/>
          <w:bCs/>
          <w:sz w:val="40"/>
          <w:szCs w:val="40"/>
        </w:rPr>
      </w:pPr>
    </w:p>
    <w:p w14:paraId="6CD20CC6" w14:textId="77777777" w:rsidR="006E4302" w:rsidRPr="006E4302" w:rsidRDefault="006E4302" w:rsidP="006E4302">
      <w:pPr>
        <w:spacing w:line="256" w:lineRule="auto"/>
        <w:jc w:val="left"/>
        <w:rPr>
          <w:b/>
          <w:bCs/>
          <w:sz w:val="40"/>
          <w:szCs w:val="40"/>
        </w:rPr>
      </w:pPr>
    </w:p>
    <w:p w14:paraId="5141067C" w14:textId="77777777" w:rsidR="006E4302" w:rsidRPr="006E4302" w:rsidRDefault="006E4302" w:rsidP="006E4302">
      <w:pPr>
        <w:spacing w:line="256" w:lineRule="auto"/>
        <w:jc w:val="left"/>
        <w:rPr>
          <w:sz w:val="40"/>
          <w:szCs w:val="40"/>
        </w:rPr>
      </w:pPr>
      <w:r w:rsidRPr="006E4302">
        <w:rPr>
          <w:sz w:val="40"/>
          <w:szCs w:val="40"/>
        </w:rPr>
        <w:t xml:space="preserve">Student Name: Radostina Ilieva </w:t>
      </w:r>
    </w:p>
    <w:p w14:paraId="2A5145F8" w14:textId="46A294F2" w:rsidR="006E4302" w:rsidRPr="006E4302" w:rsidRDefault="006E4302" w:rsidP="006E4302">
      <w:pPr>
        <w:spacing w:line="256" w:lineRule="auto"/>
        <w:jc w:val="left"/>
        <w:rPr>
          <w:sz w:val="40"/>
          <w:szCs w:val="40"/>
        </w:rPr>
      </w:pPr>
      <w:r w:rsidRPr="006E4302">
        <w:rPr>
          <w:sz w:val="40"/>
          <w:szCs w:val="40"/>
        </w:rPr>
        <w:t>Student ID: 1921577</w:t>
      </w:r>
    </w:p>
    <w:p w14:paraId="730E6C65" w14:textId="24C4BB47" w:rsidR="00C9588C" w:rsidRPr="006E4302" w:rsidRDefault="00C9588C" w:rsidP="00C9588C">
      <w:pPr>
        <w:spacing w:line="256" w:lineRule="auto"/>
        <w:jc w:val="left"/>
        <w:rPr>
          <w:sz w:val="40"/>
          <w:szCs w:val="40"/>
        </w:rPr>
      </w:pPr>
      <w:r w:rsidRPr="006E4302">
        <w:rPr>
          <w:sz w:val="40"/>
          <w:szCs w:val="40"/>
        </w:rPr>
        <w:br w:type="page"/>
      </w:r>
    </w:p>
    <w:sdt>
      <w:sdtPr>
        <w:rPr>
          <w:rFonts w:ascii="Times New Roman" w:eastAsia="Calibri" w:hAnsi="Times New Roman" w:cs="Arial"/>
          <w:color w:val="auto"/>
          <w:sz w:val="24"/>
          <w:szCs w:val="24"/>
        </w:rPr>
        <w:id w:val="-130030281"/>
        <w:docPartObj>
          <w:docPartGallery w:val="Custom Table of Contents"/>
        </w:docPartObj>
      </w:sdtPr>
      <w:sdtContent>
        <w:p w14:paraId="30BF1E40" w14:textId="77777777" w:rsidR="00C9588C" w:rsidRDefault="00C9588C" w:rsidP="00C9588C">
          <w:pPr>
            <w:pStyle w:val="TOCHeading"/>
          </w:pPr>
        </w:p>
        <w:sdt>
          <w:sdtPr>
            <w:id w:val="-653219597"/>
            <w:docPartObj>
              <w:docPartGallery w:val="Table of Contents"/>
              <w:docPartUnique/>
            </w:docPartObj>
          </w:sdtPr>
          <w:sdtEndPr>
            <w:rPr>
              <w:rFonts w:ascii="Times New Roman" w:eastAsia="Calibri" w:hAnsi="Times New Roman" w:cs="Arial"/>
              <w:b/>
              <w:bCs/>
              <w:noProof/>
              <w:color w:val="auto"/>
              <w:sz w:val="24"/>
              <w:szCs w:val="24"/>
            </w:rPr>
          </w:sdtEndPr>
          <w:sdtContent>
            <w:p w14:paraId="2EF84196" w14:textId="1C5B1030" w:rsidR="00C9588C" w:rsidRDefault="00C9588C">
              <w:pPr>
                <w:pStyle w:val="TOCHeading"/>
              </w:pPr>
              <w:r>
                <w:t>Contents</w:t>
              </w:r>
            </w:p>
            <w:p w14:paraId="4BA7A961" w14:textId="2C8A79B2" w:rsidR="00C9588C" w:rsidRDefault="00C9588C">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2488374" w:history="1">
                <w:r w:rsidRPr="00404DFC">
                  <w:rPr>
                    <w:rStyle w:val="Hyperlink"/>
                    <w:noProof/>
                    <w:kern w:val="36"/>
                  </w:rPr>
                  <w:t>Introduction</w:t>
                </w:r>
                <w:r>
                  <w:rPr>
                    <w:noProof/>
                    <w:webHidden/>
                  </w:rPr>
                  <w:tab/>
                </w:r>
                <w:r>
                  <w:rPr>
                    <w:noProof/>
                    <w:webHidden/>
                  </w:rPr>
                  <w:fldChar w:fldCharType="begin"/>
                </w:r>
                <w:r>
                  <w:rPr>
                    <w:noProof/>
                    <w:webHidden/>
                  </w:rPr>
                  <w:instrText xml:space="preserve"> PAGEREF _Toc102488374 \h </w:instrText>
                </w:r>
                <w:r>
                  <w:rPr>
                    <w:noProof/>
                    <w:webHidden/>
                  </w:rPr>
                </w:r>
                <w:r>
                  <w:rPr>
                    <w:noProof/>
                    <w:webHidden/>
                  </w:rPr>
                  <w:fldChar w:fldCharType="separate"/>
                </w:r>
                <w:r w:rsidR="006E4302">
                  <w:rPr>
                    <w:noProof/>
                    <w:webHidden/>
                  </w:rPr>
                  <w:t>3</w:t>
                </w:r>
                <w:r>
                  <w:rPr>
                    <w:noProof/>
                    <w:webHidden/>
                  </w:rPr>
                  <w:fldChar w:fldCharType="end"/>
                </w:r>
              </w:hyperlink>
            </w:p>
            <w:p w14:paraId="7A19C886" w14:textId="4F7C8BE8" w:rsidR="00C9588C" w:rsidRDefault="00C9588C">
              <w:pPr>
                <w:pStyle w:val="TOC1"/>
                <w:tabs>
                  <w:tab w:val="right" w:leader="dot" w:pos="9016"/>
                </w:tabs>
                <w:rPr>
                  <w:rFonts w:asciiTheme="minorHAnsi" w:eastAsiaTheme="minorEastAsia" w:hAnsiTheme="minorHAnsi" w:cstheme="minorBidi"/>
                  <w:noProof/>
                  <w:sz w:val="22"/>
                  <w:szCs w:val="22"/>
                </w:rPr>
              </w:pPr>
              <w:hyperlink w:anchor="_Toc102488375" w:history="1">
                <w:r w:rsidRPr="00404DFC">
                  <w:rPr>
                    <w:rStyle w:val="Hyperlink"/>
                    <w:noProof/>
                    <w:kern w:val="36"/>
                  </w:rPr>
                  <w:t>Part A – Budget Analysis</w:t>
                </w:r>
                <w:r>
                  <w:rPr>
                    <w:noProof/>
                    <w:webHidden/>
                  </w:rPr>
                  <w:tab/>
                </w:r>
                <w:r>
                  <w:rPr>
                    <w:noProof/>
                    <w:webHidden/>
                  </w:rPr>
                  <w:fldChar w:fldCharType="begin"/>
                </w:r>
                <w:r>
                  <w:rPr>
                    <w:noProof/>
                    <w:webHidden/>
                  </w:rPr>
                  <w:instrText xml:space="preserve"> PAGEREF _Toc102488375 \h </w:instrText>
                </w:r>
                <w:r>
                  <w:rPr>
                    <w:noProof/>
                    <w:webHidden/>
                  </w:rPr>
                </w:r>
                <w:r>
                  <w:rPr>
                    <w:noProof/>
                    <w:webHidden/>
                  </w:rPr>
                  <w:fldChar w:fldCharType="separate"/>
                </w:r>
                <w:r w:rsidR="006E4302">
                  <w:rPr>
                    <w:noProof/>
                    <w:webHidden/>
                  </w:rPr>
                  <w:t>4</w:t>
                </w:r>
                <w:r>
                  <w:rPr>
                    <w:noProof/>
                    <w:webHidden/>
                  </w:rPr>
                  <w:fldChar w:fldCharType="end"/>
                </w:r>
              </w:hyperlink>
            </w:p>
            <w:p w14:paraId="4A2EB829" w14:textId="20843A0B" w:rsidR="00C9588C" w:rsidRDefault="00C9588C">
              <w:pPr>
                <w:pStyle w:val="TOC2"/>
                <w:tabs>
                  <w:tab w:val="right" w:leader="dot" w:pos="9016"/>
                </w:tabs>
                <w:rPr>
                  <w:rFonts w:asciiTheme="minorHAnsi" w:eastAsiaTheme="minorEastAsia" w:hAnsiTheme="minorHAnsi" w:cstheme="minorBidi"/>
                  <w:noProof/>
                  <w:sz w:val="22"/>
                  <w:szCs w:val="22"/>
                </w:rPr>
              </w:pPr>
              <w:hyperlink w:anchor="_Toc102488376" w:history="1">
                <w:r w:rsidRPr="00404DFC">
                  <w:rPr>
                    <w:rStyle w:val="Hyperlink"/>
                    <w:b/>
                    <w:bCs/>
                    <w:noProof/>
                  </w:rPr>
                  <w:t>Requirement 1: Preparation of control report</w:t>
                </w:r>
                <w:r>
                  <w:rPr>
                    <w:noProof/>
                    <w:webHidden/>
                  </w:rPr>
                  <w:tab/>
                </w:r>
                <w:r>
                  <w:rPr>
                    <w:noProof/>
                    <w:webHidden/>
                  </w:rPr>
                  <w:fldChar w:fldCharType="begin"/>
                </w:r>
                <w:r>
                  <w:rPr>
                    <w:noProof/>
                    <w:webHidden/>
                  </w:rPr>
                  <w:instrText xml:space="preserve"> PAGEREF _Toc102488376 \h </w:instrText>
                </w:r>
                <w:r>
                  <w:rPr>
                    <w:noProof/>
                    <w:webHidden/>
                  </w:rPr>
                </w:r>
                <w:r>
                  <w:rPr>
                    <w:noProof/>
                    <w:webHidden/>
                  </w:rPr>
                  <w:fldChar w:fldCharType="separate"/>
                </w:r>
                <w:r w:rsidR="006E4302">
                  <w:rPr>
                    <w:noProof/>
                    <w:webHidden/>
                  </w:rPr>
                  <w:t>4</w:t>
                </w:r>
                <w:r>
                  <w:rPr>
                    <w:noProof/>
                    <w:webHidden/>
                  </w:rPr>
                  <w:fldChar w:fldCharType="end"/>
                </w:r>
              </w:hyperlink>
            </w:p>
            <w:p w14:paraId="7D5BE3EB" w14:textId="0025B07E" w:rsidR="00C9588C" w:rsidRDefault="00C9588C">
              <w:pPr>
                <w:pStyle w:val="TOC2"/>
                <w:tabs>
                  <w:tab w:val="right" w:leader="dot" w:pos="9016"/>
                </w:tabs>
                <w:rPr>
                  <w:rFonts w:asciiTheme="minorHAnsi" w:eastAsiaTheme="minorEastAsia" w:hAnsiTheme="minorHAnsi" w:cstheme="minorBidi"/>
                  <w:noProof/>
                  <w:sz w:val="22"/>
                  <w:szCs w:val="22"/>
                </w:rPr>
              </w:pPr>
              <w:hyperlink w:anchor="_Toc102488377" w:history="1">
                <w:r w:rsidRPr="00404DFC">
                  <w:rPr>
                    <w:rStyle w:val="Hyperlink"/>
                    <w:b/>
                    <w:bCs/>
                    <w:noProof/>
                  </w:rPr>
                  <w:t>Requirement 2: Report on Amana’s Performance</w:t>
                </w:r>
                <w:r>
                  <w:rPr>
                    <w:noProof/>
                    <w:webHidden/>
                  </w:rPr>
                  <w:tab/>
                </w:r>
                <w:r>
                  <w:rPr>
                    <w:noProof/>
                    <w:webHidden/>
                  </w:rPr>
                  <w:fldChar w:fldCharType="begin"/>
                </w:r>
                <w:r>
                  <w:rPr>
                    <w:noProof/>
                    <w:webHidden/>
                  </w:rPr>
                  <w:instrText xml:space="preserve"> PAGEREF _Toc102488377 \h </w:instrText>
                </w:r>
                <w:r>
                  <w:rPr>
                    <w:noProof/>
                    <w:webHidden/>
                  </w:rPr>
                </w:r>
                <w:r>
                  <w:rPr>
                    <w:noProof/>
                    <w:webHidden/>
                  </w:rPr>
                  <w:fldChar w:fldCharType="separate"/>
                </w:r>
                <w:r w:rsidR="006E4302">
                  <w:rPr>
                    <w:noProof/>
                    <w:webHidden/>
                  </w:rPr>
                  <w:t>8</w:t>
                </w:r>
                <w:r>
                  <w:rPr>
                    <w:noProof/>
                    <w:webHidden/>
                  </w:rPr>
                  <w:fldChar w:fldCharType="end"/>
                </w:r>
              </w:hyperlink>
            </w:p>
            <w:p w14:paraId="4943A535" w14:textId="6412927E" w:rsidR="00C9588C" w:rsidRDefault="00C9588C">
              <w:pPr>
                <w:pStyle w:val="TOC2"/>
                <w:tabs>
                  <w:tab w:val="right" w:leader="dot" w:pos="9016"/>
                </w:tabs>
                <w:rPr>
                  <w:rFonts w:asciiTheme="minorHAnsi" w:eastAsiaTheme="minorEastAsia" w:hAnsiTheme="minorHAnsi" w:cstheme="minorBidi"/>
                  <w:noProof/>
                  <w:sz w:val="22"/>
                  <w:szCs w:val="22"/>
                </w:rPr>
              </w:pPr>
              <w:hyperlink w:anchor="_Toc102488378" w:history="1">
                <w:r w:rsidRPr="00404DFC">
                  <w:rPr>
                    <w:rStyle w:val="Hyperlink"/>
                    <w:b/>
                    <w:bCs/>
                    <w:noProof/>
                  </w:rPr>
                  <w:t>Requirement 3: Recommendations</w:t>
                </w:r>
                <w:r>
                  <w:rPr>
                    <w:noProof/>
                    <w:webHidden/>
                  </w:rPr>
                  <w:tab/>
                </w:r>
                <w:r>
                  <w:rPr>
                    <w:noProof/>
                    <w:webHidden/>
                  </w:rPr>
                  <w:fldChar w:fldCharType="begin"/>
                </w:r>
                <w:r>
                  <w:rPr>
                    <w:noProof/>
                    <w:webHidden/>
                  </w:rPr>
                  <w:instrText xml:space="preserve"> PAGEREF _Toc102488378 \h </w:instrText>
                </w:r>
                <w:r>
                  <w:rPr>
                    <w:noProof/>
                    <w:webHidden/>
                  </w:rPr>
                </w:r>
                <w:r>
                  <w:rPr>
                    <w:noProof/>
                    <w:webHidden/>
                  </w:rPr>
                  <w:fldChar w:fldCharType="separate"/>
                </w:r>
                <w:r w:rsidR="006E4302">
                  <w:rPr>
                    <w:noProof/>
                    <w:webHidden/>
                  </w:rPr>
                  <w:t>10</w:t>
                </w:r>
                <w:r>
                  <w:rPr>
                    <w:noProof/>
                    <w:webHidden/>
                  </w:rPr>
                  <w:fldChar w:fldCharType="end"/>
                </w:r>
              </w:hyperlink>
            </w:p>
            <w:p w14:paraId="4325BF64" w14:textId="663E367E" w:rsidR="00C9588C" w:rsidRDefault="00C9588C">
              <w:pPr>
                <w:pStyle w:val="TOC1"/>
                <w:tabs>
                  <w:tab w:val="right" w:leader="dot" w:pos="9016"/>
                </w:tabs>
                <w:rPr>
                  <w:rFonts w:asciiTheme="minorHAnsi" w:eastAsiaTheme="minorEastAsia" w:hAnsiTheme="minorHAnsi" w:cstheme="minorBidi"/>
                  <w:noProof/>
                  <w:sz w:val="22"/>
                  <w:szCs w:val="22"/>
                </w:rPr>
              </w:pPr>
              <w:hyperlink w:anchor="_Toc102488379" w:history="1">
                <w:r w:rsidRPr="00404DFC">
                  <w:rPr>
                    <w:rStyle w:val="Hyperlink"/>
                    <w:noProof/>
                    <w:kern w:val="36"/>
                  </w:rPr>
                  <w:t>Part B</w:t>
                </w:r>
                <w:r>
                  <w:rPr>
                    <w:noProof/>
                    <w:webHidden/>
                  </w:rPr>
                  <w:tab/>
                </w:r>
                <w:r>
                  <w:rPr>
                    <w:noProof/>
                    <w:webHidden/>
                  </w:rPr>
                  <w:fldChar w:fldCharType="begin"/>
                </w:r>
                <w:r>
                  <w:rPr>
                    <w:noProof/>
                    <w:webHidden/>
                  </w:rPr>
                  <w:instrText xml:space="preserve"> PAGEREF _Toc102488379 \h </w:instrText>
                </w:r>
                <w:r>
                  <w:rPr>
                    <w:noProof/>
                    <w:webHidden/>
                  </w:rPr>
                </w:r>
                <w:r>
                  <w:rPr>
                    <w:noProof/>
                    <w:webHidden/>
                  </w:rPr>
                  <w:fldChar w:fldCharType="separate"/>
                </w:r>
                <w:r w:rsidR="006E4302">
                  <w:rPr>
                    <w:noProof/>
                    <w:webHidden/>
                  </w:rPr>
                  <w:t>11</w:t>
                </w:r>
                <w:r>
                  <w:rPr>
                    <w:noProof/>
                    <w:webHidden/>
                  </w:rPr>
                  <w:fldChar w:fldCharType="end"/>
                </w:r>
              </w:hyperlink>
            </w:p>
            <w:p w14:paraId="1A2C30B4" w14:textId="2CB8CFF7" w:rsidR="00C9588C" w:rsidRDefault="00C9588C">
              <w:pPr>
                <w:pStyle w:val="TOC1"/>
                <w:tabs>
                  <w:tab w:val="right" w:leader="dot" w:pos="9016"/>
                </w:tabs>
                <w:rPr>
                  <w:rFonts w:asciiTheme="minorHAnsi" w:eastAsiaTheme="minorEastAsia" w:hAnsiTheme="minorHAnsi" w:cstheme="minorBidi"/>
                  <w:noProof/>
                  <w:sz w:val="22"/>
                  <w:szCs w:val="22"/>
                </w:rPr>
              </w:pPr>
              <w:hyperlink w:anchor="_Toc102488380" w:history="1">
                <w:r w:rsidRPr="00404DFC">
                  <w:rPr>
                    <w:rStyle w:val="Hyperlink"/>
                    <w:noProof/>
                    <w:kern w:val="36"/>
                  </w:rPr>
                  <w:t>Conclusion</w:t>
                </w:r>
                <w:r>
                  <w:rPr>
                    <w:noProof/>
                    <w:webHidden/>
                  </w:rPr>
                  <w:tab/>
                </w:r>
                <w:r>
                  <w:rPr>
                    <w:noProof/>
                    <w:webHidden/>
                  </w:rPr>
                  <w:fldChar w:fldCharType="begin"/>
                </w:r>
                <w:r>
                  <w:rPr>
                    <w:noProof/>
                    <w:webHidden/>
                  </w:rPr>
                  <w:instrText xml:space="preserve"> PAGEREF _Toc102488380 \h </w:instrText>
                </w:r>
                <w:r>
                  <w:rPr>
                    <w:noProof/>
                    <w:webHidden/>
                  </w:rPr>
                </w:r>
                <w:r>
                  <w:rPr>
                    <w:noProof/>
                    <w:webHidden/>
                  </w:rPr>
                  <w:fldChar w:fldCharType="separate"/>
                </w:r>
                <w:r w:rsidR="006E4302">
                  <w:rPr>
                    <w:noProof/>
                    <w:webHidden/>
                  </w:rPr>
                  <w:t>13</w:t>
                </w:r>
                <w:r>
                  <w:rPr>
                    <w:noProof/>
                    <w:webHidden/>
                  </w:rPr>
                  <w:fldChar w:fldCharType="end"/>
                </w:r>
              </w:hyperlink>
            </w:p>
            <w:p w14:paraId="2C5526E9" w14:textId="5DD9B24D" w:rsidR="00C9588C" w:rsidRDefault="00C9588C">
              <w:pPr>
                <w:pStyle w:val="TOC1"/>
                <w:tabs>
                  <w:tab w:val="right" w:leader="dot" w:pos="9016"/>
                </w:tabs>
                <w:rPr>
                  <w:rFonts w:asciiTheme="minorHAnsi" w:eastAsiaTheme="minorEastAsia" w:hAnsiTheme="minorHAnsi" w:cstheme="minorBidi"/>
                  <w:noProof/>
                  <w:sz w:val="22"/>
                  <w:szCs w:val="22"/>
                </w:rPr>
              </w:pPr>
              <w:hyperlink w:anchor="_Toc102488381" w:history="1">
                <w:r w:rsidRPr="00404DFC">
                  <w:rPr>
                    <w:rStyle w:val="Hyperlink"/>
                    <w:noProof/>
                    <w:kern w:val="36"/>
                  </w:rPr>
                  <w:t>References</w:t>
                </w:r>
                <w:r>
                  <w:rPr>
                    <w:noProof/>
                    <w:webHidden/>
                  </w:rPr>
                  <w:tab/>
                </w:r>
                <w:r>
                  <w:rPr>
                    <w:noProof/>
                    <w:webHidden/>
                  </w:rPr>
                  <w:fldChar w:fldCharType="begin"/>
                </w:r>
                <w:r>
                  <w:rPr>
                    <w:noProof/>
                    <w:webHidden/>
                  </w:rPr>
                  <w:instrText xml:space="preserve"> PAGEREF _Toc102488381 \h </w:instrText>
                </w:r>
                <w:r>
                  <w:rPr>
                    <w:noProof/>
                    <w:webHidden/>
                  </w:rPr>
                </w:r>
                <w:r>
                  <w:rPr>
                    <w:noProof/>
                    <w:webHidden/>
                  </w:rPr>
                  <w:fldChar w:fldCharType="separate"/>
                </w:r>
                <w:r w:rsidR="006E4302">
                  <w:rPr>
                    <w:noProof/>
                    <w:webHidden/>
                  </w:rPr>
                  <w:t>14</w:t>
                </w:r>
                <w:r>
                  <w:rPr>
                    <w:noProof/>
                    <w:webHidden/>
                  </w:rPr>
                  <w:fldChar w:fldCharType="end"/>
                </w:r>
              </w:hyperlink>
            </w:p>
            <w:p w14:paraId="04F8E426" w14:textId="293CCB96" w:rsidR="00C9588C" w:rsidRDefault="00C9588C">
              <w:r>
                <w:rPr>
                  <w:b/>
                  <w:bCs/>
                  <w:noProof/>
                </w:rPr>
                <w:fldChar w:fldCharType="end"/>
              </w:r>
            </w:p>
          </w:sdtContent>
        </w:sdt>
        <w:p w14:paraId="0B6143B3" w14:textId="60C99752" w:rsidR="00C9588C" w:rsidRDefault="00C9588C" w:rsidP="00C9588C">
          <w:pPr>
            <w:pStyle w:val="TOCHeading"/>
          </w:pPr>
        </w:p>
        <w:p w14:paraId="59823BB9" w14:textId="2D9D2C21" w:rsidR="00C9588C" w:rsidRDefault="00C9588C" w:rsidP="00C9588C">
          <w:pPr>
            <w:pStyle w:val="TOC1"/>
            <w:rPr>
              <w:rFonts w:eastAsia="DengXian" w:cs="Times New Roman"/>
              <w:sz w:val="22"/>
              <w:szCs w:val="22"/>
            </w:rPr>
          </w:pPr>
        </w:p>
      </w:sdtContent>
    </w:sdt>
    <w:p w14:paraId="743A021E" w14:textId="77777777" w:rsidR="00C9588C" w:rsidRDefault="00C9588C" w:rsidP="00C9588C">
      <w:r>
        <w:t xml:space="preserve"> </w:t>
      </w:r>
    </w:p>
    <w:p w14:paraId="707037E6" w14:textId="77777777" w:rsidR="00C9588C" w:rsidRDefault="00C9588C" w:rsidP="00C9588C">
      <w:pPr>
        <w:spacing w:line="256" w:lineRule="auto"/>
        <w:jc w:val="left"/>
        <w:rPr>
          <w:rFonts w:eastAsia="DengXian Light" w:cs="Times New Roman"/>
          <w:b/>
          <w:color w:val="2F5496"/>
          <w:sz w:val="32"/>
          <w:szCs w:val="32"/>
        </w:rPr>
      </w:pPr>
      <w:r>
        <w:br w:type="page"/>
      </w:r>
    </w:p>
    <w:p w14:paraId="1C1D6E44" w14:textId="77777777" w:rsidR="00C9588C" w:rsidRDefault="00C9588C" w:rsidP="00C9588C">
      <w:pPr>
        <w:pStyle w:val="Heading1"/>
        <w:rPr>
          <w:kern w:val="36"/>
        </w:rPr>
      </w:pPr>
      <w:bookmarkStart w:id="0" w:name="_Toc102251079"/>
      <w:bookmarkStart w:id="1" w:name="_Toc102488374"/>
      <w:bookmarkEnd w:id="0"/>
      <w:r>
        <w:rPr>
          <w:kern w:val="36"/>
        </w:rPr>
        <w:lastRenderedPageBreak/>
        <w:t>Introduction</w:t>
      </w:r>
      <w:bookmarkEnd w:id="1"/>
    </w:p>
    <w:p w14:paraId="301BD5FC" w14:textId="1BCE0704" w:rsidR="00C9588C" w:rsidRDefault="00C9588C" w:rsidP="00C9588C">
      <w:r>
        <w:t>Management accounting is also called managerial accounting. The reporting entity of management accounting is the manager of the company. It basically analysis, interprets, measures, identifies and communicates the financial information and the financial figures to the managers (</w:t>
      </w:r>
      <w:r>
        <w:rPr>
          <w:rFonts w:cs="Times New Roman"/>
          <w:color w:val="222222"/>
          <w:shd w:val="clear" w:color="auto" w:fill="FFFFFF"/>
        </w:rPr>
        <w:t>Scapens, 2019)</w:t>
      </w:r>
      <w:r>
        <w:t>. The management of the company is responsible for making the decision for the company. Through the financial accounting, the stakeholders of the company get to know about the financial position and financial performance of the company (</w:t>
      </w:r>
      <w:r>
        <w:rPr>
          <w:rFonts w:cs="Times New Roman"/>
          <w:color w:val="222222"/>
          <w:shd w:val="clear" w:color="auto" w:fill="FFFFFF"/>
        </w:rPr>
        <w:t>Weetman, 2011)</w:t>
      </w:r>
      <w:r>
        <w:t xml:space="preserve">. And with the help of management accounting, the management of the company makes the decision as to how to be successful and how to make decisions that will be in favour of the company and its </w:t>
      </w:r>
      <w:r w:rsidR="00A37C16">
        <w:t>goal. This</w:t>
      </w:r>
      <w:r>
        <w:t xml:space="preserve"> report has addressed some management accounting contents. In the first task, the original budget, and flexible budget have been prepared and then variance analysis has also been made in this report. In the second task, the company has two alternatives. Those two alternatives have been analysed based on financial and non-financial factors and have been made the recommendation for the company. </w:t>
      </w:r>
    </w:p>
    <w:p w14:paraId="36ECEFA0" w14:textId="77777777" w:rsidR="00C9588C" w:rsidRDefault="00C9588C" w:rsidP="00C9588C">
      <w:pPr>
        <w:spacing w:line="256" w:lineRule="auto"/>
        <w:jc w:val="left"/>
      </w:pPr>
      <w:r>
        <w:br w:type="page"/>
      </w:r>
    </w:p>
    <w:p w14:paraId="3AB1A71D" w14:textId="77777777" w:rsidR="00C9588C" w:rsidRDefault="00C9588C" w:rsidP="00C9588C">
      <w:pPr>
        <w:pStyle w:val="Heading1"/>
        <w:rPr>
          <w:kern w:val="36"/>
        </w:rPr>
      </w:pPr>
      <w:bookmarkStart w:id="2" w:name="_Toc102251080"/>
      <w:bookmarkStart w:id="3" w:name="_Toc102488375"/>
      <w:bookmarkEnd w:id="2"/>
      <w:r>
        <w:rPr>
          <w:kern w:val="36"/>
        </w:rPr>
        <w:lastRenderedPageBreak/>
        <w:t>Part A – Budget Analysis</w:t>
      </w:r>
      <w:bookmarkEnd w:id="3"/>
    </w:p>
    <w:p w14:paraId="4C64E325" w14:textId="77777777" w:rsidR="00C9588C" w:rsidRDefault="00C9588C" w:rsidP="00C9588C">
      <w:pPr>
        <w:pStyle w:val="Heading2"/>
        <w:rPr>
          <w:b/>
          <w:bCs/>
        </w:rPr>
      </w:pPr>
      <w:bookmarkStart w:id="4" w:name="_Toc102251081"/>
      <w:bookmarkStart w:id="5" w:name="_Toc102488376"/>
      <w:bookmarkEnd w:id="4"/>
      <w:r>
        <w:rPr>
          <w:b/>
          <w:bCs/>
        </w:rPr>
        <w:t>Requirement 1: Preparation of control report</w:t>
      </w:r>
      <w:bookmarkEnd w:id="5"/>
    </w:p>
    <w:p w14:paraId="556AD396" w14:textId="77777777" w:rsidR="00C9588C" w:rsidRDefault="00C9588C" w:rsidP="00C9588C">
      <w:pPr>
        <w:pStyle w:val="ListParagraph"/>
        <w:numPr>
          <w:ilvl w:val="0"/>
          <w:numId w:val="1"/>
        </w:numPr>
      </w:pPr>
      <w:r>
        <w:t>Original Budget and Actual Cost</w:t>
      </w:r>
    </w:p>
    <w:p w14:paraId="7E4416D4" w14:textId="77777777" w:rsidR="00C9588C" w:rsidRDefault="00C9588C" w:rsidP="00C9588C">
      <w:r>
        <w:t>The original budget is the budget where the management of the company prepares the entire budget based on the market available information (</w:t>
      </w:r>
      <w:r>
        <w:rPr>
          <w:rFonts w:cs="Times New Roman"/>
          <w:color w:val="222222"/>
          <w:shd w:val="clear" w:color="auto" w:fill="FFFFFF"/>
        </w:rPr>
        <w:t>RS and Atkinson, 2019)</w:t>
      </w:r>
      <w:r>
        <w:t xml:space="preserve">. Here the management, first analysis the company’s current situation and then the company’s current performance and then prepares the budget for the cost as well as the quantity of the products. Ideally, all the management of all companies should analysis the market and then compares the current market with the company’s current situation, and then prepare the budget. But sometimes, the management manipulates the budget to gain benefits over the budget. Amana Limited is a family-owned company. And the budget-related information has been given in the case study. From that case study, the original budget has been prepared below along with the variance analysis. </w:t>
      </w:r>
    </w:p>
    <w:p w14:paraId="152CAE17" w14:textId="77777777" w:rsidR="00C9588C" w:rsidRDefault="00C9588C" w:rsidP="00C9588C">
      <w:r>
        <w:t>Given information,</w:t>
      </w:r>
    </w:p>
    <w:tbl>
      <w:tblPr>
        <w:tblW w:w="5000" w:type="pct"/>
        <w:tblLook w:val="04A0" w:firstRow="1" w:lastRow="0" w:firstColumn="1" w:lastColumn="0" w:noHBand="0" w:noVBand="1"/>
      </w:tblPr>
      <w:tblGrid>
        <w:gridCol w:w="3710"/>
        <w:gridCol w:w="1338"/>
        <w:gridCol w:w="1371"/>
        <w:gridCol w:w="2376"/>
        <w:gridCol w:w="221"/>
      </w:tblGrid>
      <w:tr w:rsidR="00C9588C" w14:paraId="0534F39B" w14:textId="77777777" w:rsidTr="00C9588C">
        <w:trPr>
          <w:gridAfter w:val="1"/>
          <w:wAfter w:w="205" w:type="dxa"/>
          <w:trHeight w:val="458"/>
        </w:trPr>
        <w:tc>
          <w:tcPr>
            <w:tcW w:w="2087" w:type="pct"/>
            <w:vMerge w:val="restart"/>
            <w:tcBorders>
              <w:top w:val="single" w:sz="4" w:space="0" w:color="auto"/>
              <w:left w:val="single" w:sz="4" w:space="0" w:color="auto"/>
              <w:bottom w:val="single" w:sz="4" w:space="0" w:color="auto"/>
              <w:right w:val="single" w:sz="4" w:space="0" w:color="auto"/>
            </w:tcBorders>
            <w:noWrap/>
            <w:vAlign w:val="center"/>
            <w:hideMark/>
          </w:tcPr>
          <w:p w14:paraId="6E1F718F" w14:textId="77777777" w:rsidR="00C9588C" w:rsidRDefault="00C9588C">
            <w:pPr>
              <w:spacing w:after="0"/>
              <w:jc w:val="left"/>
              <w:rPr>
                <w:rFonts w:cs="Times New Roman"/>
                <w:b/>
                <w:bCs/>
                <w:color w:val="000000"/>
              </w:rPr>
            </w:pPr>
            <w:r>
              <w:rPr>
                <w:rFonts w:cs="Times New Roman"/>
                <w:b/>
                <w:bCs/>
                <w:color w:val="000000"/>
              </w:rPr>
              <w:t>Details</w:t>
            </w:r>
          </w:p>
        </w:tc>
        <w:tc>
          <w:tcPr>
            <w:tcW w:w="708" w:type="pct"/>
            <w:vMerge w:val="restart"/>
            <w:tcBorders>
              <w:top w:val="single" w:sz="4" w:space="0" w:color="auto"/>
              <w:left w:val="nil"/>
              <w:bottom w:val="single" w:sz="4" w:space="0" w:color="auto"/>
              <w:right w:val="single" w:sz="4" w:space="0" w:color="auto"/>
            </w:tcBorders>
            <w:vAlign w:val="center"/>
            <w:hideMark/>
          </w:tcPr>
          <w:p w14:paraId="4754668C" w14:textId="77777777" w:rsidR="00C9588C" w:rsidRDefault="00C9588C">
            <w:pPr>
              <w:spacing w:after="0"/>
              <w:jc w:val="center"/>
              <w:rPr>
                <w:rFonts w:cs="Times New Roman"/>
                <w:b/>
                <w:bCs/>
                <w:color w:val="000000"/>
              </w:rPr>
            </w:pPr>
            <w:r>
              <w:rPr>
                <w:rFonts w:cs="Times New Roman"/>
                <w:b/>
                <w:bCs/>
                <w:color w:val="000000"/>
              </w:rPr>
              <w:t>Original Budget</w:t>
            </w:r>
          </w:p>
        </w:tc>
        <w:tc>
          <w:tcPr>
            <w:tcW w:w="775" w:type="pct"/>
            <w:vMerge w:val="restart"/>
            <w:tcBorders>
              <w:top w:val="single" w:sz="4" w:space="0" w:color="auto"/>
              <w:left w:val="nil"/>
              <w:bottom w:val="single" w:sz="4" w:space="0" w:color="auto"/>
              <w:right w:val="single" w:sz="4" w:space="0" w:color="auto"/>
            </w:tcBorders>
            <w:noWrap/>
            <w:vAlign w:val="center"/>
            <w:hideMark/>
          </w:tcPr>
          <w:p w14:paraId="0BEEDC68" w14:textId="77777777" w:rsidR="00C9588C" w:rsidRDefault="00C9588C">
            <w:pPr>
              <w:spacing w:after="0"/>
              <w:jc w:val="center"/>
              <w:rPr>
                <w:rFonts w:cs="Times New Roman"/>
                <w:b/>
                <w:bCs/>
                <w:color w:val="000000"/>
              </w:rPr>
            </w:pPr>
            <w:r>
              <w:rPr>
                <w:rFonts w:cs="Times New Roman"/>
                <w:b/>
                <w:bCs/>
                <w:color w:val="000000"/>
              </w:rPr>
              <w:t>Actual</w:t>
            </w:r>
          </w:p>
        </w:tc>
        <w:tc>
          <w:tcPr>
            <w:tcW w:w="1320" w:type="pct"/>
            <w:vMerge w:val="restart"/>
            <w:tcBorders>
              <w:top w:val="single" w:sz="4" w:space="0" w:color="auto"/>
              <w:left w:val="nil"/>
              <w:bottom w:val="single" w:sz="4" w:space="0" w:color="auto"/>
              <w:right w:val="single" w:sz="4" w:space="0" w:color="auto"/>
            </w:tcBorders>
            <w:vAlign w:val="bottom"/>
            <w:hideMark/>
          </w:tcPr>
          <w:p w14:paraId="658A4990" w14:textId="77777777" w:rsidR="00C9588C" w:rsidRDefault="00C9588C">
            <w:pPr>
              <w:spacing w:after="0"/>
              <w:jc w:val="center"/>
              <w:rPr>
                <w:rFonts w:cs="Times New Roman"/>
                <w:color w:val="000000"/>
              </w:rPr>
            </w:pPr>
            <w:r>
              <w:rPr>
                <w:rFonts w:cs="Times New Roman"/>
                <w:color w:val="000000"/>
              </w:rPr>
              <w:t>Per unit information in Actual Cost</w:t>
            </w:r>
          </w:p>
        </w:tc>
      </w:tr>
      <w:tr w:rsidR="00C9588C" w14:paraId="7D4DF7FA" w14:textId="77777777" w:rsidTr="00C9588C">
        <w:trPr>
          <w:trHeight w:val="3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B723010" w14:textId="77777777" w:rsidR="00C9588C" w:rsidRDefault="00C9588C">
            <w:pPr>
              <w:spacing w:before="0" w:beforeAutospacing="0" w:after="0" w:line="240" w:lineRule="auto"/>
              <w:jc w:val="left"/>
              <w:rPr>
                <w:rFonts w:cs="Times New Roman"/>
                <w:b/>
                <w:bCs/>
                <w:color w:val="000000"/>
              </w:rPr>
            </w:pPr>
          </w:p>
        </w:tc>
        <w:tc>
          <w:tcPr>
            <w:tcW w:w="0" w:type="auto"/>
            <w:vMerge/>
            <w:tcBorders>
              <w:top w:val="single" w:sz="4" w:space="0" w:color="auto"/>
              <w:left w:val="nil"/>
              <w:bottom w:val="single" w:sz="4" w:space="0" w:color="auto"/>
              <w:right w:val="single" w:sz="4" w:space="0" w:color="auto"/>
            </w:tcBorders>
            <w:vAlign w:val="center"/>
            <w:hideMark/>
          </w:tcPr>
          <w:p w14:paraId="46AABCD7" w14:textId="77777777" w:rsidR="00C9588C" w:rsidRDefault="00C9588C">
            <w:pPr>
              <w:spacing w:before="0" w:beforeAutospacing="0" w:after="0" w:line="240" w:lineRule="auto"/>
              <w:jc w:val="left"/>
              <w:rPr>
                <w:rFonts w:cs="Times New Roman"/>
                <w:b/>
                <w:bCs/>
                <w:color w:val="000000"/>
              </w:rPr>
            </w:pPr>
          </w:p>
        </w:tc>
        <w:tc>
          <w:tcPr>
            <w:tcW w:w="0" w:type="auto"/>
            <w:vMerge/>
            <w:tcBorders>
              <w:top w:val="single" w:sz="4" w:space="0" w:color="auto"/>
              <w:left w:val="nil"/>
              <w:bottom w:val="single" w:sz="4" w:space="0" w:color="auto"/>
              <w:right w:val="single" w:sz="4" w:space="0" w:color="auto"/>
            </w:tcBorders>
            <w:vAlign w:val="center"/>
            <w:hideMark/>
          </w:tcPr>
          <w:p w14:paraId="1F1B5495" w14:textId="77777777" w:rsidR="00C9588C" w:rsidRDefault="00C9588C">
            <w:pPr>
              <w:spacing w:before="0" w:beforeAutospacing="0" w:after="0" w:line="240" w:lineRule="auto"/>
              <w:jc w:val="left"/>
              <w:rPr>
                <w:rFonts w:cs="Times New Roman"/>
                <w:b/>
                <w:bCs/>
                <w:color w:val="000000"/>
              </w:rPr>
            </w:pPr>
          </w:p>
        </w:tc>
        <w:tc>
          <w:tcPr>
            <w:tcW w:w="0" w:type="auto"/>
            <w:vMerge/>
            <w:tcBorders>
              <w:top w:val="single" w:sz="4" w:space="0" w:color="auto"/>
              <w:left w:val="nil"/>
              <w:bottom w:val="single" w:sz="4" w:space="0" w:color="auto"/>
              <w:right w:val="single" w:sz="4" w:space="0" w:color="auto"/>
            </w:tcBorders>
            <w:vAlign w:val="center"/>
            <w:hideMark/>
          </w:tcPr>
          <w:p w14:paraId="76888EC0" w14:textId="77777777" w:rsidR="00C9588C" w:rsidRDefault="00C9588C">
            <w:pPr>
              <w:spacing w:before="0" w:beforeAutospacing="0" w:after="0" w:line="240" w:lineRule="auto"/>
              <w:jc w:val="left"/>
              <w:rPr>
                <w:rFonts w:cs="Times New Roman"/>
                <w:color w:val="000000"/>
              </w:rPr>
            </w:pPr>
          </w:p>
        </w:tc>
        <w:tc>
          <w:tcPr>
            <w:tcW w:w="110" w:type="pct"/>
            <w:tcBorders>
              <w:top w:val="nil"/>
              <w:left w:val="nil"/>
              <w:bottom w:val="nil"/>
              <w:right w:val="nil"/>
            </w:tcBorders>
            <w:noWrap/>
            <w:vAlign w:val="bottom"/>
          </w:tcPr>
          <w:p w14:paraId="6FD9458C" w14:textId="77777777" w:rsidR="00C9588C" w:rsidRDefault="00C9588C">
            <w:pPr>
              <w:spacing w:after="0"/>
              <w:jc w:val="center"/>
              <w:rPr>
                <w:rFonts w:cs="Times New Roman"/>
                <w:color w:val="000000"/>
              </w:rPr>
            </w:pPr>
          </w:p>
        </w:tc>
      </w:tr>
      <w:tr w:rsidR="00C9588C" w14:paraId="4BE0068F"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332F3638" w14:textId="77777777" w:rsidR="00C9588C" w:rsidRDefault="00C9588C">
            <w:pPr>
              <w:spacing w:after="0"/>
              <w:jc w:val="left"/>
              <w:rPr>
                <w:rFonts w:cs="Times New Roman"/>
                <w:color w:val="000000"/>
              </w:rPr>
            </w:pPr>
            <w:r>
              <w:rPr>
                <w:rFonts w:cs="Times New Roman"/>
                <w:color w:val="000000"/>
              </w:rPr>
              <w:t>Quantity of estimated sales and actual sales</w:t>
            </w:r>
          </w:p>
        </w:tc>
        <w:tc>
          <w:tcPr>
            <w:tcW w:w="708" w:type="pct"/>
            <w:tcBorders>
              <w:top w:val="nil"/>
              <w:left w:val="nil"/>
              <w:bottom w:val="single" w:sz="4" w:space="0" w:color="auto"/>
              <w:right w:val="single" w:sz="4" w:space="0" w:color="auto"/>
            </w:tcBorders>
            <w:noWrap/>
            <w:vAlign w:val="center"/>
            <w:hideMark/>
          </w:tcPr>
          <w:p w14:paraId="353FDAAF" w14:textId="77777777" w:rsidR="00C9588C" w:rsidRDefault="00C9588C">
            <w:pPr>
              <w:spacing w:after="0"/>
              <w:jc w:val="center"/>
              <w:rPr>
                <w:rFonts w:cs="Times New Roman"/>
                <w:color w:val="000000"/>
              </w:rPr>
            </w:pPr>
            <w:r>
              <w:rPr>
                <w:rFonts w:cs="Times New Roman"/>
                <w:color w:val="000000"/>
              </w:rPr>
              <w:t xml:space="preserve"> 100,000.00 </w:t>
            </w:r>
          </w:p>
        </w:tc>
        <w:tc>
          <w:tcPr>
            <w:tcW w:w="775" w:type="pct"/>
            <w:tcBorders>
              <w:top w:val="nil"/>
              <w:left w:val="nil"/>
              <w:bottom w:val="single" w:sz="4" w:space="0" w:color="auto"/>
              <w:right w:val="single" w:sz="4" w:space="0" w:color="auto"/>
            </w:tcBorders>
            <w:noWrap/>
            <w:vAlign w:val="center"/>
            <w:hideMark/>
          </w:tcPr>
          <w:p w14:paraId="6DB54B55" w14:textId="77777777" w:rsidR="00C9588C" w:rsidRDefault="00C9588C">
            <w:pPr>
              <w:spacing w:after="0"/>
              <w:jc w:val="center"/>
              <w:rPr>
                <w:rFonts w:cs="Times New Roman"/>
                <w:color w:val="000000"/>
              </w:rPr>
            </w:pPr>
            <w:r>
              <w:rPr>
                <w:rFonts w:cs="Times New Roman"/>
                <w:color w:val="000000"/>
              </w:rPr>
              <w:t xml:space="preserve"> 80,000.00 </w:t>
            </w:r>
          </w:p>
        </w:tc>
        <w:tc>
          <w:tcPr>
            <w:tcW w:w="1320" w:type="pct"/>
            <w:tcBorders>
              <w:top w:val="nil"/>
              <w:left w:val="nil"/>
              <w:bottom w:val="single" w:sz="4" w:space="0" w:color="auto"/>
              <w:right w:val="single" w:sz="4" w:space="0" w:color="auto"/>
            </w:tcBorders>
            <w:noWrap/>
            <w:vAlign w:val="bottom"/>
            <w:hideMark/>
          </w:tcPr>
          <w:p w14:paraId="5F17DAF6" w14:textId="77777777" w:rsidR="00C9588C" w:rsidRDefault="00C9588C">
            <w:pPr>
              <w:spacing w:after="0"/>
              <w:jc w:val="left"/>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3137FC8A" w14:textId="77777777" w:rsidR="00C9588C" w:rsidRDefault="00C9588C">
            <w:pPr>
              <w:spacing w:after="0"/>
              <w:jc w:val="left"/>
              <w:rPr>
                <w:rFonts w:cs="Times New Roman"/>
                <w:sz w:val="20"/>
                <w:szCs w:val="20"/>
              </w:rPr>
            </w:pPr>
          </w:p>
        </w:tc>
      </w:tr>
      <w:tr w:rsidR="00C9588C" w14:paraId="6A6DB8DB"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6C688047" w14:textId="77777777" w:rsidR="00C9588C" w:rsidRDefault="00C9588C">
            <w:pPr>
              <w:spacing w:after="0"/>
              <w:jc w:val="left"/>
              <w:rPr>
                <w:rFonts w:cs="Times New Roman"/>
                <w:color w:val="000000"/>
              </w:rPr>
            </w:pPr>
            <w:r>
              <w:rPr>
                <w:rFonts w:cs="Times New Roman"/>
                <w:color w:val="000000"/>
              </w:rPr>
              <w:t>Per unit sales price</w:t>
            </w:r>
          </w:p>
        </w:tc>
        <w:tc>
          <w:tcPr>
            <w:tcW w:w="708" w:type="pct"/>
            <w:tcBorders>
              <w:top w:val="nil"/>
              <w:left w:val="nil"/>
              <w:bottom w:val="single" w:sz="4" w:space="0" w:color="auto"/>
              <w:right w:val="single" w:sz="4" w:space="0" w:color="auto"/>
            </w:tcBorders>
            <w:noWrap/>
            <w:vAlign w:val="center"/>
            <w:hideMark/>
          </w:tcPr>
          <w:p w14:paraId="000E05F4" w14:textId="77777777" w:rsidR="00C9588C" w:rsidRDefault="00C9588C">
            <w:pPr>
              <w:spacing w:after="0"/>
              <w:jc w:val="center"/>
              <w:rPr>
                <w:rFonts w:cs="Times New Roman"/>
                <w:color w:val="000000"/>
              </w:rPr>
            </w:pPr>
            <w:r>
              <w:rPr>
                <w:rFonts w:cs="Times New Roman"/>
                <w:color w:val="000000"/>
              </w:rPr>
              <w:t xml:space="preserve"> £          25.00 </w:t>
            </w:r>
          </w:p>
        </w:tc>
        <w:tc>
          <w:tcPr>
            <w:tcW w:w="775" w:type="pct"/>
            <w:tcBorders>
              <w:top w:val="nil"/>
              <w:left w:val="nil"/>
              <w:bottom w:val="single" w:sz="4" w:space="0" w:color="auto"/>
              <w:right w:val="single" w:sz="4" w:space="0" w:color="auto"/>
            </w:tcBorders>
            <w:noWrap/>
            <w:vAlign w:val="center"/>
            <w:hideMark/>
          </w:tcPr>
          <w:p w14:paraId="35071352" w14:textId="77777777" w:rsidR="00C9588C" w:rsidRDefault="00C9588C">
            <w:pPr>
              <w:spacing w:after="0"/>
              <w:jc w:val="center"/>
              <w:rPr>
                <w:rFonts w:cs="Times New Roman"/>
                <w:color w:val="000000"/>
              </w:rPr>
            </w:pPr>
            <w:r>
              <w:rPr>
                <w:rFonts w:cs="Times New Roman"/>
                <w:color w:val="000000"/>
              </w:rPr>
              <w:t xml:space="preserve"> £           20.00 </w:t>
            </w:r>
          </w:p>
        </w:tc>
        <w:tc>
          <w:tcPr>
            <w:tcW w:w="1320" w:type="pct"/>
            <w:tcBorders>
              <w:top w:val="nil"/>
              <w:left w:val="nil"/>
              <w:bottom w:val="single" w:sz="4" w:space="0" w:color="auto"/>
              <w:right w:val="single" w:sz="4" w:space="0" w:color="auto"/>
            </w:tcBorders>
            <w:noWrap/>
            <w:vAlign w:val="center"/>
            <w:hideMark/>
          </w:tcPr>
          <w:p w14:paraId="6B7CF4AC" w14:textId="77777777" w:rsidR="00C9588C" w:rsidRDefault="00C9588C">
            <w:pPr>
              <w:spacing w:after="0"/>
              <w:jc w:val="center"/>
              <w:rPr>
                <w:rFonts w:cs="Times New Roman"/>
                <w:color w:val="000000"/>
              </w:rPr>
            </w:pPr>
            <w:r>
              <w:rPr>
                <w:rFonts w:cs="Times New Roman"/>
                <w:color w:val="000000"/>
              </w:rPr>
              <w:t xml:space="preserve"> £                               20.00 </w:t>
            </w:r>
          </w:p>
        </w:tc>
        <w:tc>
          <w:tcPr>
            <w:tcW w:w="110" w:type="pct"/>
            <w:tcBorders>
              <w:top w:val="nil"/>
              <w:left w:val="nil"/>
              <w:bottom w:val="nil"/>
              <w:right w:val="nil"/>
            </w:tcBorders>
            <w:vAlign w:val="center"/>
          </w:tcPr>
          <w:p w14:paraId="33C367B1" w14:textId="77777777" w:rsidR="00C9588C" w:rsidRDefault="00C9588C">
            <w:pPr>
              <w:spacing w:after="0"/>
              <w:jc w:val="left"/>
              <w:rPr>
                <w:rFonts w:cs="Times New Roman"/>
                <w:sz w:val="20"/>
                <w:szCs w:val="20"/>
              </w:rPr>
            </w:pPr>
          </w:p>
        </w:tc>
      </w:tr>
      <w:tr w:rsidR="00C9588C" w14:paraId="2F85F913"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0E59954F" w14:textId="77777777" w:rsidR="00C9588C" w:rsidRDefault="00C9588C">
            <w:pPr>
              <w:spacing w:after="0"/>
              <w:jc w:val="left"/>
              <w:rPr>
                <w:rFonts w:cs="Times New Roman"/>
                <w:b/>
                <w:bCs/>
                <w:color w:val="000000"/>
                <w:u w:val="single"/>
              </w:rPr>
            </w:pPr>
            <w:r>
              <w:rPr>
                <w:rFonts w:cs="Times New Roman"/>
                <w:b/>
                <w:bCs/>
                <w:color w:val="000000"/>
                <w:u w:val="single"/>
              </w:rPr>
              <w:t>Variables Cost</w:t>
            </w:r>
          </w:p>
        </w:tc>
        <w:tc>
          <w:tcPr>
            <w:tcW w:w="708" w:type="pct"/>
            <w:tcBorders>
              <w:top w:val="nil"/>
              <w:left w:val="nil"/>
              <w:bottom w:val="single" w:sz="4" w:space="0" w:color="auto"/>
              <w:right w:val="single" w:sz="4" w:space="0" w:color="auto"/>
            </w:tcBorders>
            <w:noWrap/>
            <w:hideMark/>
          </w:tcPr>
          <w:p w14:paraId="1DC1B2D2" w14:textId="77777777" w:rsidR="00C9588C" w:rsidRDefault="00C9588C">
            <w:pPr>
              <w:spacing w:after="0"/>
              <w:jc w:val="center"/>
              <w:rPr>
                <w:rFonts w:cs="Times New Roman"/>
                <w:color w:val="000000"/>
              </w:rPr>
            </w:pPr>
            <w:r>
              <w:rPr>
                <w:rFonts w:cs="Times New Roman"/>
                <w:color w:val="000000"/>
              </w:rPr>
              <w:t> </w:t>
            </w:r>
          </w:p>
        </w:tc>
        <w:tc>
          <w:tcPr>
            <w:tcW w:w="775" w:type="pct"/>
            <w:tcBorders>
              <w:top w:val="nil"/>
              <w:left w:val="nil"/>
              <w:bottom w:val="single" w:sz="4" w:space="0" w:color="auto"/>
              <w:right w:val="single" w:sz="4" w:space="0" w:color="auto"/>
            </w:tcBorders>
            <w:noWrap/>
            <w:hideMark/>
          </w:tcPr>
          <w:p w14:paraId="2AF5E1D4" w14:textId="77777777" w:rsidR="00C9588C" w:rsidRDefault="00C9588C">
            <w:pPr>
              <w:spacing w:after="0"/>
              <w:jc w:val="center"/>
              <w:rPr>
                <w:rFonts w:cs="Times New Roman"/>
                <w:color w:val="000000"/>
              </w:rPr>
            </w:pPr>
            <w:r>
              <w:rPr>
                <w:rFonts w:cs="Times New Roman"/>
                <w:color w:val="000000"/>
              </w:rPr>
              <w:t> </w:t>
            </w:r>
          </w:p>
        </w:tc>
        <w:tc>
          <w:tcPr>
            <w:tcW w:w="1320" w:type="pct"/>
            <w:tcBorders>
              <w:top w:val="nil"/>
              <w:left w:val="nil"/>
              <w:bottom w:val="single" w:sz="4" w:space="0" w:color="auto"/>
              <w:right w:val="single" w:sz="4" w:space="0" w:color="auto"/>
            </w:tcBorders>
            <w:noWrap/>
            <w:vAlign w:val="center"/>
            <w:hideMark/>
          </w:tcPr>
          <w:p w14:paraId="35E55D0E" w14:textId="77777777" w:rsidR="00C9588C" w:rsidRDefault="00C9588C">
            <w:pPr>
              <w:spacing w:after="0"/>
              <w:jc w:val="center"/>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3B2FB029" w14:textId="77777777" w:rsidR="00C9588C" w:rsidRDefault="00C9588C">
            <w:pPr>
              <w:spacing w:after="0"/>
              <w:jc w:val="left"/>
              <w:rPr>
                <w:rFonts w:cs="Times New Roman"/>
                <w:sz w:val="20"/>
                <w:szCs w:val="20"/>
              </w:rPr>
            </w:pPr>
          </w:p>
        </w:tc>
      </w:tr>
      <w:tr w:rsidR="00C9588C" w14:paraId="52BBADEB"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41B1221F" w14:textId="77777777" w:rsidR="00C9588C" w:rsidRDefault="00C9588C">
            <w:pPr>
              <w:spacing w:after="0"/>
              <w:jc w:val="left"/>
              <w:rPr>
                <w:rFonts w:cs="Times New Roman"/>
                <w:color w:val="000000"/>
              </w:rPr>
            </w:pPr>
            <w:r>
              <w:rPr>
                <w:rFonts w:cs="Times New Roman"/>
                <w:color w:val="000000"/>
              </w:rPr>
              <w:t>Materials cost</w:t>
            </w:r>
          </w:p>
        </w:tc>
        <w:tc>
          <w:tcPr>
            <w:tcW w:w="708" w:type="pct"/>
            <w:tcBorders>
              <w:top w:val="nil"/>
              <w:left w:val="nil"/>
              <w:bottom w:val="single" w:sz="4" w:space="0" w:color="auto"/>
              <w:right w:val="single" w:sz="4" w:space="0" w:color="auto"/>
            </w:tcBorders>
            <w:noWrap/>
            <w:vAlign w:val="center"/>
            <w:hideMark/>
          </w:tcPr>
          <w:p w14:paraId="4376DF65" w14:textId="77777777" w:rsidR="00C9588C" w:rsidRDefault="00C9588C">
            <w:pPr>
              <w:spacing w:after="0"/>
              <w:jc w:val="center"/>
              <w:rPr>
                <w:rFonts w:cs="Times New Roman"/>
                <w:color w:val="000000"/>
              </w:rPr>
            </w:pPr>
            <w:r>
              <w:rPr>
                <w:rFonts w:cs="Times New Roman"/>
                <w:color w:val="000000"/>
              </w:rPr>
              <w:t xml:space="preserve">-£            2.50 </w:t>
            </w:r>
          </w:p>
        </w:tc>
        <w:tc>
          <w:tcPr>
            <w:tcW w:w="775" w:type="pct"/>
            <w:tcBorders>
              <w:top w:val="nil"/>
              <w:left w:val="nil"/>
              <w:bottom w:val="single" w:sz="4" w:space="0" w:color="auto"/>
              <w:right w:val="single" w:sz="4" w:space="0" w:color="auto"/>
            </w:tcBorders>
            <w:noWrap/>
            <w:vAlign w:val="center"/>
            <w:hideMark/>
          </w:tcPr>
          <w:p w14:paraId="42650141" w14:textId="77777777" w:rsidR="00C9588C" w:rsidRDefault="00C9588C">
            <w:pPr>
              <w:spacing w:after="0"/>
              <w:jc w:val="center"/>
              <w:rPr>
                <w:rFonts w:cs="Times New Roman"/>
                <w:color w:val="000000"/>
              </w:rPr>
            </w:pPr>
            <w:r>
              <w:rPr>
                <w:rFonts w:cs="Times New Roman"/>
                <w:color w:val="000000"/>
              </w:rPr>
              <w:t xml:space="preserve">-£ 280,000.00 </w:t>
            </w:r>
          </w:p>
        </w:tc>
        <w:tc>
          <w:tcPr>
            <w:tcW w:w="1320" w:type="pct"/>
            <w:tcBorders>
              <w:top w:val="nil"/>
              <w:left w:val="nil"/>
              <w:bottom w:val="single" w:sz="4" w:space="0" w:color="auto"/>
              <w:right w:val="single" w:sz="4" w:space="0" w:color="auto"/>
            </w:tcBorders>
            <w:noWrap/>
            <w:vAlign w:val="center"/>
            <w:hideMark/>
          </w:tcPr>
          <w:p w14:paraId="37EDF31B" w14:textId="77777777" w:rsidR="00C9588C" w:rsidRDefault="00C9588C">
            <w:pPr>
              <w:spacing w:after="0"/>
              <w:jc w:val="center"/>
              <w:rPr>
                <w:rFonts w:cs="Times New Roman"/>
                <w:color w:val="000000"/>
              </w:rPr>
            </w:pPr>
            <w:r>
              <w:rPr>
                <w:rFonts w:cs="Times New Roman"/>
                <w:color w:val="000000"/>
              </w:rPr>
              <w:t xml:space="preserve">-£                                3.50 </w:t>
            </w:r>
          </w:p>
        </w:tc>
        <w:tc>
          <w:tcPr>
            <w:tcW w:w="110" w:type="pct"/>
            <w:tcBorders>
              <w:top w:val="nil"/>
              <w:left w:val="nil"/>
              <w:bottom w:val="nil"/>
              <w:right w:val="nil"/>
            </w:tcBorders>
            <w:vAlign w:val="center"/>
          </w:tcPr>
          <w:p w14:paraId="3E941A24" w14:textId="77777777" w:rsidR="00C9588C" w:rsidRDefault="00C9588C">
            <w:pPr>
              <w:spacing w:after="0"/>
              <w:jc w:val="left"/>
              <w:rPr>
                <w:rFonts w:cs="Times New Roman"/>
                <w:sz w:val="20"/>
                <w:szCs w:val="20"/>
              </w:rPr>
            </w:pPr>
          </w:p>
        </w:tc>
      </w:tr>
      <w:tr w:rsidR="00C9588C" w14:paraId="32BF3905"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050BFE38" w14:textId="77777777" w:rsidR="00C9588C" w:rsidRDefault="00C9588C">
            <w:pPr>
              <w:spacing w:after="0"/>
              <w:jc w:val="left"/>
              <w:rPr>
                <w:rFonts w:cs="Times New Roman"/>
                <w:color w:val="000000"/>
              </w:rPr>
            </w:pPr>
            <w:r>
              <w:rPr>
                <w:rFonts w:cs="Times New Roman"/>
                <w:color w:val="000000"/>
              </w:rPr>
              <w:t>Labour cost</w:t>
            </w:r>
          </w:p>
        </w:tc>
        <w:tc>
          <w:tcPr>
            <w:tcW w:w="708" w:type="pct"/>
            <w:tcBorders>
              <w:top w:val="nil"/>
              <w:left w:val="nil"/>
              <w:bottom w:val="single" w:sz="4" w:space="0" w:color="auto"/>
              <w:right w:val="single" w:sz="4" w:space="0" w:color="auto"/>
            </w:tcBorders>
            <w:noWrap/>
            <w:vAlign w:val="center"/>
            <w:hideMark/>
          </w:tcPr>
          <w:p w14:paraId="382468C3" w14:textId="77777777" w:rsidR="00C9588C" w:rsidRDefault="00C9588C">
            <w:pPr>
              <w:spacing w:after="0"/>
              <w:jc w:val="center"/>
              <w:rPr>
                <w:rFonts w:cs="Times New Roman"/>
                <w:color w:val="000000"/>
              </w:rPr>
            </w:pPr>
            <w:r>
              <w:rPr>
                <w:rFonts w:cs="Times New Roman"/>
                <w:color w:val="000000"/>
              </w:rPr>
              <w:t xml:space="preserve">-£            4.00 </w:t>
            </w:r>
          </w:p>
        </w:tc>
        <w:tc>
          <w:tcPr>
            <w:tcW w:w="775" w:type="pct"/>
            <w:tcBorders>
              <w:top w:val="nil"/>
              <w:left w:val="nil"/>
              <w:bottom w:val="single" w:sz="4" w:space="0" w:color="auto"/>
              <w:right w:val="single" w:sz="4" w:space="0" w:color="auto"/>
            </w:tcBorders>
            <w:noWrap/>
            <w:vAlign w:val="center"/>
            <w:hideMark/>
          </w:tcPr>
          <w:p w14:paraId="67D3C014" w14:textId="77777777" w:rsidR="00C9588C" w:rsidRDefault="00C9588C">
            <w:pPr>
              <w:spacing w:after="0"/>
              <w:jc w:val="center"/>
              <w:rPr>
                <w:rFonts w:cs="Times New Roman"/>
                <w:color w:val="000000"/>
              </w:rPr>
            </w:pPr>
            <w:r>
              <w:rPr>
                <w:rFonts w:cs="Times New Roman"/>
                <w:color w:val="000000"/>
              </w:rPr>
              <w:t xml:space="preserve">-£ 440,000.00 </w:t>
            </w:r>
          </w:p>
        </w:tc>
        <w:tc>
          <w:tcPr>
            <w:tcW w:w="1320" w:type="pct"/>
            <w:tcBorders>
              <w:top w:val="nil"/>
              <w:left w:val="nil"/>
              <w:bottom w:val="single" w:sz="4" w:space="0" w:color="auto"/>
              <w:right w:val="single" w:sz="4" w:space="0" w:color="auto"/>
            </w:tcBorders>
            <w:noWrap/>
            <w:vAlign w:val="center"/>
            <w:hideMark/>
          </w:tcPr>
          <w:p w14:paraId="417CA4CB" w14:textId="77777777" w:rsidR="00C9588C" w:rsidRDefault="00C9588C">
            <w:pPr>
              <w:spacing w:after="0"/>
              <w:jc w:val="center"/>
              <w:rPr>
                <w:rFonts w:cs="Times New Roman"/>
                <w:color w:val="000000"/>
              </w:rPr>
            </w:pPr>
            <w:r>
              <w:rPr>
                <w:rFonts w:cs="Times New Roman"/>
                <w:color w:val="000000"/>
              </w:rPr>
              <w:t xml:space="preserve">-£                                5.50 </w:t>
            </w:r>
          </w:p>
        </w:tc>
        <w:tc>
          <w:tcPr>
            <w:tcW w:w="110" w:type="pct"/>
            <w:tcBorders>
              <w:top w:val="nil"/>
              <w:left w:val="nil"/>
              <w:bottom w:val="nil"/>
              <w:right w:val="nil"/>
            </w:tcBorders>
            <w:vAlign w:val="center"/>
          </w:tcPr>
          <w:p w14:paraId="65CADE4E" w14:textId="77777777" w:rsidR="00C9588C" w:rsidRDefault="00C9588C">
            <w:pPr>
              <w:spacing w:after="0"/>
              <w:jc w:val="left"/>
              <w:rPr>
                <w:rFonts w:cs="Times New Roman"/>
                <w:sz w:val="20"/>
                <w:szCs w:val="20"/>
              </w:rPr>
            </w:pPr>
          </w:p>
        </w:tc>
      </w:tr>
      <w:tr w:rsidR="00C9588C" w14:paraId="082798F7"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6CFB30C2" w14:textId="77777777" w:rsidR="00C9588C" w:rsidRDefault="00C9588C">
            <w:pPr>
              <w:spacing w:after="0"/>
              <w:jc w:val="left"/>
              <w:rPr>
                <w:rFonts w:cs="Times New Roman"/>
                <w:color w:val="000000"/>
              </w:rPr>
            </w:pPr>
            <w:r>
              <w:rPr>
                <w:rFonts w:cs="Times New Roman"/>
                <w:color w:val="000000"/>
              </w:rPr>
              <w:t>Overhead cost</w:t>
            </w:r>
          </w:p>
        </w:tc>
        <w:tc>
          <w:tcPr>
            <w:tcW w:w="708" w:type="pct"/>
            <w:tcBorders>
              <w:top w:val="nil"/>
              <w:left w:val="nil"/>
              <w:bottom w:val="single" w:sz="4" w:space="0" w:color="auto"/>
              <w:right w:val="single" w:sz="4" w:space="0" w:color="auto"/>
            </w:tcBorders>
            <w:noWrap/>
            <w:vAlign w:val="center"/>
            <w:hideMark/>
          </w:tcPr>
          <w:p w14:paraId="7B8A684D" w14:textId="77777777" w:rsidR="00C9588C" w:rsidRDefault="00C9588C">
            <w:pPr>
              <w:spacing w:after="0"/>
              <w:jc w:val="center"/>
              <w:rPr>
                <w:rFonts w:cs="Times New Roman"/>
                <w:color w:val="000000"/>
                <w:u w:val="single"/>
              </w:rPr>
            </w:pPr>
            <w:r>
              <w:rPr>
                <w:rFonts w:cs="Times New Roman"/>
                <w:color w:val="000000"/>
                <w:u w:val="single"/>
              </w:rPr>
              <w:t xml:space="preserve">-£            1.50 </w:t>
            </w:r>
          </w:p>
        </w:tc>
        <w:tc>
          <w:tcPr>
            <w:tcW w:w="775" w:type="pct"/>
            <w:tcBorders>
              <w:top w:val="nil"/>
              <w:left w:val="nil"/>
              <w:bottom w:val="single" w:sz="4" w:space="0" w:color="auto"/>
              <w:right w:val="single" w:sz="4" w:space="0" w:color="auto"/>
            </w:tcBorders>
            <w:noWrap/>
            <w:vAlign w:val="center"/>
            <w:hideMark/>
          </w:tcPr>
          <w:p w14:paraId="07D04C7C" w14:textId="77777777" w:rsidR="00C9588C" w:rsidRDefault="00C9588C">
            <w:pPr>
              <w:spacing w:after="0"/>
              <w:jc w:val="center"/>
              <w:rPr>
                <w:rFonts w:cs="Times New Roman"/>
                <w:color w:val="000000"/>
                <w:u w:val="single"/>
              </w:rPr>
            </w:pPr>
            <w:r>
              <w:rPr>
                <w:rFonts w:cs="Times New Roman"/>
                <w:color w:val="000000"/>
                <w:u w:val="single"/>
              </w:rPr>
              <w:t xml:space="preserve">-£ 120,000.00 </w:t>
            </w:r>
          </w:p>
        </w:tc>
        <w:tc>
          <w:tcPr>
            <w:tcW w:w="1320" w:type="pct"/>
            <w:tcBorders>
              <w:top w:val="nil"/>
              <w:left w:val="nil"/>
              <w:bottom w:val="single" w:sz="4" w:space="0" w:color="auto"/>
              <w:right w:val="single" w:sz="4" w:space="0" w:color="auto"/>
            </w:tcBorders>
            <w:noWrap/>
            <w:vAlign w:val="center"/>
            <w:hideMark/>
          </w:tcPr>
          <w:p w14:paraId="5D12E3EC" w14:textId="77777777" w:rsidR="00C9588C" w:rsidRDefault="00C9588C">
            <w:pPr>
              <w:spacing w:after="0"/>
              <w:jc w:val="center"/>
              <w:rPr>
                <w:rFonts w:cs="Times New Roman"/>
                <w:color w:val="000000"/>
              </w:rPr>
            </w:pPr>
            <w:r>
              <w:rPr>
                <w:rFonts w:cs="Times New Roman"/>
                <w:color w:val="000000"/>
              </w:rPr>
              <w:t xml:space="preserve">-£                                1.50 </w:t>
            </w:r>
          </w:p>
        </w:tc>
        <w:tc>
          <w:tcPr>
            <w:tcW w:w="110" w:type="pct"/>
            <w:tcBorders>
              <w:top w:val="nil"/>
              <w:left w:val="nil"/>
              <w:bottom w:val="nil"/>
              <w:right w:val="nil"/>
            </w:tcBorders>
            <w:vAlign w:val="center"/>
          </w:tcPr>
          <w:p w14:paraId="38BEBB63" w14:textId="77777777" w:rsidR="00C9588C" w:rsidRDefault="00C9588C">
            <w:pPr>
              <w:spacing w:after="0"/>
              <w:jc w:val="left"/>
              <w:rPr>
                <w:rFonts w:cs="Times New Roman"/>
                <w:sz w:val="20"/>
                <w:szCs w:val="20"/>
              </w:rPr>
            </w:pPr>
          </w:p>
        </w:tc>
      </w:tr>
      <w:tr w:rsidR="00C9588C" w14:paraId="54BE6E42"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7223E098" w14:textId="77777777" w:rsidR="00C9588C" w:rsidRDefault="00C9588C">
            <w:pPr>
              <w:spacing w:after="0"/>
              <w:jc w:val="left"/>
              <w:rPr>
                <w:rFonts w:cs="Times New Roman"/>
                <w:color w:val="000000"/>
              </w:rPr>
            </w:pPr>
            <w:r>
              <w:rPr>
                <w:rFonts w:cs="Times New Roman"/>
                <w:color w:val="000000"/>
              </w:rPr>
              <w:t>Contribution Margin</w:t>
            </w:r>
          </w:p>
        </w:tc>
        <w:tc>
          <w:tcPr>
            <w:tcW w:w="708" w:type="pct"/>
            <w:tcBorders>
              <w:top w:val="nil"/>
              <w:left w:val="nil"/>
              <w:bottom w:val="single" w:sz="4" w:space="0" w:color="auto"/>
              <w:right w:val="single" w:sz="4" w:space="0" w:color="auto"/>
            </w:tcBorders>
            <w:noWrap/>
            <w:vAlign w:val="center"/>
            <w:hideMark/>
          </w:tcPr>
          <w:p w14:paraId="656C0F24" w14:textId="77777777" w:rsidR="00C9588C" w:rsidRDefault="00C9588C">
            <w:pPr>
              <w:spacing w:after="0"/>
              <w:jc w:val="center"/>
              <w:rPr>
                <w:rFonts w:cs="Times New Roman"/>
                <w:color w:val="000000"/>
              </w:rPr>
            </w:pPr>
            <w:r>
              <w:rPr>
                <w:rFonts w:cs="Times New Roman"/>
                <w:color w:val="000000"/>
              </w:rPr>
              <w:t xml:space="preserve"> £          17.00 </w:t>
            </w:r>
          </w:p>
        </w:tc>
        <w:tc>
          <w:tcPr>
            <w:tcW w:w="775" w:type="pct"/>
            <w:tcBorders>
              <w:top w:val="nil"/>
              <w:left w:val="nil"/>
              <w:bottom w:val="single" w:sz="4" w:space="0" w:color="auto"/>
              <w:right w:val="single" w:sz="4" w:space="0" w:color="auto"/>
            </w:tcBorders>
            <w:noWrap/>
            <w:vAlign w:val="center"/>
            <w:hideMark/>
          </w:tcPr>
          <w:p w14:paraId="7D8DD5E1" w14:textId="77777777" w:rsidR="00C9588C" w:rsidRDefault="00C9588C">
            <w:pPr>
              <w:spacing w:after="0"/>
              <w:jc w:val="center"/>
              <w:rPr>
                <w:rFonts w:cs="Times New Roman"/>
                <w:color w:val="000000"/>
              </w:rPr>
            </w:pPr>
            <w:r>
              <w:rPr>
                <w:rFonts w:cs="Times New Roman"/>
                <w:color w:val="000000"/>
              </w:rPr>
              <w:t xml:space="preserve"> £ 760,000.00 </w:t>
            </w:r>
          </w:p>
        </w:tc>
        <w:tc>
          <w:tcPr>
            <w:tcW w:w="1320" w:type="pct"/>
            <w:tcBorders>
              <w:top w:val="nil"/>
              <w:left w:val="nil"/>
              <w:bottom w:val="single" w:sz="4" w:space="0" w:color="auto"/>
              <w:right w:val="single" w:sz="4" w:space="0" w:color="auto"/>
            </w:tcBorders>
            <w:noWrap/>
            <w:vAlign w:val="center"/>
            <w:hideMark/>
          </w:tcPr>
          <w:p w14:paraId="455317F7" w14:textId="77777777" w:rsidR="00C9588C" w:rsidRDefault="00C9588C">
            <w:pPr>
              <w:spacing w:after="0"/>
              <w:jc w:val="center"/>
              <w:rPr>
                <w:rFonts w:cs="Times New Roman"/>
                <w:color w:val="000000"/>
              </w:rPr>
            </w:pPr>
            <w:r>
              <w:rPr>
                <w:rFonts w:cs="Times New Roman"/>
                <w:color w:val="000000"/>
              </w:rPr>
              <w:t xml:space="preserve"> £                                 9.50 </w:t>
            </w:r>
          </w:p>
        </w:tc>
        <w:tc>
          <w:tcPr>
            <w:tcW w:w="110" w:type="pct"/>
            <w:tcBorders>
              <w:top w:val="nil"/>
              <w:left w:val="nil"/>
              <w:bottom w:val="nil"/>
              <w:right w:val="nil"/>
            </w:tcBorders>
            <w:vAlign w:val="center"/>
          </w:tcPr>
          <w:p w14:paraId="1FCB490E" w14:textId="77777777" w:rsidR="00C9588C" w:rsidRDefault="00C9588C">
            <w:pPr>
              <w:spacing w:after="0"/>
              <w:jc w:val="left"/>
              <w:rPr>
                <w:rFonts w:cs="Times New Roman"/>
                <w:sz w:val="20"/>
                <w:szCs w:val="20"/>
              </w:rPr>
            </w:pPr>
          </w:p>
        </w:tc>
      </w:tr>
      <w:tr w:rsidR="00C9588C" w14:paraId="58897A77"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2898C174" w14:textId="77777777" w:rsidR="00C9588C" w:rsidRDefault="00C9588C">
            <w:pPr>
              <w:spacing w:after="0"/>
              <w:jc w:val="left"/>
              <w:rPr>
                <w:rFonts w:cs="Times New Roman"/>
                <w:b/>
                <w:bCs/>
                <w:color w:val="000000"/>
                <w:u w:val="single"/>
              </w:rPr>
            </w:pPr>
            <w:r>
              <w:rPr>
                <w:rFonts w:cs="Times New Roman"/>
                <w:b/>
                <w:bCs/>
                <w:color w:val="000000"/>
                <w:u w:val="single"/>
              </w:rPr>
              <w:lastRenderedPageBreak/>
              <w:t>Fixed Costs</w:t>
            </w:r>
          </w:p>
        </w:tc>
        <w:tc>
          <w:tcPr>
            <w:tcW w:w="708" w:type="pct"/>
            <w:tcBorders>
              <w:top w:val="nil"/>
              <w:left w:val="nil"/>
              <w:bottom w:val="single" w:sz="4" w:space="0" w:color="auto"/>
              <w:right w:val="single" w:sz="4" w:space="0" w:color="auto"/>
            </w:tcBorders>
            <w:noWrap/>
            <w:hideMark/>
          </w:tcPr>
          <w:p w14:paraId="07425310" w14:textId="77777777" w:rsidR="00C9588C" w:rsidRDefault="00C9588C">
            <w:pPr>
              <w:spacing w:after="0"/>
              <w:jc w:val="center"/>
              <w:rPr>
                <w:rFonts w:cs="Times New Roman"/>
                <w:color w:val="000000"/>
              </w:rPr>
            </w:pPr>
            <w:r>
              <w:rPr>
                <w:rFonts w:cs="Times New Roman"/>
                <w:color w:val="000000"/>
              </w:rPr>
              <w:t> </w:t>
            </w:r>
          </w:p>
        </w:tc>
        <w:tc>
          <w:tcPr>
            <w:tcW w:w="775" w:type="pct"/>
            <w:tcBorders>
              <w:top w:val="nil"/>
              <w:left w:val="nil"/>
              <w:bottom w:val="single" w:sz="4" w:space="0" w:color="auto"/>
              <w:right w:val="single" w:sz="4" w:space="0" w:color="auto"/>
            </w:tcBorders>
            <w:noWrap/>
            <w:hideMark/>
          </w:tcPr>
          <w:p w14:paraId="16795113" w14:textId="77777777" w:rsidR="00C9588C" w:rsidRDefault="00C9588C">
            <w:pPr>
              <w:spacing w:after="0"/>
              <w:jc w:val="center"/>
              <w:rPr>
                <w:rFonts w:cs="Times New Roman"/>
                <w:color w:val="000000"/>
              </w:rPr>
            </w:pPr>
            <w:r>
              <w:rPr>
                <w:rFonts w:cs="Times New Roman"/>
                <w:color w:val="000000"/>
              </w:rPr>
              <w:t> </w:t>
            </w:r>
          </w:p>
        </w:tc>
        <w:tc>
          <w:tcPr>
            <w:tcW w:w="1320" w:type="pct"/>
            <w:tcBorders>
              <w:top w:val="nil"/>
              <w:left w:val="nil"/>
              <w:bottom w:val="single" w:sz="4" w:space="0" w:color="auto"/>
              <w:right w:val="single" w:sz="4" w:space="0" w:color="auto"/>
            </w:tcBorders>
            <w:noWrap/>
            <w:vAlign w:val="bottom"/>
            <w:hideMark/>
          </w:tcPr>
          <w:p w14:paraId="47280B96" w14:textId="77777777" w:rsidR="00C9588C" w:rsidRDefault="00C9588C">
            <w:pPr>
              <w:spacing w:after="0"/>
              <w:jc w:val="left"/>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6651507B" w14:textId="77777777" w:rsidR="00C9588C" w:rsidRDefault="00C9588C">
            <w:pPr>
              <w:spacing w:after="0"/>
              <w:jc w:val="left"/>
              <w:rPr>
                <w:rFonts w:cs="Times New Roman"/>
                <w:sz w:val="20"/>
                <w:szCs w:val="20"/>
              </w:rPr>
            </w:pPr>
          </w:p>
        </w:tc>
      </w:tr>
      <w:tr w:rsidR="00C9588C" w14:paraId="7A7F934C"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2D2C03C5" w14:textId="77777777" w:rsidR="00C9588C" w:rsidRDefault="00C9588C">
            <w:pPr>
              <w:spacing w:after="0"/>
              <w:jc w:val="left"/>
              <w:rPr>
                <w:rFonts w:cs="Times New Roman"/>
                <w:color w:val="000000"/>
              </w:rPr>
            </w:pPr>
            <w:r>
              <w:rPr>
                <w:rFonts w:cs="Times New Roman"/>
                <w:color w:val="000000"/>
              </w:rPr>
              <w:t>Warehouse rent Expense</w:t>
            </w:r>
          </w:p>
        </w:tc>
        <w:tc>
          <w:tcPr>
            <w:tcW w:w="708" w:type="pct"/>
            <w:tcBorders>
              <w:top w:val="nil"/>
              <w:left w:val="nil"/>
              <w:bottom w:val="single" w:sz="4" w:space="0" w:color="auto"/>
              <w:right w:val="single" w:sz="4" w:space="0" w:color="auto"/>
            </w:tcBorders>
            <w:noWrap/>
            <w:vAlign w:val="center"/>
            <w:hideMark/>
          </w:tcPr>
          <w:p w14:paraId="0C995C8F" w14:textId="77777777" w:rsidR="00C9588C" w:rsidRDefault="00C9588C">
            <w:pPr>
              <w:spacing w:after="0"/>
              <w:jc w:val="center"/>
              <w:rPr>
                <w:rFonts w:cs="Times New Roman"/>
                <w:color w:val="000000"/>
              </w:rPr>
            </w:pPr>
            <w:r>
              <w:rPr>
                <w:rFonts w:cs="Times New Roman"/>
                <w:color w:val="000000"/>
              </w:rPr>
              <w:t xml:space="preserve"> £ 200,000.00 </w:t>
            </w:r>
          </w:p>
        </w:tc>
        <w:tc>
          <w:tcPr>
            <w:tcW w:w="775" w:type="pct"/>
            <w:tcBorders>
              <w:top w:val="nil"/>
              <w:left w:val="nil"/>
              <w:bottom w:val="single" w:sz="4" w:space="0" w:color="auto"/>
              <w:right w:val="single" w:sz="4" w:space="0" w:color="auto"/>
            </w:tcBorders>
            <w:noWrap/>
            <w:vAlign w:val="center"/>
            <w:hideMark/>
          </w:tcPr>
          <w:p w14:paraId="72809211" w14:textId="77777777" w:rsidR="00C9588C" w:rsidRDefault="00C9588C">
            <w:pPr>
              <w:spacing w:after="0"/>
              <w:jc w:val="center"/>
              <w:rPr>
                <w:rFonts w:cs="Times New Roman"/>
                <w:color w:val="000000"/>
              </w:rPr>
            </w:pPr>
            <w:r>
              <w:rPr>
                <w:rFonts w:cs="Times New Roman"/>
                <w:color w:val="000000"/>
              </w:rPr>
              <w:t xml:space="preserve"> £ 170,000.00 </w:t>
            </w:r>
          </w:p>
        </w:tc>
        <w:tc>
          <w:tcPr>
            <w:tcW w:w="1320" w:type="pct"/>
            <w:tcBorders>
              <w:top w:val="nil"/>
              <w:left w:val="nil"/>
              <w:bottom w:val="single" w:sz="4" w:space="0" w:color="auto"/>
              <w:right w:val="single" w:sz="4" w:space="0" w:color="auto"/>
            </w:tcBorders>
            <w:noWrap/>
            <w:vAlign w:val="bottom"/>
            <w:hideMark/>
          </w:tcPr>
          <w:p w14:paraId="49709840" w14:textId="77777777" w:rsidR="00C9588C" w:rsidRDefault="00C9588C">
            <w:pPr>
              <w:spacing w:after="0"/>
              <w:jc w:val="left"/>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7F8DB5AC" w14:textId="77777777" w:rsidR="00C9588C" w:rsidRDefault="00C9588C">
            <w:pPr>
              <w:spacing w:after="0"/>
              <w:jc w:val="left"/>
              <w:rPr>
                <w:rFonts w:cs="Times New Roman"/>
                <w:sz w:val="20"/>
                <w:szCs w:val="20"/>
              </w:rPr>
            </w:pPr>
          </w:p>
        </w:tc>
      </w:tr>
      <w:tr w:rsidR="00C9588C" w14:paraId="1BF3FD8F"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0B42C8B8" w14:textId="77777777" w:rsidR="00C9588C" w:rsidRDefault="00C9588C">
            <w:pPr>
              <w:spacing w:after="0"/>
              <w:jc w:val="left"/>
              <w:rPr>
                <w:rFonts w:cs="Times New Roman"/>
                <w:color w:val="000000"/>
              </w:rPr>
            </w:pPr>
            <w:r>
              <w:rPr>
                <w:rFonts w:cs="Times New Roman"/>
                <w:color w:val="000000"/>
              </w:rPr>
              <w:t>Insurance expense</w:t>
            </w:r>
          </w:p>
        </w:tc>
        <w:tc>
          <w:tcPr>
            <w:tcW w:w="708" w:type="pct"/>
            <w:tcBorders>
              <w:top w:val="nil"/>
              <w:left w:val="nil"/>
              <w:bottom w:val="single" w:sz="4" w:space="0" w:color="auto"/>
              <w:right w:val="single" w:sz="4" w:space="0" w:color="auto"/>
            </w:tcBorders>
            <w:noWrap/>
            <w:vAlign w:val="center"/>
            <w:hideMark/>
          </w:tcPr>
          <w:p w14:paraId="1C1AE2EF" w14:textId="77777777" w:rsidR="00C9588C" w:rsidRDefault="00C9588C">
            <w:pPr>
              <w:spacing w:after="0"/>
              <w:jc w:val="center"/>
              <w:rPr>
                <w:rFonts w:cs="Times New Roman"/>
                <w:color w:val="000000"/>
              </w:rPr>
            </w:pPr>
            <w:r>
              <w:rPr>
                <w:rFonts w:cs="Times New Roman"/>
                <w:color w:val="000000"/>
              </w:rPr>
              <w:t xml:space="preserve"> £ 100,000.00 </w:t>
            </w:r>
          </w:p>
        </w:tc>
        <w:tc>
          <w:tcPr>
            <w:tcW w:w="775" w:type="pct"/>
            <w:tcBorders>
              <w:top w:val="nil"/>
              <w:left w:val="nil"/>
              <w:bottom w:val="single" w:sz="4" w:space="0" w:color="auto"/>
              <w:right w:val="single" w:sz="4" w:space="0" w:color="auto"/>
            </w:tcBorders>
            <w:noWrap/>
            <w:vAlign w:val="center"/>
            <w:hideMark/>
          </w:tcPr>
          <w:p w14:paraId="4E80A51E" w14:textId="77777777" w:rsidR="00C9588C" w:rsidRDefault="00C9588C">
            <w:pPr>
              <w:spacing w:after="0"/>
              <w:jc w:val="center"/>
              <w:rPr>
                <w:rFonts w:cs="Times New Roman"/>
                <w:color w:val="000000"/>
              </w:rPr>
            </w:pPr>
            <w:r>
              <w:rPr>
                <w:rFonts w:cs="Times New Roman"/>
                <w:color w:val="000000"/>
              </w:rPr>
              <w:t xml:space="preserve"> £ 100,000.00 </w:t>
            </w:r>
          </w:p>
        </w:tc>
        <w:tc>
          <w:tcPr>
            <w:tcW w:w="1320" w:type="pct"/>
            <w:tcBorders>
              <w:top w:val="nil"/>
              <w:left w:val="nil"/>
              <w:bottom w:val="single" w:sz="4" w:space="0" w:color="auto"/>
              <w:right w:val="single" w:sz="4" w:space="0" w:color="auto"/>
            </w:tcBorders>
            <w:noWrap/>
            <w:vAlign w:val="bottom"/>
            <w:hideMark/>
          </w:tcPr>
          <w:p w14:paraId="384B55E0" w14:textId="77777777" w:rsidR="00C9588C" w:rsidRDefault="00C9588C">
            <w:pPr>
              <w:spacing w:after="0"/>
              <w:jc w:val="left"/>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3D2A5462" w14:textId="77777777" w:rsidR="00C9588C" w:rsidRDefault="00C9588C">
            <w:pPr>
              <w:spacing w:after="0"/>
              <w:jc w:val="left"/>
              <w:rPr>
                <w:rFonts w:cs="Times New Roman"/>
                <w:sz w:val="20"/>
                <w:szCs w:val="20"/>
              </w:rPr>
            </w:pPr>
          </w:p>
        </w:tc>
      </w:tr>
      <w:tr w:rsidR="00C9588C" w14:paraId="4F6657BD"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7A531523" w14:textId="77777777" w:rsidR="00C9588C" w:rsidRDefault="00C9588C">
            <w:pPr>
              <w:spacing w:after="0"/>
              <w:jc w:val="left"/>
              <w:rPr>
                <w:rFonts w:cs="Times New Roman"/>
                <w:color w:val="000000"/>
              </w:rPr>
            </w:pPr>
            <w:r>
              <w:rPr>
                <w:rFonts w:cs="Times New Roman"/>
                <w:color w:val="000000"/>
              </w:rPr>
              <w:t>Fulltime warehouse supervisor salary</w:t>
            </w:r>
          </w:p>
        </w:tc>
        <w:tc>
          <w:tcPr>
            <w:tcW w:w="708" w:type="pct"/>
            <w:tcBorders>
              <w:top w:val="nil"/>
              <w:left w:val="nil"/>
              <w:bottom w:val="single" w:sz="4" w:space="0" w:color="auto"/>
              <w:right w:val="single" w:sz="4" w:space="0" w:color="auto"/>
            </w:tcBorders>
            <w:noWrap/>
            <w:vAlign w:val="center"/>
            <w:hideMark/>
          </w:tcPr>
          <w:p w14:paraId="605ED6C6" w14:textId="77777777" w:rsidR="00C9588C" w:rsidRDefault="00C9588C">
            <w:pPr>
              <w:spacing w:after="0"/>
              <w:jc w:val="center"/>
              <w:rPr>
                <w:rFonts w:cs="Times New Roman"/>
                <w:color w:val="000000"/>
              </w:rPr>
            </w:pPr>
            <w:r>
              <w:rPr>
                <w:rFonts w:cs="Times New Roman"/>
                <w:color w:val="000000"/>
              </w:rPr>
              <w:t xml:space="preserve"> £   50,000.00 </w:t>
            </w:r>
          </w:p>
        </w:tc>
        <w:tc>
          <w:tcPr>
            <w:tcW w:w="775" w:type="pct"/>
            <w:tcBorders>
              <w:top w:val="nil"/>
              <w:left w:val="nil"/>
              <w:bottom w:val="single" w:sz="4" w:space="0" w:color="auto"/>
              <w:right w:val="single" w:sz="4" w:space="0" w:color="auto"/>
            </w:tcBorders>
            <w:noWrap/>
            <w:vAlign w:val="center"/>
            <w:hideMark/>
          </w:tcPr>
          <w:p w14:paraId="31625BE6" w14:textId="77777777" w:rsidR="00C9588C" w:rsidRDefault="00C9588C">
            <w:pPr>
              <w:spacing w:after="0"/>
              <w:jc w:val="center"/>
              <w:rPr>
                <w:rFonts w:cs="Times New Roman"/>
                <w:color w:val="000000"/>
              </w:rPr>
            </w:pPr>
            <w:r>
              <w:rPr>
                <w:rFonts w:cs="Times New Roman"/>
                <w:color w:val="000000"/>
              </w:rPr>
              <w:t xml:space="preserve"> £    35,000.00 </w:t>
            </w:r>
          </w:p>
        </w:tc>
        <w:tc>
          <w:tcPr>
            <w:tcW w:w="1320" w:type="pct"/>
            <w:tcBorders>
              <w:top w:val="nil"/>
              <w:left w:val="nil"/>
              <w:bottom w:val="single" w:sz="4" w:space="0" w:color="auto"/>
              <w:right w:val="single" w:sz="4" w:space="0" w:color="auto"/>
            </w:tcBorders>
            <w:noWrap/>
            <w:vAlign w:val="bottom"/>
            <w:hideMark/>
          </w:tcPr>
          <w:p w14:paraId="256C4499" w14:textId="77777777" w:rsidR="00C9588C" w:rsidRDefault="00C9588C">
            <w:pPr>
              <w:spacing w:after="0"/>
              <w:jc w:val="left"/>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45906458" w14:textId="77777777" w:rsidR="00C9588C" w:rsidRDefault="00C9588C">
            <w:pPr>
              <w:spacing w:after="0"/>
              <w:jc w:val="left"/>
              <w:rPr>
                <w:rFonts w:cs="Times New Roman"/>
                <w:sz w:val="20"/>
                <w:szCs w:val="20"/>
              </w:rPr>
            </w:pPr>
          </w:p>
        </w:tc>
      </w:tr>
      <w:tr w:rsidR="00C9588C" w14:paraId="580494F3" w14:textId="77777777" w:rsidTr="00C9588C">
        <w:trPr>
          <w:trHeight w:val="315"/>
        </w:trPr>
        <w:tc>
          <w:tcPr>
            <w:tcW w:w="2087" w:type="pct"/>
            <w:tcBorders>
              <w:top w:val="nil"/>
              <w:left w:val="single" w:sz="4" w:space="0" w:color="auto"/>
              <w:bottom w:val="single" w:sz="4" w:space="0" w:color="auto"/>
              <w:right w:val="single" w:sz="4" w:space="0" w:color="auto"/>
            </w:tcBorders>
            <w:noWrap/>
            <w:vAlign w:val="center"/>
            <w:hideMark/>
          </w:tcPr>
          <w:p w14:paraId="2440CA59" w14:textId="77777777" w:rsidR="00C9588C" w:rsidRDefault="00C9588C">
            <w:pPr>
              <w:spacing w:after="0"/>
              <w:jc w:val="left"/>
              <w:rPr>
                <w:rFonts w:cs="Times New Roman"/>
                <w:color w:val="000000"/>
              </w:rPr>
            </w:pPr>
            <w:r>
              <w:rPr>
                <w:rFonts w:cs="Times New Roman"/>
                <w:color w:val="000000"/>
              </w:rPr>
              <w:t>Total Fixed cost</w:t>
            </w:r>
          </w:p>
        </w:tc>
        <w:tc>
          <w:tcPr>
            <w:tcW w:w="708" w:type="pct"/>
            <w:tcBorders>
              <w:top w:val="nil"/>
              <w:left w:val="nil"/>
              <w:bottom w:val="single" w:sz="4" w:space="0" w:color="auto"/>
              <w:right w:val="single" w:sz="4" w:space="0" w:color="auto"/>
            </w:tcBorders>
            <w:noWrap/>
            <w:vAlign w:val="bottom"/>
            <w:hideMark/>
          </w:tcPr>
          <w:p w14:paraId="649F8641" w14:textId="77777777" w:rsidR="00C9588C" w:rsidRDefault="00C9588C">
            <w:pPr>
              <w:spacing w:after="0"/>
              <w:jc w:val="center"/>
              <w:rPr>
                <w:rFonts w:cs="Times New Roman"/>
                <w:color w:val="000000"/>
              </w:rPr>
            </w:pPr>
            <w:r>
              <w:rPr>
                <w:rFonts w:cs="Times New Roman"/>
                <w:color w:val="000000"/>
              </w:rPr>
              <w:t xml:space="preserve"> £ 350,000.00 </w:t>
            </w:r>
          </w:p>
        </w:tc>
        <w:tc>
          <w:tcPr>
            <w:tcW w:w="775" w:type="pct"/>
            <w:tcBorders>
              <w:top w:val="nil"/>
              <w:left w:val="nil"/>
              <w:bottom w:val="single" w:sz="4" w:space="0" w:color="auto"/>
              <w:right w:val="single" w:sz="4" w:space="0" w:color="auto"/>
            </w:tcBorders>
            <w:noWrap/>
            <w:vAlign w:val="bottom"/>
            <w:hideMark/>
          </w:tcPr>
          <w:p w14:paraId="56EE6838" w14:textId="77777777" w:rsidR="00C9588C" w:rsidRDefault="00C9588C">
            <w:pPr>
              <w:spacing w:after="0"/>
              <w:jc w:val="center"/>
              <w:rPr>
                <w:rFonts w:cs="Times New Roman"/>
                <w:color w:val="000000"/>
              </w:rPr>
            </w:pPr>
            <w:r>
              <w:rPr>
                <w:rFonts w:cs="Times New Roman"/>
                <w:color w:val="000000"/>
              </w:rPr>
              <w:t xml:space="preserve"> £ 305,000.00 </w:t>
            </w:r>
          </w:p>
        </w:tc>
        <w:tc>
          <w:tcPr>
            <w:tcW w:w="1320" w:type="pct"/>
            <w:tcBorders>
              <w:top w:val="nil"/>
              <w:left w:val="nil"/>
              <w:bottom w:val="single" w:sz="4" w:space="0" w:color="auto"/>
              <w:right w:val="single" w:sz="4" w:space="0" w:color="auto"/>
            </w:tcBorders>
            <w:noWrap/>
            <w:vAlign w:val="bottom"/>
            <w:hideMark/>
          </w:tcPr>
          <w:p w14:paraId="132108CF" w14:textId="77777777" w:rsidR="00C9588C" w:rsidRDefault="00C9588C">
            <w:pPr>
              <w:spacing w:after="0"/>
              <w:jc w:val="left"/>
              <w:rPr>
                <w:rFonts w:cs="Times New Roman"/>
                <w:color w:val="000000"/>
              </w:rPr>
            </w:pPr>
            <w:r>
              <w:rPr>
                <w:rFonts w:cs="Times New Roman"/>
                <w:color w:val="000000"/>
              </w:rPr>
              <w:t> </w:t>
            </w:r>
          </w:p>
        </w:tc>
        <w:tc>
          <w:tcPr>
            <w:tcW w:w="110" w:type="pct"/>
            <w:tcBorders>
              <w:top w:val="nil"/>
              <w:left w:val="nil"/>
              <w:bottom w:val="nil"/>
              <w:right w:val="nil"/>
            </w:tcBorders>
            <w:vAlign w:val="center"/>
          </w:tcPr>
          <w:p w14:paraId="755BA637" w14:textId="77777777" w:rsidR="00C9588C" w:rsidRDefault="00C9588C">
            <w:pPr>
              <w:spacing w:after="0"/>
              <w:jc w:val="left"/>
              <w:rPr>
                <w:rFonts w:cs="Times New Roman"/>
                <w:sz w:val="20"/>
                <w:szCs w:val="20"/>
              </w:rPr>
            </w:pPr>
          </w:p>
        </w:tc>
      </w:tr>
    </w:tbl>
    <w:p w14:paraId="42D3099D" w14:textId="77777777" w:rsidR="00C9588C" w:rsidRDefault="00C9588C" w:rsidP="00C9588C">
      <w:r>
        <w:t xml:space="preserve"> </w:t>
      </w:r>
    </w:p>
    <w:p w14:paraId="3524B5FC" w14:textId="77777777" w:rsidR="00C9588C" w:rsidRDefault="00C9588C" w:rsidP="00C9588C">
      <w:r>
        <w:t>Now,</w:t>
      </w:r>
    </w:p>
    <w:tbl>
      <w:tblPr>
        <w:tblStyle w:val="GridTable3Accent1"/>
        <w:tblW w:w="5000" w:type="pct"/>
        <w:tblInd w:w="0" w:type="dxa"/>
        <w:tblLook w:val="04A0" w:firstRow="1" w:lastRow="0" w:firstColumn="1" w:lastColumn="0" w:noHBand="0" w:noVBand="1"/>
      </w:tblPr>
      <w:tblGrid>
        <w:gridCol w:w="3862"/>
        <w:gridCol w:w="1317"/>
        <w:gridCol w:w="1317"/>
        <w:gridCol w:w="1160"/>
        <w:gridCol w:w="1370"/>
      </w:tblGrid>
      <w:tr w:rsidR="00C9588C" w14:paraId="2F005C25" w14:textId="77777777" w:rsidTr="00C9588C">
        <w:trPr>
          <w:cnfStyle w:val="100000000000" w:firstRow="1" w:lastRow="0" w:firstColumn="0" w:lastColumn="0" w:oddVBand="0" w:evenVBand="0" w:oddHBand="0" w:evenHBand="0" w:firstRowFirstColumn="0" w:firstRowLastColumn="0" w:lastRowFirstColumn="0" w:lastRowLastColumn="0"/>
          <w:trHeight w:val="630"/>
        </w:trPr>
        <w:tc>
          <w:tcPr>
            <w:cnfStyle w:val="001000000100" w:firstRow="0" w:lastRow="0" w:firstColumn="1" w:lastColumn="0" w:oddVBand="0" w:evenVBand="0" w:oddHBand="0" w:evenHBand="0" w:firstRowFirstColumn="1" w:firstRowLastColumn="0" w:lastRowFirstColumn="0" w:lastRowLastColumn="0"/>
            <w:tcW w:w="1847" w:type="pct"/>
            <w:tcBorders>
              <w:top w:val="nil"/>
              <w:left w:val="nil"/>
              <w:bottom w:val="nil"/>
              <w:right w:val="nil"/>
            </w:tcBorders>
            <w:noWrap/>
            <w:hideMark/>
          </w:tcPr>
          <w:p w14:paraId="5C66583E" w14:textId="77777777" w:rsidR="00C9588C" w:rsidRDefault="00C9588C">
            <w:pPr>
              <w:jc w:val="center"/>
              <w:rPr>
                <w:rFonts w:cs="Times New Roman"/>
              </w:rPr>
            </w:pPr>
            <w:r>
              <w:rPr>
                <w:rFonts w:cs="Times New Roman"/>
                <w:b w:val="0"/>
                <w:bCs w:val="0"/>
                <w:i w:val="0"/>
                <w:iCs w:val="0"/>
              </w:rPr>
              <w:t>Details</w:t>
            </w:r>
          </w:p>
        </w:tc>
        <w:tc>
          <w:tcPr>
            <w:tcW w:w="649" w:type="pct"/>
            <w:tcBorders>
              <w:top w:val="nil"/>
              <w:left w:val="single" w:sz="4" w:space="0" w:color="8EAADB"/>
              <w:bottom w:val="single" w:sz="4" w:space="0" w:color="8EAADB"/>
              <w:right w:val="nil"/>
            </w:tcBorders>
            <w:shd w:val="clear" w:color="auto" w:fill="D9E2F3"/>
            <w:hideMark/>
          </w:tcPr>
          <w:p w14:paraId="5D54183D" w14:textId="77777777" w:rsidR="00C9588C" w:rsidRDefault="00C9588C">
            <w:pPr>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Pr>
                <w:rFonts w:cs="Times New Roman"/>
                <w:b w:val="0"/>
                <w:bCs w:val="0"/>
              </w:rPr>
              <w:t>Original Budget</w:t>
            </w:r>
          </w:p>
        </w:tc>
        <w:tc>
          <w:tcPr>
            <w:tcW w:w="686" w:type="pct"/>
            <w:tcBorders>
              <w:top w:val="nil"/>
              <w:left w:val="single" w:sz="4" w:space="0" w:color="8EAADB"/>
              <w:bottom w:val="single" w:sz="4" w:space="0" w:color="8EAADB"/>
              <w:right w:val="nil"/>
            </w:tcBorders>
            <w:shd w:val="clear" w:color="auto" w:fill="FEF2CC"/>
            <w:noWrap/>
            <w:hideMark/>
          </w:tcPr>
          <w:p w14:paraId="7E32D491" w14:textId="77777777" w:rsidR="00C9588C" w:rsidRDefault="00C9588C">
            <w:pPr>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Pr>
                <w:rFonts w:cs="Times New Roman"/>
                <w:b w:val="0"/>
                <w:bCs w:val="0"/>
              </w:rPr>
              <w:t>Actual</w:t>
            </w:r>
          </w:p>
        </w:tc>
        <w:tc>
          <w:tcPr>
            <w:tcW w:w="1196" w:type="pct"/>
            <w:tcBorders>
              <w:top w:val="nil"/>
              <w:left w:val="single" w:sz="4" w:space="0" w:color="8EAADB"/>
              <w:bottom w:val="single" w:sz="4" w:space="0" w:color="8EAADB"/>
              <w:right w:val="nil"/>
            </w:tcBorders>
            <w:shd w:val="clear" w:color="auto" w:fill="F7CAAC"/>
            <w:noWrap/>
            <w:hideMark/>
          </w:tcPr>
          <w:p w14:paraId="7F11BAE7" w14:textId="77777777" w:rsidR="00C9588C" w:rsidRDefault="00C9588C">
            <w:pPr>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Pr>
                <w:rFonts w:cs="Times New Roman"/>
                <w:b w:val="0"/>
                <w:bCs w:val="0"/>
              </w:rPr>
              <w:t>Variance</w:t>
            </w:r>
          </w:p>
        </w:tc>
        <w:tc>
          <w:tcPr>
            <w:tcW w:w="622" w:type="pct"/>
            <w:tcBorders>
              <w:top w:val="nil"/>
              <w:left w:val="single" w:sz="4" w:space="0" w:color="8EAADB"/>
              <w:bottom w:val="single" w:sz="4" w:space="0" w:color="8EAADB"/>
              <w:right w:val="nil"/>
            </w:tcBorders>
            <w:hideMark/>
          </w:tcPr>
          <w:p w14:paraId="663C366A" w14:textId="77777777" w:rsidR="00C9588C" w:rsidRDefault="00C9588C">
            <w:pPr>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Pr>
                <w:rFonts w:cs="Times New Roman"/>
                <w:b w:val="0"/>
                <w:bCs w:val="0"/>
              </w:rPr>
              <w:t>Analysis</w:t>
            </w:r>
          </w:p>
        </w:tc>
      </w:tr>
      <w:tr w:rsidR="00C9588C" w14:paraId="72760E83"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3BDBD6E7" w14:textId="77777777" w:rsidR="00C9588C" w:rsidRDefault="00C9588C">
            <w:pPr>
              <w:jc w:val="left"/>
              <w:rPr>
                <w:rFonts w:cs="Times New Roman"/>
              </w:rPr>
            </w:pPr>
            <w:r>
              <w:rPr>
                <w:rFonts w:cs="Times New Roman"/>
                <w:i w:val="0"/>
                <w:iCs w:val="0"/>
              </w:rPr>
              <w:t>Quantity of estimated sales and actual sales</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7BD01F20"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100,000.00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7A470C34"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80,000.00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12AC1138"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20,000.00</w:t>
            </w:r>
          </w:p>
        </w:tc>
        <w:tc>
          <w:tcPr>
            <w:tcW w:w="622" w:type="pct"/>
            <w:tcBorders>
              <w:top w:val="single" w:sz="4" w:space="0" w:color="8EAADB"/>
              <w:left w:val="single" w:sz="4" w:space="0" w:color="8EAADB"/>
              <w:bottom w:val="single" w:sz="4" w:space="0" w:color="8EAADB"/>
              <w:right w:val="single" w:sz="4" w:space="0" w:color="8EAADB"/>
            </w:tcBorders>
            <w:shd w:val="clear" w:color="auto" w:fill="C55911"/>
            <w:hideMark/>
          </w:tcPr>
          <w:p w14:paraId="6E1D3B3A" w14:textId="7DEC00A2"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Unfavourable</w:t>
            </w:r>
          </w:p>
        </w:tc>
      </w:tr>
      <w:tr w:rsidR="00C9588C" w14:paraId="052A87A9"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3617ADE7" w14:textId="77777777" w:rsidR="00C9588C" w:rsidRDefault="00C9588C">
            <w:pPr>
              <w:jc w:val="left"/>
              <w:rPr>
                <w:rFonts w:cs="Times New Roman"/>
              </w:rPr>
            </w:pPr>
            <w:r>
              <w:rPr>
                <w:rFonts w:cs="Times New Roman"/>
                <w:i w:val="0"/>
                <w:iCs w:val="0"/>
              </w:rPr>
              <w:t>Per unit sales price</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45774990"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2,500,000.00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0C4E0091"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1,600,000.00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277879B1"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900,000.00</w:t>
            </w:r>
          </w:p>
        </w:tc>
        <w:tc>
          <w:tcPr>
            <w:tcW w:w="622" w:type="pct"/>
            <w:tcBorders>
              <w:top w:val="single" w:sz="4" w:space="0" w:color="8EAADB"/>
              <w:left w:val="single" w:sz="4" w:space="0" w:color="8EAADB"/>
              <w:bottom w:val="single" w:sz="4" w:space="0" w:color="8EAADB"/>
              <w:right w:val="single" w:sz="4" w:space="0" w:color="8EAADB"/>
            </w:tcBorders>
            <w:shd w:val="clear" w:color="auto" w:fill="C55911"/>
            <w:hideMark/>
          </w:tcPr>
          <w:p w14:paraId="53E14BEC" w14:textId="2AFA28A6"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Unfavourable</w:t>
            </w:r>
          </w:p>
        </w:tc>
      </w:tr>
      <w:tr w:rsidR="00C9588C" w14:paraId="0A2A2FD2" w14:textId="77777777" w:rsidTr="00C9588C">
        <w:trPr>
          <w:trHeight w:val="315"/>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4BA31996" w14:textId="77777777" w:rsidR="00C9588C" w:rsidRDefault="00C9588C">
            <w:pPr>
              <w:jc w:val="left"/>
              <w:rPr>
                <w:rFonts w:cs="Times New Roman"/>
                <w:b/>
                <w:bCs/>
                <w:u w:val="single"/>
              </w:rPr>
            </w:pPr>
            <w:r>
              <w:rPr>
                <w:rFonts w:cs="Times New Roman"/>
                <w:b/>
                <w:bCs/>
                <w:i w:val="0"/>
                <w:iCs w:val="0"/>
                <w:u w:val="single"/>
              </w:rPr>
              <w:t>Variables Cost</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4B197C5D" w14:textId="77777777" w:rsidR="00C9588C" w:rsidRDefault="00C9588C">
            <w:pPr>
              <w:jc w:val="lef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2BC4D2B4" w14:textId="77777777" w:rsidR="00C9588C" w:rsidRDefault="00C9588C">
            <w:pPr>
              <w:jc w:val="lef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38D411D7" w14:textId="77777777" w:rsidR="00C9588C" w:rsidRDefault="00C9588C">
            <w:pPr>
              <w:jc w:val="lef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c>
          <w:tcPr>
            <w:tcW w:w="622" w:type="pct"/>
            <w:tcBorders>
              <w:top w:val="single" w:sz="4" w:space="0" w:color="8EAADB"/>
              <w:left w:val="single" w:sz="4" w:space="0" w:color="8EAADB"/>
              <w:bottom w:val="single" w:sz="4" w:space="0" w:color="8EAADB"/>
              <w:right w:val="single" w:sz="4" w:space="0" w:color="8EAADB"/>
            </w:tcBorders>
            <w:shd w:val="clear" w:color="auto" w:fill="D9E2F3"/>
            <w:hideMark/>
          </w:tcPr>
          <w:p w14:paraId="3ABD45C3"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r>
      <w:tr w:rsidR="00C9588C" w14:paraId="7B757D42"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0F7946EF" w14:textId="77777777" w:rsidR="00C9588C" w:rsidRDefault="00C9588C">
            <w:pPr>
              <w:jc w:val="left"/>
              <w:rPr>
                <w:rFonts w:cs="Times New Roman"/>
              </w:rPr>
            </w:pPr>
            <w:r>
              <w:rPr>
                <w:rFonts w:cs="Times New Roman"/>
                <w:i w:val="0"/>
                <w:iCs w:val="0"/>
              </w:rPr>
              <w:t>Materials cost</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3AA308C7"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-250,000.00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1B949ED9"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-280,000.00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2F9EBB88"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30,000.00</w:t>
            </w:r>
          </w:p>
        </w:tc>
        <w:tc>
          <w:tcPr>
            <w:tcW w:w="622" w:type="pct"/>
            <w:tcBorders>
              <w:top w:val="single" w:sz="4" w:space="0" w:color="8EAADB"/>
              <w:left w:val="single" w:sz="4" w:space="0" w:color="8EAADB"/>
              <w:bottom w:val="single" w:sz="4" w:space="0" w:color="8EAADB"/>
              <w:right w:val="single" w:sz="4" w:space="0" w:color="8EAADB"/>
            </w:tcBorders>
            <w:shd w:val="clear" w:color="auto" w:fill="C55911"/>
            <w:hideMark/>
          </w:tcPr>
          <w:p w14:paraId="778D1BEE" w14:textId="38CD3369"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Unfavourable</w:t>
            </w:r>
          </w:p>
        </w:tc>
      </w:tr>
      <w:tr w:rsidR="00C9588C" w14:paraId="3D632B89"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65533A4C" w14:textId="77777777" w:rsidR="00C9588C" w:rsidRDefault="00C9588C">
            <w:pPr>
              <w:jc w:val="left"/>
              <w:rPr>
                <w:rFonts w:cs="Times New Roman"/>
              </w:rPr>
            </w:pPr>
            <w:r>
              <w:rPr>
                <w:rFonts w:cs="Times New Roman"/>
                <w:i w:val="0"/>
                <w:iCs w:val="0"/>
              </w:rPr>
              <w:t>Labour cost</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44F0500C"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-400,000.00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523BBF6A"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-440,000.00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592B244A"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40,000.00</w:t>
            </w:r>
          </w:p>
        </w:tc>
        <w:tc>
          <w:tcPr>
            <w:tcW w:w="622" w:type="pct"/>
            <w:tcBorders>
              <w:top w:val="single" w:sz="4" w:space="0" w:color="8EAADB"/>
              <w:left w:val="single" w:sz="4" w:space="0" w:color="8EAADB"/>
              <w:bottom w:val="single" w:sz="4" w:space="0" w:color="8EAADB"/>
              <w:right w:val="single" w:sz="4" w:space="0" w:color="8EAADB"/>
            </w:tcBorders>
            <w:shd w:val="clear" w:color="auto" w:fill="C55911"/>
            <w:hideMark/>
          </w:tcPr>
          <w:p w14:paraId="671C2277" w14:textId="4C745E31"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Unfavourable</w:t>
            </w:r>
          </w:p>
        </w:tc>
      </w:tr>
      <w:tr w:rsidR="00C9588C" w14:paraId="5980D20D" w14:textId="77777777" w:rsidTr="00C9588C">
        <w:trPr>
          <w:trHeight w:val="315"/>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208A0DB9" w14:textId="77777777" w:rsidR="00C9588C" w:rsidRDefault="00C9588C">
            <w:pPr>
              <w:jc w:val="left"/>
              <w:rPr>
                <w:rFonts w:cs="Times New Roman"/>
              </w:rPr>
            </w:pPr>
            <w:r>
              <w:rPr>
                <w:rFonts w:cs="Times New Roman"/>
                <w:i w:val="0"/>
                <w:iCs w:val="0"/>
              </w:rPr>
              <w:t>Overhead cost</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6B3D3BB6"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-150,000.00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2728963A"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-120,000.00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5B17F221"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-30,000.00</w:t>
            </w:r>
          </w:p>
        </w:tc>
        <w:tc>
          <w:tcPr>
            <w:tcW w:w="622" w:type="pct"/>
            <w:tcBorders>
              <w:top w:val="single" w:sz="4" w:space="0" w:color="8EAADB"/>
              <w:left w:val="single" w:sz="4" w:space="0" w:color="8EAADB"/>
              <w:bottom w:val="single" w:sz="4" w:space="0" w:color="8EAADB"/>
              <w:right w:val="single" w:sz="4" w:space="0" w:color="8EAADB"/>
            </w:tcBorders>
            <w:hideMark/>
          </w:tcPr>
          <w:p w14:paraId="40B0CBA2" w14:textId="43DA9CDC"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Favourable</w:t>
            </w:r>
          </w:p>
        </w:tc>
      </w:tr>
      <w:tr w:rsidR="00C9588C" w14:paraId="615D146B"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3E073283" w14:textId="77777777" w:rsidR="00C9588C" w:rsidRDefault="00C9588C">
            <w:pPr>
              <w:jc w:val="left"/>
              <w:rPr>
                <w:rFonts w:cs="Times New Roman"/>
              </w:rPr>
            </w:pPr>
            <w:r>
              <w:rPr>
                <w:rFonts w:cs="Times New Roman"/>
                <w:i w:val="0"/>
                <w:iCs w:val="0"/>
              </w:rPr>
              <w:t>Contribution Margin</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352993BF"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1,700,000.00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1715DD28"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760,000.00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3CD2080C"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940,000.00</w:t>
            </w:r>
          </w:p>
        </w:tc>
        <w:tc>
          <w:tcPr>
            <w:tcW w:w="622" w:type="pct"/>
            <w:tcBorders>
              <w:top w:val="single" w:sz="4" w:space="0" w:color="8EAADB"/>
              <w:left w:val="single" w:sz="4" w:space="0" w:color="8EAADB"/>
              <w:bottom w:val="single" w:sz="4" w:space="0" w:color="8EAADB"/>
              <w:right w:val="single" w:sz="4" w:space="0" w:color="8EAADB"/>
            </w:tcBorders>
            <w:shd w:val="clear" w:color="auto" w:fill="C55911"/>
            <w:hideMark/>
          </w:tcPr>
          <w:p w14:paraId="608B76E5" w14:textId="6DEB0204"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Unfavourable</w:t>
            </w:r>
          </w:p>
        </w:tc>
      </w:tr>
      <w:tr w:rsidR="00C9588C" w14:paraId="6AB98181" w14:textId="77777777" w:rsidTr="00C9588C">
        <w:trPr>
          <w:trHeight w:val="315"/>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4AE535EC" w14:textId="77777777" w:rsidR="00C9588C" w:rsidRDefault="00C9588C">
            <w:pPr>
              <w:jc w:val="left"/>
              <w:rPr>
                <w:rFonts w:cs="Times New Roman"/>
                <w:b/>
                <w:bCs/>
                <w:u w:val="single"/>
              </w:rPr>
            </w:pPr>
            <w:r>
              <w:rPr>
                <w:rFonts w:cs="Times New Roman"/>
                <w:b/>
                <w:bCs/>
                <w:i w:val="0"/>
                <w:iCs w:val="0"/>
                <w:u w:val="single"/>
              </w:rPr>
              <w:t>Fixed Costs</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56526B89"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32F44794" w14:textId="77777777" w:rsidR="00C9588C" w:rsidRDefault="00C9588C">
            <w:pPr>
              <w:jc w:val="lef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606AC651"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c>
          <w:tcPr>
            <w:tcW w:w="622" w:type="pct"/>
            <w:tcBorders>
              <w:top w:val="single" w:sz="4" w:space="0" w:color="8EAADB"/>
              <w:left w:val="single" w:sz="4" w:space="0" w:color="8EAADB"/>
              <w:bottom w:val="single" w:sz="4" w:space="0" w:color="8EAADB"/>
              <w:right w:val="single" w:sz="4" w:space="0" w:color="8EAADB"/>
            </w:tcBorders>
            <w:hideMark/>
          </w:tcPr>
          <w:p w14:paraId="7B46EB30"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w:t>
            </w:r>
          </w:p>
        </w:tc>
      </w:tr>
      <w:tr w:rsidR="00C9588C" w14:paraId="5CB20C0A" w14:textId="77777777" w:rsidTr="00C9588C">
        <w:trPr>
          <w:trHeight w:val="315"/>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69AA0F72" w14:textId="77777777" w:rsidR="00C9588C" w:rsidRDefault="00C9588C">
            <w:pPr>
              <w:jc w:val="left"/>
              <w:rPr>
                <w:rFonts w:cs="Times New Roman"/>
              </w:rPr>
            </w:pPr>
            <w:r>
              <w:rPr>
                <w:rFonts w:cs="Times New Roman"/>
                <w:i w:val="0"/>
                <w:iCs w:val="0"/>
              </w:rPr>
              <w:t>Warehouse rent Expense</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3C1F8399"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-200,000.00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20084FBD"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-170,000.00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79E7C040"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-30,000.00</w:t>
            </w:r>
          </w:p>
        </w:tc>
        <w:tc>
          <w:tcPr>
            <w:tcW w:w="622" w:type="pct"/>
            <w:tcBorders>
              <w:top w:val="single" w:sz="4" w:space="0" w:color="8EAADB"/>
              <w:left w:val="single" w:sz="4" w:space="0" w:color="8EAADB"/>
              <w:bottom w:val="single" w:sz="4" w:space="0" w:color="8EAADB"/>
              <w:right w:val="single" w:sz="4" w:space="0" w:color="8EAADB"/>
            </w:tcBorders>
            <w:shd w:val="clear" w:color="auto" w:fill="D9E2F3"/>
            <w:hideMark/>
          </w:tcPr>
          <w:p w14:paraId="4AC7591A" w14:textId="638F56EA"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Favourable</w:t>
            </w:r>
          </w:p>
        </w:tc>
      </w:tr>
      <w:tr w:rsidR="00C9588C" w14:paraId="3CB7A241"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3584D46B" w14:textId="77777777" w:rsidR="00C9588C" w:rsidRDefault="00C9588C">
            <w:pPr>
              <w:jc w:val="left"/>
              <w:rPr>
                <w:rFonts w:cs="Times New Roman"/>
              </w:rPr>
            </w:pPr>
            <w:r>
              <w:rPr>
                <w:rFonts w:cs="Times New Roman"/>
                <w:i w:val="0"/>
                <w:iCs w:val="0"/>
              </w:rPr>
              <w:lastRenderedPageBreak/>
              <w:t>Insurance expense</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43D5DF38"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-100,000.00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7EE132B8"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-100,000.00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2063B2B5"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0.00</w:t>
            </w:r>
          </w:p>
        </w:tc>
        <w:tc>
          <w:tcPr>
            <w:tcW w:w="622" w:type="pct"/>
            <w:tcBorders>
              <w:top w:val="single" w:sz="4" w:space="0" w:color="8EAADB"/>
              <w:left w:val="single" w:sz="4" w:space="0" w:color="8EAADB"/>
              <w:bottom w:val="single" w:sz="4" w:space="0" w:color="8EAADB"/>
              <w:right w:val="single" w:sz="4" w:space="0" w:color="8EAADB"/>
            </w:tcBorders>
            <w:hideMark/>
          </w:tcPr>
          <w:p w14:paraId="2BCB98F4"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No Variance</w:t>
            </w:r>
          </w:p>
        </w:tc>
      </w:tr>
      <w:tr w:rsidR="00C9588C" w14:paraId="3F4DA017" w14:textId="77777777" w:rsidTr="00C9588C">
        <w:trPr>
          <w:trHeight w:val="315"/>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6BD87ABE" w14:textId="77777777" w:rsidR="00C9588C" w:rsidRDefault="00C9588C">
            <w:pPr>
              <w:jc w:val="left"/>
              <w:rPr>
                <w:rFonts w:cs="Times New Roman"/>
              </w:rPr>
            </w:pPr>
            <w:r>
              <w:rPr>
                <w:rFonts w:cs="Times New Roman"/>
                <w:i w:val="0"/>
                <w:iCs w:val="0"/>
              </w:rPr>
              <w:t>Fulltime warehouse supervisor salary</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6AE9B0C6"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222F8F8C" w14:textId="77777777" w:rsidR="00C9588C" w:rsidRDefault="00C9588C">
            <w:pPr>
              <w:jc w:val="right"/>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-35,000.00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15A2ABD4"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-15,000.00</w:t>
            </w:r>
          </w:p>
        </w:tc>
        <w:tc>
          <w:tcPr>
            <w:tcW w:w="622" w:type="pct"/>
            <w:tcBorders>
              <w:top w:val="single" w:sz="4" w:space="0" w:color="8EAADB"/>
              <w:left w:val="single" w:sz="4" w:space="0" w:color="8EAADB"/>
              <w:bottom w:val="single" w:sz="4" w:space="0" w:color="8EAADB"/>
              <w:right w:val="single" w:sz="4" w:space="0" w:color="8EAADB"/>
            </w:tcBorders>
            <w:shd w:val="clear" w:color="auto" w:fill="D9E2F3"/>
            <w:hideMark/>
          </w:tcPr>
          <w:p w14:paraId="1CA69FD0" w14:textId="310E6EFE"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Favourable</w:t>
            </w:r>
          </w:p>
        </w:tc>
      </w:tr>
      <w:tr w:rsidR="00C9588C" w14:paraId="15267736" w14:textId="77777777" w:rsidTr="00C9588C">
        <w:trPr>
          <w:trHeight w:val="315"/>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20036EAB" w14:textId="77777777" w:rsidR="00C9588C" w:rsidRDefault="00C9588C">
            <w:pPr>
              <w:jc w:val="left"/>
              <w:rPr>
                <w:rFonts w:cs="Times New Roman"/>
              </w:rPr>
            </w:pPr>
            <w:r>
              <w:rPr>
                <w:rFonts w:cs="Times New Roman"/>
                <w:i w:val="0"/>
                <w:iCs w:val="0"/>
              </w:rPr>
              <w:t>Total Fixed cost</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3EB96792"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-350,000.00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69C71085"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-305,000.00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14D1BF45"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-45,000.00</w:t>
            </w:r>
          </w:p>
        </w:tc>
        <w:tc>
          <w:tcPr>
            <w:tcW w:w="622" w:type="pct"/>
            <w:tcBorders>
              <w:top w:val="single" w:sz="4" w:space="0" w:color="8EAADB"/>
              <w:left w:val="single" w:sz="4" w:space="0" w:color="8EAADB"/>
              <w:bottom w:val="single" w:sz="4" w:space="0" w:color="8EAADB"/>
              <w:right w:val="single" w:sz="4" w:space="0" w:color="8EAADB"/>
            </w:tcBorders>
            <w:hideMark/>
          </w:tcPr>
          <w:p w14:paraId="4DA384B2" w14:textId="6FB20D43"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Favourable</w:t>
            </w:r>
          </w:p>
        </w:tc>
      </w:tr>
      <w:tr w:rsidR="00C9588C" w14:paraId="4CDE1840" w14:textId="77777777" w:rsidTr="00C9588C">
        <w:trPr>
          <w:trHeight w:val="630"/>
        </w:trPr>
        <w:tc>
          <w:tcPr>
            <w:cnfStyle w:val="001000000000" w:firstRow="0" w:lastRow="0" w:firstColumn="1" w:lastColumn="0" w:oddVBand="0" w:evenVBand="0" w:oddHBand="0" w:evenHBand="0" w:firstRowFirstColumn="0" w:firstRowLastColumn="0" w:lastRowFirstColumn="0" w:lastRowLastColumn="0"/>
            <w:tcW w:w="1847" w:type="pct"/>
            <w:tcBorders>
              <w:top w:val="single" w:sz="4" w:space="0" w:color="8EAADB"/>
              <w:left w:val="nil"/>
              <w:bottom w:val="nil"/>
              <w:right w:val="single" w:sz="4" w:space="0" w:color="8EAADB"/>
            </w:tcBorders>
            <w:noWrap/>
            <w:hideMark/>
          </w:tcPr>
          <w:p w14:paraId="7FB7FE39" w14:textId="77777777" w:rsidR="00C9588C" w:rsidRDefault="00C9588C">
            <w:pPr>
              <w:jc w:val="left"/>
              <w:rPr>
                <w:rFonts w:cs="Times New Roman"/>
              </w:rPr>
            </w:pPr>
            <w:r>
              <w:rPr>
                <w:rFonts w:cs="Times New Roman"/>
                <w:i w:val="0"/>
                <w:iCs w:val="0"/>
              </w:rPr>
              <w:t>Total Profit</w:t>
            </w:r>
          </w:p>
        </w:tc>
        <w:tc>
          <w:tcPr>
            <w:tcW w:w="649" w:type="pct"/>
            <w:tcBorders>
              <w:top w:val="single" w:sz="4" w:space="0" w:color="8EAADB"/>
              <w:left w:val="single" w:sz="4" w:space="0" w:color="8EAADB"/>
              <w:bottom w:val="single" w:sz="4" w:space="0" w:color="8EAADB"/>
              <w:right w:val="single" w:sz="4" w:space="0" w:color="8EAADB"/>
            </w:tcBorders>
            <w:shd w:val="clear" w:color="auto" w:fill="D9E2F3"/>
            <w:noWrap/>
            <w:hideMark/>
          </w:tcPr>
          <w:p w14:paraId="50A0C5F8"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1,350,000.00</w:t>
            </w:r>
          </w:p>
        </w:tc>
        <w:tc>
          <w:tcPr>
            <w:tcW w:w="686" w:type="pct"/>
            <w:tcBorders>
              <w:top w:val="single" w:sz="4" w:space="0" w:color="8EAADB"/>
              <w:left w:val="single" w:sz="4" w:space="0" w:color="8EAADB"/>
              <w:bottom w:val="single" w:sz="4" w:space="0" w:color="8EAADB"/>
              <w:right w:val="single" w:sz="4" w:space="0" w:color="8EAADB"/>
            </w:tcBorders>
            <w:shd w:val="clear" w:color="auto" w:fill="FEF2CC"/>
            <w:noWrap/>
            <w:hideMark/>
          </w:tcPr>
          <w:p w14:paraId="42D79F46"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455,000.00</w:t>
            </w:r>
          </w:p>
        </w:tc>
        <w:tc>
          <w:tcPr>
            <w:tcW w:w="1196" w:type="pct"/>
            <w:tcBorders>
              <w:top w:val="single" w:sz="4" w:space="0" w:color="8EAADB"/>
              <w:left w:val="single" w:sz="4" w:space="0" w:color="8EAADB"/>
              <w:bottom w:val="single" w:sz="4" w:space="0" w:color="8EAADB"/>
              <w:right w:val="single" w:sz="4" w:space="0" w:color="8EAADB"/>
            </w:tcBorders>
            <w:shd w:val="clear" w:color="auto" w:fill="F7CAAC"/>
            <w:noWrap/>
            <w:hideMark/>
          </w:tcPr>
          <w:p w14:paraId="650614A6" w14:textId="77777777" w:rsidR="00C9588C" w:rsidRDefault="00C9588C">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895,000.00</w:t>
            </w:r>
          </w:p>
        </w:tc>
        <w:tc>
          <w:tcPr>
            <w:tcW w:w="622" w:type="pct"/>
            <w:tcBorders>
              <w:top w:val="single" w:sz="4" w:space="0" w:color="8EAADB"/>
              <w:left w:val="single" w:sz="4" w:space="0" w:color="8EAADB"/>
              <w:bottom w:val="single" w:sz="4" w:space="0" w:color="8EAADB"/>
              <w:right w:val="single" w:sz="4" w:space="0" w:color="8EAADB"/>
            </w:tcBorders>
            <w:shd w:val="clear" w:color="auto" w:fill="C55911"/>
            <w:hideMark/>
          </w:tcPr>
          <w:p w14:paraId="35530470" w14:textId="19330213" w:rsidR="00C9588C" w:rsidRDefault="00642228">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Unfavourable</w:t>
            </w:r>
          </w:p>
        </w:tc>
      </w:tr>
    </w:tbl>
    <w:p w14:paraId="7F5527BD" w14:textId="77777777" w:rsidR="00C9588C" w:rsidRDefault="00C9588C" w:rsidP="00C9588C">
      <w:r>
        <w:t>Here,</w:t>
      </w:r>
    </w:p>
    <w:p w14:paraId="00E26B5C" w14:textId="6F2B6360" w:rsidR="00C9588C" w:rsidRDefault="00C9588C" w:rsidP="00C9588C">
      <w:pPr>
        <w:pStyle w:val="ListParagraph"/>
        <w:numPr>
          <w:ilvl w:val="0"/>
          <w:numId w:val="2"/>
        </w:numPr>
      </w:pPr>
      <w:r>
        <w:t xml:space="preserve">Sales unit and sales unit price unfavourable because the company has budgeted that it would be able to sell 100,000 units but in actual it has sold 80,000 units. On the other hand, it has budgeted that it would be able to sell at </w:t>
      </w:r>
      <w:r>
        <w:rPr>
          <w:rFonts w:cs="Times New Roman"/>
        </w:rPr>
        <w:t>£</w:t>
      </w:r>
      <w:r>
        <w:t xml:space="preserve">25 </w:t>
      </w:r>
      <w:r w:rsidR="00872CBB">
        <w:t>but, it</w:t>
      </w:r>
      <w:r>
        <w:t xml:space="preserve"> has sold at </w:t>
      </w:r>
      <w:r>
        <w:rPr>
          <w:rFonts w:cs="Times New Roman"/>
        </w:rPr>
        <w:t>£</w:t>
      </w:r>
      <w:r>
        <w:t>20.</w:t>
      </w:r>
    </w:p>
    <w:p w14:paraId="093D58E7" w14:textId="77777777" w:rsidR="00C9588C" w:rsidRDefault="00C9588C" w:rsidP="00C9588C">
      <w:pPr>
        <w:pStyle w:val="ListParagraph"/>
        <w:numPr>
          <w:ilvl w:val="0"/>
          <w:numId w:val="2"/>
        </w:numPr>
      </w:pPr>
      <w:r>
        <w:t>Company has three variable costs. Out of three variable costs, two variable costs are unfavourable because the actual cost is higher than the budget (</w:t>
      </w:r>
      <w:r>
        <w:rPr>
          <w:rFonts w:cs="Times New Roman"/>
          <w:color w:val="222222"/>
          <w:shd w:val="clear" w:color="auto" w:fill="FFFFFF"/>
        </w:rPr>
        <w:t>RS and Atkinson, 2019)</w:t>
      </w:r>
      <w:r>
        <w:t>.</w:t>
      </w:r>
    </w:p>
    <w:p w14:paraId="11885D67" w14:textId="77777777" w:rsidR="00C9588C" w:rsidRDefault="00C9588C" w:rsidP="00C9588C">
      <w:pPr>
        <w:pStyle w:val="ListParagraph"/>
        <w:numPr>
          <w:ilvl w:val="0"/>
          <w:numId w:val="2"/>
        </w:numPr>
      </w:pPr>
      <w:r>
        <w:t>Due to higher variable costs and lower sales revenue, the ultimate impact on contribution margin is unfavourable as the actual contribution margin is lower than the budgeted contribution margin.</w:t>
      </w:r>
    </w:p>
    <w:p w14:paraId="37740256" w14:textId="77777777" w:rsidR="00C9588C" w:rsidRDefault="00C9588C" w:rsidP="00C9588C">
      <w:pPr>
        <w:pStyle w:val="ListParagraph"/>
        <w:numPr>
          <w:ilvl w:val="0"/>
          <w:numId w:val="2"/>
        </w:numPr>
      </w:pPr>
      <w:r>
        <w:t>Total profit has also unfavourable variance because the actual profit is lower than the budgeted profit.</w:t>
      </w:r>
    </w:p>
    <w:p w14:paraId="788A6B21" w14:textId="77777777" w:rsidR="00C9588C" w:rsidRDefault="00C9588C" w:rsidP="00C9588C">
      <w:pPr>
        <w:pStyle w:val="ListParagraph"/>
        <w:numPr>
          <w:ilvl w:val="0"/>
          <w:numId w:val="1"/>
        </w:numPr>
      </w:pPr>
      <w:r>
        <w:t>Flexible Budget and Actual Cost</w:t>
      </w:r>
    </w:p>
    <w:p w14:paraId="713CB6E3" w14:textId="77777777" w:rsidR="00C9588C" w:rsidRDefault="00C9588C" w:rsidP="00C9588C">
      <w:r>
        <w:t>A flexible budget is the kind of budget where the actual quantity is considered but the prices are based on the original budget (</w:t>
      </w:r>
      <w:r>
        <w:rPr>
          <w:rFonts w:cs="Times New Roman"/>
          <w:color w:val="222222"/>
          <w:shd w:val="clear" w:color="auto" w:fill="FFFFFF"/>
        </w:rPr>
        <w:t>Kaplan, 2019)</w:t>
      </w:r>
      <w:r>
        <w:t xml:space="preserve">. A flexible budget basically compares the price with the actual cost or revenue. Because due to difference in the activity level, there must occur the variance but while considering the same quantity but the different prices then the cost level variance can be analysed very efficiently. </w:t>
      </w:r>
    </w:p>
    <w:p w14:paraId="3EC93541" w14:textId="77777777" w:rsidR="00642228" w:rsidRDefault="00642228" w:rsidP="00C9588C"/>
    <w:p w14:paraId="2EDE9711" w14:textId="77777777" w:rsidR="00642228" w:rsidRDefault="00642228" w:rsidP="00C9588C"/>
    <w:p w14:paraId="414123DE" w14:textId="480CD1EF" w:rsidR="00C9588C" w:rsidRDefault="00C9588C" w:rsidP="00C9588C">
      <w:r>
        <w:t>Given information,</w:t>
      </w:r>
    </w:p>
    <w:tbl>
      <w:tblPr>
        <w:tblW w:w="5000" w:type="pct"/>
        <w:tblLook w:val="04A0" w:firstRow="1" w:lastRow="0" w:firstColumn="1" w:lastColumn="0" w:noHBand="0" w:noVBand="1"/>
      </w:tblPr>
      <w:tblGrid>
        <w:gridCol w:w="2580"/>
        <w:gridCol w:w="2072"/>
        <w:gridCol w:w="2072"/>
        <w:gridCol w:w="2072"/>
        <w:gridCol w:w="220"/>
      </w:tblGrid>
      <w:tr w:rsidR="00C9588C" w14:paraId="00EA7AF9" w14:textId="77777777" w:rsidTr="00C9588C">
        <w:trPr>
          <w:gridAfter w:val="1"/>
          <w:wAfter w:w="166" w:type="dxa"/>
          <w:trHeight w:val="447"/>
        </w:trPr>
        <w:tc>
          <w:tcPr>
            <w:tcW w:w="1446" w:type="pct"/>
            <w:vMerge w:val="restart"/>
            <w:tcBorders>
              <w:top w:val="single" w:sz="4" w:space="0" w:color="auto"/>
              <w:left w:val="single" w:sz="4" w:space="0" w:color="auto"/>
              <w:bottom w:val="single" w:sz="4" w:space="0" w:color="auto"/>
              <w:right w:val="single" w:sz="4" w:space="0" w:color="auto"/>
            </w:tcBorders>
            <w:noWrap/>
            <w:vAlign w:val="center"/>
            <w:hideMark/>
          </w:tcPr>
          <w:p w14:paraId="7B09C9CC" w14:textId="77777777" w:rsidR="00C9588C" w:rsidRDefault="00C9588C">
            <w:pPr>
              <w:spacing w:after="0"/>
              <w:jc w:val="left"/>
              <w:rPr>
                <w:rFonts w:cs="Times New Roman"/>
                <w:b/>
                <w:bCs/>
                <w:color w:val="000000"/>
              </w:rPr>
            </w:pPr>
            <w:r>
              <w:rPr>
                <w:rFonts w:cs="Times New Roman"/>
                <w:b/>
                <w:bCs/>
                <w:color w:val="000000"/>
              </w:rPr>
              <w:t>Details</w:t>
            </w:r>
          </w:p>
        </w:tc>
        <w:tc>
          <w:tcPr>
            <w:tcW w:w="1138" w:type="pct"/>
            <w:vMerge w:val="restart"/>
            <w:tcBorders>
              <w:top w:val="single" w:sz="4" w:space="0" w:color="auto"/>
              <w:left w:val="nil"/>
              <w:bottom w:val="single" w:sz="4" w:space="0" w:color="auto"/>
              <w:right w:val="single" w:sz="4" w:space="0" w:color="auto"/>
            </w:tcBorders>
            <w:vAlign w:val="center"/>
            <w:hideMark/>
          </w:tcPr>
          <w:p w14:paraId="418F8242" w14:textId="77777777" w:rsidR="00C9588C" w:rsidRDefault="00C9588C">
            <w:pPr>
              <w:spacing w:after="0"/>
              <w:jc w:val="center"/>
              <w:rPr>
                <w:rFonts w:cs="Times New Roman"/>
                <w:b/>
                <w:bCs/>
                <w:color w:val="000000"/>
              </w:rPr>
            </w:pPr>
            <w:r>
              <w:rPr>
                <w:rFonts w:cs="Times New Roman"/>
                <w:b/>
                <w:bCs/>
                <w:color w:val="000000"/>
              </w:rPr>
              <w:t>Original Budget</w:t>
            </w:r>
          </w:p>
        </w:tc>
        <w:tc>
          <w:tcPr>
            <w:tcW w:w="1190" w:type="pct"/>
            <w:vMerge w:val="restart"/>
            <w:tcBorders>
              <w:top w:val="single" w:sz="4" w:space="0" w:color="auto"/>
              <w:left w:val="nil"/>
              <w:bottom w:val="single" w:sz="4" w:space="0" w:color="auto"/>
              <w:right w:val="single" w:sz="4" w:space="0" w:color="auto"/>
            </w:tcBorders>
            <w:noWrap/>
            <w:vAlign w:val="center"/>
            <w:hideMark/>
          </w:tcPr>
          <w:p w14:paraId="3984EE3A" w14:textId="77777777" w:rsidR="00C9588C" w:rsidRDefault="00C9588C">
            <w:pPr>
              <w:spacing w:after="0"/>
              <w:jc w:val="center"/>
              <w:rPr>
                <w:rFonts w:cs="Times New Roman"/>
                <w:b/>
                <w:bCs/>
                <w:color w:val="000000"/>
              </w:rPr>
            </w:pPr>
            <w:r>
              <w:rPr>
                <w:rFonts w:cs="Times New Roman"/>
                <w:b/>
                <w:bCs/>
                <w:color w:val="000000"/>
              </w:rPr>
              <w:t>Actual</w:t>
            </w:r>
          </w:p>
        </w:tc>
        <w:tc>
          <w:tcPr>
            <w:tcW w:w="1138" w:type="pct"/>
            <w:vMerge w:val="restart"/>
            <w:tcBorders>
              <w:top w:val="single" w:sz="4" w:space="0" w:color="auto"/>
              <w:left w:val="nil"/>
              <w:bottom w:val="single" w:sz="4" w:space="0" w:color="auto"/>
              <w:right w:val="single" w:sz="4" w:space="0" w:color="auto"/>
            </w:tcBorders>
            <w:vAlign w:val="bottom"/>
            <w:hideMark/>
          </w:tcPr>
          <w:p w14:paraId="3BB3EF27" w14:textId="77777777" w:rsidR="00C9588C" w:rsidRDefault="00C9588C">
            <w:pPr>
              <w:spacing w:after="0"/>
              <w:jc w:val="center"/>
              <w:rPr>
                <w:rFonts w:cs="Times New Roman"/>
                <w:color w:val="000000"/>
              </w:rPr>
            </w:pPr>
            <w:r>
              <w:rPr>
                <w:rFonts w:cs="Times New Roman"/>
                <w:color w:val="000000"/>
              </w:rPr>
              <w:t>Per unit information in Actual Cost</w:t>
            </w:r>
          </w:p>
        </w:tc>
      </w:tr>
      <w:tr w:rsidR="00C9588C" w14:paraId="0C94FFC5" w14:textId="77777777" w:rsidTr="00C9588C">
        <w:trPr>
          <w:trHeight w:val="3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E7C40BA" w14:textId="77777777" w:rsidR="00C9588C" w:rsidRDefault="00C9588C">
            <w:pPr>
              <w:spacing w:before="0" w:beforeAutospacing="0" w:after="0" w:line="240" w:lineRule="auto"/>
              <w:jc w:val="left"/>
              <w:rPr>
                <w:rFonts w:cs="Times New Roman"/>
                <w:b/>
                <w:bCs/>
                <w:color w:val="000000"/>
              </w:rPr>
            </w:pPr>
          </w:p>
        </w:tc>
        <w:tc>
          <w:tcPr>
            <w:tcW w:w="0" w:type="auto"/>
            <w:vMerge/>
            <w:tcBorders>
              <w:top w:val="single" w:sz="4" w:space="0" w:color="auto"/>
              <w:left w:val="nil"/>
              <w:bottom w:val="single" w:sz="4" w:space="0" w:color="auto"/>
              <w:right w:val="single" w:sz="4" w:space="0" w:color="auto"/>
            </w:tcBorders>
            <w:vAlign w:val="center"/>
            <w:hideMark/>
          </w:tcPr>
          <w:p w14:paraId="3FCC0819" w14:textId="77777777" w:rsidR="00C9588C" w:rsidRDefault="00C9588C">
            <w:pPr>
              <w:spacing w:before="0" w:beforeAutospacing="0" w:after="0" w:line="240" w:lineRule="auto"/>
              <w:jc w:val="left"/>
              <w:rPr>
                <w:rFonts w:cs="Times New Roman"/>
                <w:b/>
                <w:bCs/>
                <w:color w:val="000000"/>
              </w:rPr>
            </w:pPr>
          </w:p>
        </w:tc>
        <w:tc>
          <w:tcPr>
            <w:tcW w:w="0" w:type="auto"/>
            <w:vMerge/>
            <w:tcBorders>
              <w:top w:val="single" w:sz="4" w:space="0" w:color="auto"/>
              <w:left w:val="nil"/>
              <w:bottom w:val="single" w:sz="4" w:space="0" w:color="auto"/>
              <w:right w:val="single" w:sz="4" w:space="0" w:color="auto"/>
            </w:tcBorders>
            <w:vAlign w:val="center"/>
            <w:hideMark/>
          </w:tcPr>
          <w:p w14:paraId="115F74F0" w14:textId="77777777" w:rsidR="00C9588C" w:rsidRDefault="00C9588C">
            <w:pPr>
              <w:spacing w:before="0" w:beforeAutospacing="0" w:after="0" w:line="240" w:lineRule="auto"/>
              <w:jc w:val="left"/>
              <w:rPr>
                <w:rFonts w:cs="Times New Roman"/>
                <w:b/>
                <w:bCs/>
                <w:color w:val="000000"/>
              </w:rPr>
            </w:pPr>
          </w:p>
        </w:tc>
        <w:tc>
          <w:tcPr>
            <w:tcW w:w="0" w:type="auto"/>
            <w:vMerge/>
            <w:tcBorders>
              <w:top w:val="single" w:sz="4" w:space="0" w:color="auto"/>
              <w:left w:val="nil"/>
              <w:bottom w:val="single" w:sz="4" w:space="0" w:color="auto"/>
              <w:right w:val="single" w:sz="4" w:space="0" w:color="auto"/>
            </w:tcBorders>
            <w:vAlign w:val="center"/>
            <w:hideMark/>
          </w:tcPr>
          <w:p w14:paraId="1615C41A" w14:textId="77777777" w:rsidR="00C9588C" w:rsidRDefault="00C9588C">
            <w:pPr>
              <w:spacing w:before="0" w:beforeAutospacing="0" w:after="0" w:line="240" w:lineRule="auto"/>
              <w:jc w:val="left"/>
              <w:rPr>
                <w:rFonts w:cs="Times New Roman"/>
                <w:color w:val="000000"/>
              </w:rPr>
            </w:pPr>
          </w:p>
        </w:tc>
        <w:tc>
          <w:tcPr>
            <w:tcW w:w="89" w:type="pct"/>
            <w:tcBorders>
              <w:top w:val="nil"/>
              <w:left w:val="nil"/>
              <w:bottom w:val="nil"/>
              <w:right w:val="nil"/>
            </w:tcBorders>
            <w:noWrap/>
            <w:vAlign w:val="bottom"/>
          </w:tcPr>
          <w:p w14:paraId="5C10D3AA" w14:textId="77777777" w:rsidR="00C9588C" w:rsidRDefault="00C9588C">
            <w:pPr>
              <w:spacing w:after="0"/>
              <w:jc w:val="center"/>
              <w:rPr>
                <w:rFonts w:cs="Times New Roman"/>
                <w:color w:val="000000"/>
              </w:rPr>
            </w:pPr>
          </w:p>
        </w:tc>
      </w:tr>
      <w:tr w:rsidR="00C9588C" w14:paraId="3C109BD8" w14:textId="77777777" w:rsidTr="00C9588C">
        <w:trPr>
          <w:trHeight w:val="630"/>
        </w:trPr>
        <w:tc>
          <w:tcPr>
            <w:tcW w:w="1446" w:type="pct"/>
            <w:tcBorders>
              <w:top w:val="nil"/>
              <w:left w:val="single" w:sz="4" w:space="0" w:color="auto"/>
              <w:bottom w:val="single" w:sz="4" w:space="0" w:color="auto"/>
              <w:right w:val="single" w:sz="4" w:space="0" w:color="auto"/>
            </w:tcBorders>
            <w:vAlign w:val="center"/>
            <w:hideMark/>
          </w:tcPr>
          <w:p w14:paraId="4B24E854" w14:textId="77777777" w:rsidR="00C9588C" w:rsidRDefault="00C9588C">
            <w:pPr>
              <w:spacing w:after="0"/>
              <w:jc w:val="left"/>
              <w:rPr>
                <w:rFonts w:cs="Times New Roman"/>
                <w:color w:val="000000"/>
              </w:rPr>
            </w:pPr>
            <w:r>
              <w:rPr>
                <w:rFonts w:cs="Times New Roman"/>
                <w:color w:val="000000"/>
              </w:rPr>
              <w:t>Quantity of estimated sales and actual sales</w:t>
            </w:r>
          </w:p>
        </w:tc>
        <w:tc>
          <w:tcPr>
            <w:tcW w:w="1138" w:type="pct"/>
            <w:tcBorders>
              <w:top w:val="nil"/>
              <w:left w:val="nil"/>
              <w:bottom w:val="single" w:sz="4" w:space="0" w:color="auto"/>
              <w:right w:val="single" w:sz="4" w:space="0" w:color="auto"/>
            </w:tcBorders>
            <w:noWrap/>
            <w:vAlign w:val="center"/>
            <w:hideMark/>
          </w:tcPr>
          <w:p w14:paraId="61F1CE75" w14:textId="77777777" w:rsidR="00C9588C" w:rsidRDefault="00C9588C">
            <w:pPr>
              <w:spacing w:after="0"/>
              <w:jc w:val="center"/>
              <w:rPr>
                <w:rFonts w:cs="Times New Roman"/>
                <w:color w:val="000000"/>
              </w:rPr>
            </w:pPr>
            <w:r>
              <w:rPr>
                <w:rFonts w:cs="Times New Roman"/>
                <w:color w:val="000000"/>
              </w:rPr>
              <w:t xml:space="preserve">                               80,000.00 </w:t>
            </w:r>
          </w:p>
        </w:tc>
        <w:tc>
          <w:tcPr>
            <w:tcW w:w="1190" w:type="pct"/>
            <w:tcBorders>
              <w:top w:val="nil"/>
              <w:left w:val="nil"/>
              <w:bottom w:val="single" w:sz="4" w:space="0" w:color="auto"/>
              <w:right w:val="single" w:sz="4" w:space="0" w:color="auto"/>
            </w:tcBorders>
            <w:noWrap/>
            <w:vAlign w:val="center"/>
            <w:hideMark/>
          </w:tcPr>
          <w:p w14:paraId="148A4695" w14:textId="77777777" w:rsidR="00C9588C" w:rsidRDefault="00C9588C">
            <w:pPr>
              <w:spacing w:after="0"/>
              <w:jc w:val="center"/>
              <w:rPr>
                <w:rFonts w:cs="Times New Roman"/>
                <w:color w:val="000000"/>
              </w:rPr>
            </w:pPr>
            <w:r>
              <w:rPr>
                <w:rFonts w:cs="Times New Roman"/>
                <w:color w:val="000000"/>
              </w:rPr>
              <w:t xml:space="preserve">                               80,000.00 </w:t>
            </w:r>
          </w:p>
        </w:tc>
        <w:tc>
          <w:tcPr>
            <w:tcW w:w="1138" w:type="pct"/>
            <w:tcBorders>
              <w:top w:val="nil"/>
              <w:left w:val="nil"/>
              <w:bottom w:val="single" w:sz="4" w:space="0" w:color="auto"/>
              <w:right w:val="single" w:sz="4" w:space="0" w:color="auto"/>
            </w:tcBorders>
            <w:noWrap/>
            <w:vAlign w:val="bottom"/>
            <w:hideMark/>
          </w:tcPr>
          <w:p w14:paraId="17C28112" w14:textId="77777777" w:rsidR="00C9588C" w:rsidRDefault="00C9588C">
            <w:pPr>
              <w:spacing w:after="0"/>
              <w:jc w:val="left"/>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1BDE5932" w14:textId="77777777" w:rsidR="00C9588C" w:rsidRDefault="00C9588C">
            <w:pPr>
              <w:spacing w:after="0"/>
              <w:jc w:val="left"/>
              <w:rPr>
                <w:rFonts w:cs="Times New Roman"/>
                <w:sz w:val="20"/>
                <w:szCs w:val="20"/>
              </w:rPr>
            </w:pPr>
          </w:p>
        </w:tc>
      </w:tr>
      <w:tr w:rsidR="00C9588C" w14:paraId="29F9D9F9"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64378EA6" w14:textId="77777777" w:rsidR="00C9588C" w:rsidRDefault="00C9588C">
            <w:pPr>
              <w:spacing w:after="0"/>
              <w:jc w:val="left"/>
              <w:rPr>
                <w:rFonts w:cs="Times New Roman"/>
                <w:color w:val="000000"/>
              </w:rPr>
            </w:pPr>
            <w:r>
              <w:rPr>
                <w:rFonts w:cs="Times New Roman"/>
                <w:color w:val="000000"/>
              </w:rPr>
              <w:t>Per unit sales price</w:t>
            </w:r>
          </w:p>
        </w:tc>
        <w:tc>
          <w:tcPr>
            <w:tcW w:w="1138" w:type="pct"/>
            <w:tcBorders>
              <w:top w:val="nil"/>
              <w:left w:val="nil"/>
              <w:bottom w:val="single" w:sz="4" w:space="0" w:color="auto"/>
              <w:right w:val="single" w:sz="4" w:space="0" w:color="auto"/>
            </w:tcBorders>
            <w:noWrap/>
            <w:vAlign w:val="center"/>
            <w:hideMark/>
          </w:tcPr>
          <w:p w14:paraId="426866B3" w14:textId="77777777" w:rsidR="00C9588C" w:rsidRDefault="00C9588C">
            <w:pPr>
              <w:spacing w:after="0"/>
              <w:jc w:val="center"/>
              <w:rPr>
                <w:rFonts w:cs="Times New Roman"/>
                <w:color w:val="000000"/>
              </w:rPr>
            </w:pPr>
            <w:r>
              <w:rPr>
                <w:rFonts w:cs="Times New Roman"/>
                <w:color w:val="000000"/>
              </w:rPr>
              <w:t xml:space="preserve"> £                                   25.00 </w:t>
            </w:r>
          </w:p>
        </w:tc>
        <w:tc>
          <w:tcPr>
            <w:tcW w:w="1190" w:type="pct"/>
            <w:tcBorders>
              <w:top w:val="nil"/>
              <w:left w:val="nil"/>
              <w:bottom w:val="single" w:sz="4" w:space="0" w:color="auto"/>
              <w:right w:val="single" w:sz="4" w:space="0" w:color="auto"/>
            </w:tcBorders>
            <w:noWrap/>
            <w:vAlign w:val="center"/>
            <w:hideMark/>
          </w:tcPr>
          <w:p w14:paraId="3A38A630" w14:textId="77777777" w:rsidR="00C9588C" w:rsidRDefault="00C9588C">
            <w:pPr>
              <w:spacing w:after="0"/>
              <w:jc w:val="center"/>
              <w:rPr>
                <w:rFonts w:cs="Times New Roman"/>
                <w:color w:val="000000"/>
              </w:rPr>
            </w:pPr>
            <w:r>
              <w:rPr>
                <w:rFonts w:cs="Times New Roman"/>
                <w:color w:val="000000"/>
              </w:rPr>
              <w:t xml:space="preserve"> £                                   20.00 </w:t>
            </w:r>
          </w:p>
        </w:tc>
        <w:tc>
          <w:tcPr>
            <w:tcW w:w="1138" w:type="pct"/>
            <w:tcBorders>
              <w:top w:val="nil"/>
              <w:left w:val="nil"/>
              <w:bottom w:val="single" w:sz="4" w:space="0" w:color="auto"/>
              <w:right w:val="single" w:sz="4" w:space="0" w:color="auto"/>
            </w:tcBorders>
            <w:noWrap/>
            <w:vAlign w:val="center"/>
            <w:hideMark/>
          </w:tcPr>
          <w:p w14:paraId="2A4C4C04" w14:textId="77777777" w:rsidR="00C9588C" w:rsidRDefault="00C9588C">
            <w:pPr>
              <w:spacing w:after="0"/>
              <w:jc w:val="center"/>
              <w:rPr>
                <w:rFonts w:cs="Times New Roman"/>
                <w:color w:val="000000"/>
              </w:rPr>
            </w:pPr>
            <w:r>
              <w:rPr>
                <w:rFonts w:cs="Times New Roman"/>
                <w:color w:val="000000"/>
              </w:rPr>
              <w:t xml:space="preserve"> £                                   20.00 </w:t>
            </w:r>
          </w:p>
        </w:tc>
        <w:tc>
          <w:tcPr>
            <w:tcW w:w="89" w:type="pct"/>
            <w:tcBorders>
              <w:top w:val="nil"/>
              <w:left w:val="nil"/>
              <w:bottom w:val="nil"/>
              <w:right w:val="nil"/>
            </w:tcBorders>
            <w:vAlign w:val="center"/>
          </w:tcPr>
          <w:p w14:paraId="4C0D015B" w14:textId="77777777" w:rsidR="00C9588C" w:rsidRDefault="00C9588C">
            <w:pPr>
              <w:spacing w:after="0"/>
              <w:jc w:val="left"/>
              <w:rPr>
                <w:rFonts w:cs="Times New Roman"/>
                <w:sz w:val="20"/>
                <w:szCs w:val="20"/>
              </w:rPr>
            </w:pPr>
          </w:p>
        </w:tc>
      </w:tr>
      <w:tr w:rsidR="00C9588C" w14:paraId="446F9044"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712BFE18" w14:textId="77777777" w:rsidR="00C9588C" w:rsidRDefault="00C9588C">
            <w:pPr>
              <w:spacing w:after="0"/>
              <w:jc w:val="left"/>
              <w:rPr>
                <w:rFonts w:cs="Times New Roman"/>
                <w:b/>
                <w:bCs/>
                <w:color w:val="000000"/>
                <w:u w:val="single"/>
              </w:rPr>
            </w:pPr>
            <w:r>
              <w:rPr>
                <w:rFonts w:cs="Times New Roman"/>
                <w:b/>
                <w:bCs/>
                <w:color w:val="000000"/>
                <w:u w:val="single"/>
              </w:rPr>
              <w:t>Variables Cost</w:t>
            </w:r>
          </w:p>
        </w:tc>
        <w:tc>
          <w:tcPr>
            <w:tcW w:w="1138" w:type="pct"/>
            <w:tcBorders>
              <w:top w:val="nil"/>
              <w:left w:val="nil"/>
              <w:bottom w:val="single" w:sz="4" w:space="0" w:color="auto"/>
              <w:right w:val="single" w:sz="4" w:space="0" w:color="auto"/>
            </w:tcBorders>
            <w:noWrap/>
            <w:hideMark/>
          </w:tcPr>
          <w:p w14:paraId="3FBFDA5A" w14:textId="77777777" w:rsidR="00C9588C" w:rsidRDefault="00C9588C">
            <w:pPr>
              <w:spacing w:after="0"/>
              <w:jc w:val="center"/>
              <w:rPr>
                <w:rFonts w:cs="Times New Roman"/>
                <w:color w:val="000000"/>
              </w:rPr>
            </w:pPr>
            <w:r>
              <w:rPr>
                <w:rFonts w:cs="Times New Roman"/>
                <w:color w:val="000000"/>
              </w:rPr>
              <w:t> </w:t>
            </w:r>
          </w:p>
        </w:tc>
        <w:tc>
          <w:tcPr>
            <w:tcW w:w="1190" w:type="pct"/>
            <w:tcBorders>
              <w:top w:val="nil"/>
              <w:left w:val="nil"/>
              <w:bottom w:val="single" w:sz="4" w:space="0" w:color="auto"/>
              <w:right w:val="single" w:sz="4" w:space="0" w:color="auto"/>
            </w:tcBorders>
            <w:noWrap/>
            <w:hideMark/>
          </w:tcPr>
          <w:p w14:paraId="3E287D72" w14:textId="77777777" w:rsidR="00C9588C" w:rsidRDefault="00C9588C">
            <w:pPr>
              <w:spacing w:after="0"/>
              <w:jc w:val="center"/>
              <w:rPr>
                <w:rFonts w:cs="Times New Roman"/>
                <w:color w:val="000000"/>
              </w:rPr>
            </w:pPr>
            <w:r>
              <w:rPr>
                <w:rFonts w:cs="Times New Roman"/>
                <w:color w:val="000000"/>
              </w:rPr>
              <w:t> </w:t>
            </w:r>
          </w:p>
        </w:tc>
        <w:tc>
          <w:tcPr>
            <w:tcW w:w="1138" w:type="pct"/>
            <w:tcBorders>
              <w:top w:val="nil"/>
              <w:left w:val="nil"/>
              <w:bottom w:val="single" w:sz="4" w:space="0" w:color="auto"/>
              <w:right w:val="single" w:sz="4" w:space="0" w:color="auto"/>
            </w:tcBorders>
            <w:noWrap/>
            <w:vAlign w:val="center"/>
            <w:hideMark/>
          </w:tcPr>
          <w:p w14:paraId="32615495" w14:textId="77777777" w:rsidR="00C9588C" w:rsidRDefault="00C9588C">
            <w:pPr>
              <w:spacing w:after="0"/>
              <w:jc w:val="center"/>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5AF6AD9F" w14:textId="77777777" w:rsidR="00C9588C" w:rsidRDefault="00C9588C">
            <w:pPr>
              <w:spacing w:after="0"/>
              <w:jc w:val="left"/>
              <w:rPr>
                <w:rFonts w:cs="Times New Roman"/>
                <w:sz w:val="20"/>
                <w:szCs w:val="20"/>
              </w:rPr>
            </w:pPr>
          </w:p>
        </w:tc>
      </w:tr>
      <w:tr w:rsidR="00C9588C" w14:paraId="238B2136"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06FE62F0" w14:textId="77777777" w:rsidR="00C9588C" w:rsidRDefault="00C9588C">
            <w:pPr>
              <w:spacing w:after="0"/>
              <w:jc w:val="left"/>
              <w:rPr>
                <w:rFonts w:cs="Times New Roman"/>
                <w:color w:val="000000"/>
              </w:rPr>
            </w:pPr>
            <w:r>
              <w:rPr>
                <w:rFonts w:cs="Times New Roman"/>
                <w:color w:val="000000"/>
              </w:rPr>
              <w:t>Materials cost</w:t>
            </w:r>
          </w:p>
        </w:tc>
        <w:tc>
          <w:tcPr>
            <w:tcW w:w="1138" w:type="pct"/>
            <w:tcBorders>
              <w:top w:val="nil"/>
              <w:left w:val="nil"/>
              <w:bottom w:val="single" w:sz="4" w:space="0" w:color="auto"/>
              <w:right w:val="single" w:sz="4" w:space="0" w:color="auto"/>
            </w:tcBorders>
            <w:noWrap/>
            <w:vAlign w:val="center"/>
            <w:hideMark/>
          </w:tcPr>
          <w:p w14:paraId="682649AE" w14:textId="77777777" w:rsidR="00C9588C" w:rsidRDefault="00C9588C">
            <w:pPr>
              <w:spacing w:after="0"/>
              <w:jc w:val="center"/>
              <w:rPr>
                <w:rFonts w:cs="Times New Roman"/>
                <w:color w:val="000000"/>
              </w:rPr>
            </w:pPr>
            <w:r>
              <w:rPr>
                <w:rFonts w:cs="Times New Roman"/>
                <w:color w:val="000000"/>
              </w:rPr>
              <w:t xml:space="preserve">-£                                    2.50 </w:t>
            </w:r>
          </w:p>
        </w:tc>
        <w:tc>
          <w:tcPr>
            <w:tcW w:w="1190" w:type="pct"/>
            <w:tcBorders>
              <w:top w:val="nil"/>
              <w:left w:val="nil"/>
              <w:bottom w:val="single" w:sz="4" w:space="0" w:color="auto"/>
              <w:right w:val="single" w:sz="4" w:space="0" w:color="auto"/>
            </w:tcBorders>
            <w:noWrap/>
            <w:vAlign w:val="center"/>
            <w:hideMark/>
          </w:tcPr>
          <w:p w14:paraId="1FE596C4" w14:textId="77777777" w:rsidR="00C9588C" w:rsidRDefault="00C9588C">
            <w:pPr>
              <w:spacing w:after="0"/>
              <w:jc w:val="center"/>
              <w:rPr>
                <w:rFonts w:cs="Times New Roman"/>
                <w:color w:val="000000"/>
              </w:rPr>
            </w:pPr>
            <w:r>
              <w:rPr>
                <w:rFonts w:cs="Times New Roman"/>
                <w:color w:val="000000"/>
              </w:rPr>
              <w:t xml:space="preserve">-£                         280,000.00 </w:t>
            </w:r>
          </w:p>
        </w:tc>
        <w:tc>
          <w:tcPr>
            <w:tcW w:w="1138" w:type="pct"/>
            <w:tcBorders>
              <w:top w:val="nil"/>
              <w:left w:val="nil"/>
              <w:bottom w:val="single" w:sz="4" w:space="0" w:color="auto"/>
              <w:right w:val="single" w:sz="4" w:space="0" w:color="auto"/>
            </w:tcBorders>
            <w:noWrap/>
            <w:vAlign w:val="center"/>
            <w:hideMark/>
          </w:tcPr>
          <w:p w14:paraId="45D5AF06" w14:textId="77777777" w:rsidR="00C9588C" w:rsidRDefault="00C9588C">
            <w:pPr>
              <w:spacing w:after="0"/>
              <w:jc w:val="center"/>
              <w:rPr>
                <w:rFonts w:cs="Times New Roman"/>
                <w:color w:val="000000"/>
              </w:rPr>
            </w:pPr>
            <w:r>
              <w:rPr>
                <w:rFonts w:cs="Times New Roman"/>
                <w:color w:val="000000"/>
              </w:rPr>
              <w:t xml:space="preserve">-£                                    3.50 </w:t>
            </w:r>
          </w:p>
        </w:tc>
        <w:tc>
          <w:tcPr>
            <w:tcW w:w="89" w:type="pct"/>
            <w:tcBorders>
              <w:top w:val="nil"/>
              <w:left w:val="nil"/>
              <w:bottom w:val="nil"/>
              <w:right w:val="nil"/>
            </w:tcBorders>
            <w:vAlign w:val="center"/>
          </w:tcPr>
          <w:p w14:paraId="31A86082" w14:textId="77777777" w:rsidR="00C9588C" w:rsidRDefault="00C9588C">
            <w:pPr>
              <w:spacing w:after="0"/>
              <w:jc w:val="left"/>
              <w:rPr>
                <w:rFonts w:cs="Times New Roman"/>
                <w:sz w:val="20"/>
                <w:szCs w:val="20"/>
              </w:rPr>
            </w:pPr>
          </w:p>
        </w:tc>
      </w:tr>
      <w:tr w:rsidR="00C9588C" w14:paraId="74E31DF9"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2B85E11F" w14:textId="77777777" w:rsidR="00C9588C" w:rsidRDefault="00C9588C">
            <w:pPr>
              <w:spacing w:after="0"/>
              <w:jc w:val="left"/>
              <w:rPr>
                <w:rFonts w:cs="Times New Roman"/>
                <w:color w:val="000000"/>
              </w:rPr>
            </w:pPr>
            <w:r>
              <w:rPr>
                <w:rFonts w:cs="Times New Roman"/>
                <w:color w:val="000000"/>
              </w:rPr>
              <w:t>Labour cost</w:t>
            </w:r>
          </w:p>
        </w:tc>
        <w:tc>
          <w:tcPr>
            <w:tcW w:w="1138" w:type="pct"/>
            <w:tcBorders>
              <w:top w:val="nil"/>
              <w:left w:val="nil"/>
              <w:bottom w:val="single" w:sz="4" w:space="0" w:color="auto"/>
              <w:right w:val="single" w:sz="4" w:space="0" w:color="auto"/>
            </w:tcBorders>
            <w:noWrap/>
            <w:vAlign w:val="center"/>
            <w:hideMark/>
          </w:tcPr>
          <w:p w14:paraId="4A1A2732" w14:textId="77777777" w:rsidR="00C9588C" w:rsidRDefault="00C9588C">
            <w:pPr>
              <w:spacing w:after="0"/>
              <w:jc w:val="center"/>
              <w:rPr>
                <w:rFonts w:cs="Times New Roman"/>
                <w:color w:val="000000"/>
              </w:rPr>
            </w:pPr>
            <w:r>
              <w:rPr>
                <w:rFonts w:cs="Times New Roman"/>
                <w:color w:val="000000"/>
              </w:rPr>
              <w:t xml:space="preserve">-£                                    4.00 </w:t>
            </w:r>
          </w:p>
        </w:tc>
        <w:tc>
          <w:tcPr>
            <w:tcW w:w="1190" w:type="pct"/>
            <w:tcBorders>
              <w:top w:val="nil"/>
              <w:left w:val="nil"/>
              <w:bottom w:val="single" w:sz="4" w:space="0" w:color="auto"/>
              <w:right w:val="single" w:sz="4" w:space="0" w:color="auto"/>
            </w:tcBorders>
            <w:noWrap/>
            <w:vAlign w:val="center"/>
            <w:hideMark/>
          </w:tcPr>
          <w:p w14:paraId="685E8732" w14:textId="77777777" w:rsidR="00C9588C" w:rsidRDefault="00C9588C">
            <w:pPr>
              <w:spacing w:after="0"/>
              <w:jc w:val="center"/>
              <w:rPr>
                <w:rFonts w:cs="Times New Roman"/>
                <w:color w:val="000000"/>
              </w:rPr>
            </w:pPr>
            <w:r>
              <w:rPr>
                <w:rFonts w:cs="Times New Roman"/>
                <w:color w:val="000000"/>
              </w:rPr>
              <w:t xml:space="preserve">-£                         440,000.00 </w:t>
            </w:r>
          </w:p>
        </w:tc>
        <w:tc>
          <w:tcPr>
            <w:tcW w:w="1138" w:type="pct"/>
            <w:tcBorders>
              <w:top w:val="nil"/>
              <w:left w:val="nil"/>
              <w:bottom w:val="single" w:sz="4" w:space="0" w:color="auto"/>
              <w:right w:val="single" w:sz="4" w:space="0" w:color="auto"/>
            </w:tcBorders>
            <w:noWrap/>
            <w:vAlign w:val="center"/>
            <w:hideMark/>
          </w:tcPr>
          <w:p w14:paraId="0D7587CC" w14:textId="77777777" w:rsidR="00C9588C" w:rsidRDefault="00C9588C">
            <w:pPr>
              <w:spacing w:after="0"/>
              <w:jc w:val="center"/>
              <w:rPr>
                <w:rFonts w:cs="Times New Roman"/>
                <w:color w:val="000000"/>
              </w:rPr>
            </w:pPr>
            <w:r>
              <w:rPr>
                <w:rFonts w:cs="Times New Roman"/>
                <w:color w:val="000000"/>
              </w:rPr>
              <w:t xml:space="preserve">-£                                    5.50 </w:t>
            </w:r>
          </w:p>
        </w:tc>
        <w:tc>
          <w:tcPr>
            <w:tcW w:w="89" w:type="pct"/>
            <w:tcBorders>
              <w:top w:val="nil"/>
              <w:left w:val="nil"/>
              <w:bottom w:val="nil"/>
              <w:right w:val="nil"/>
            </w:tcBorders>
            <w:vAlign w:val="center"/>
          </w:tcPr>
          <w:p w14:paraId="70E74F89" w14:textId="77777777" w:rsidR="00C9588C" w:rsidRDefault="00C9588C">
            <w:pPr>
              <w:spacing w:after="0"/>
              <w:jc w:val="left"/>
              <w:rPr>
                <w:rFonts w:cs="Times New Roman"/>
                <w:sz w:val="20"/>
                <w:szCs w:val="20"/>
              </w:rPr>
            </w:pPr>
          </w:p>
        </w:tc>
      </w:tr>
      <w:tr w:rsidR="00C9588C" w14:paraId="3B905607"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4801C62E" w14:textId="77777777" w:rsidR="00C9588C" w:rsidRDefault="00C9588C">
            <w:pPr>
              <w:spacing w:after="0"/>
              <w:jc w:val="left"/>
              <w:rPr>
                <w:rFonts w:cs="Times New Roman"/>
                <w:color w:val="000000"/>
              </w:rPr>
            </w:pPr>
            <w:r>
              <w:rPr>
                <w:rFonts w:cs="Times New Roman"/>
                <w:color w:val="000000"/>
              </w:rPr>
              <w:t>Overhead cost</w:t>
            </w:r>
          </w:p>
        </w:tc>
        <w:tc>
          <w:tcPr>
            <w:tcW w:w="1138" w:type="pct"/>
            <w:tcBorders>
              <w:top w:val="nil"/>
              <w:left w:val="nil"/>
              <w:bottom w:val="single" w:sz="4" w:space="0" w:color="auto"/>
              <w:right w:val="single" w:sz="4" w:space="0" w:color="auto"/>
            </w:tcBorders>
            <w:noWrap/>
            <w:vAlign w:val="center"/>
            <w:hideMark/>
          </w:tcPr>
          <w:p w14:paraId="071C9BC5" w14:textId="77777777" w:rsidR="00C9588C" w:rsidRDefault="00C9588C">
            <w:pPr>
              <w:spacing w:after="0"/>
              <w:jc w:val="center"/>
              <w:rPr>
                <w:rFonts w:cs="Times New Roman"/>
                <w:color w:val="000000"/>
                <w:u w:val="single"/>
              </w:rPr>
            </w:pPr>
            <w:r>
              <w:rPr>
                <w:rFonts w:cs="Times New Roman"/>
                <w:color w:val="000000"/>
                <w:u w:val="single"/>
              </w:rPr>
              <w:t xml:space="preserve">-£                                    1.50 </w:t>
            </w:r>
          </w:p>
        </w:tc>
        <w:tc>
          <w:tcPr>
            <w:tcW w:w="1190" w:type="pct"/>
            <w:tcBorders>
              <w:top w:val="nil"/>
              <w:left w:val="nil"/>
              <w:bottom w:val="single" w:sz="4" w:space="0" w:color="auto"/>
              <w:right w:val="single" w:sz="4" w:space="0" w:color="auto"/>
            </w:tcBorders>
            <w:noWrap/>
            <w:vAlign w:val="center"/>
            <w:hideMark/>
          </w:tcPr>
          <w:p w14:paraId="6F908BDC" w14:textId="77777777" w:rsidR="00C9588C" w:rsidRDefault="00C9588C">
            <w:pPr>
              <w:spacing w:after="0"/>
              <w:jc w:val="center"/>
              <w:rPr>
                <w:rFonts w:cs="Times New Roman"/>
                <w:color w:val="000000"/>
                <w:u w:val="single"/>
              </w:rPr>
            </w:pPr>
            <w:r>
              <w:rPr>
                <w:rFonts w:cs="Times New Roman"/>
                <w:color w:val="000000"/>
                <w:u w:val="single"/>
              </w:rPr>
              <w:t xml:space="preserve">-£                         120,000.00 </w:t>
            </w:r>
          </w:p>
        </w:tc>
        <w:tc>
          <w:tcPr>
            <w:tcW w:w="1138" w:type="pct"/>
            <w:tcBorders>
              <w:top w:val="nil"/>
              <w:left w:val="nil"/>
              <w:bottom w:val="single" w:sz="4" w:space="0" w:color="auto"/>
              <w:right w:val="single" w:sz="4" w:space="0" w:color="auto"/>
            </w:tcBorders>
            <w:noWrap/>
            <w:vAlign w:val="center"/>
            <w:hideMark/>
          </w:tcPr>
          <w:p w14:paraId="17527913" w14:textId="77777777" w:rsidR="00C9588C" w:rsidRDefault="00C9588C">
            <w:pPr>
              <w:spacing w:after="0"/>
              <w:jc w:val="center"/>
              <w:rPr>
                <w:rFonts w:cs="Times New Roman"/>
                <w:color w:val="000000"/>
              </w:rPr>
            </w:pPr>
            <w:r>
              <w:rPr>
                <w:rFonts w:cs="Times New Roman"/>
                <w:color w:val="000000"/>
              </w:rPr>
              <w:t xml:space="preserve">-£                                    1.50 </w:t>
            </w:r>
          </w:p>
        </w:tc>
        <w:tc>
          <w:tcPr>
            <w:tcW w:w="89" w:type="pct"/>
            <w:tcBorders>
              <w:top w:val="nil"/>
              <w:left w:val="nil"/>
              <w:bottom w:val="nil"/>
              <w:right w:val="nil"/>
            </w:tcBorders>
            <w:vAlign w:val="center"/>
          </w:tcPr>
          <w:p w14:paraId="51FB9502" w14:textId="77777777" w:rsidR="00C9588C" w:rsidRDefault="00C9588C">
            <w:pPr>
              <w:spacing w:after="0"/>
              <w:jc w:val="left"/>
              <w:rPr>
                <w:rFonts w:cs="Times New Roman"/>
                <w:sz w:val="20"/>
                <w:szCs w:val="20"/>
              </w:rPr>
            </w:pPr>
          </w:p>
        </w:tc>
      </w:tr>
      <w:tr w:rsidR="00C9588C" w14:paraId="2A52FCFB"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2B411E64" w14:textId="77777777" w:rsidR="00C9588C" w:rsidRDefault="00C9588C">
            <w:pPr>
              <w:spacing w:after="0"/>
              <w:jc w:val="left"/>
              <w:rPr>
                <w:rFonts w:cs="Times New Roman"/>
                <w:color w:val="000000"/>
              </w:rPr>
            </w:pPr>
            <w:r>
              <w:rPr>
                <w:rFonts w:cs="Times New Roman"/>
                <w:color w:val="000000"/>
              </w:rPr>
              <w:t>Contribution Margin</w:t>
            </w:r>
          </w:p>
        </w:tc>
        <w:tc>
          <w:tcPr>
            <w:tcW w:w="1138" w:type="pct"/>
            <w:tcBorders>
              <w:top w:val="nil"/>
              <w:left w:val="nil"/>
              <w:bottom w:val="single" w:sz="4" w:space="0" w:color="auto"/>
              <w:right w:val="single" w:sz="4" w:space="0" w:color="auto"/>
            </w:tcBorders>
            <w:noWrap/>
            <w:vAlign w:val="center"/>
            <w:hideMark/>
          </w:tcPr>
          <w:p w14:paraId="7C379F9E" w14:textId="77777777" w:rsidR="00C9588C" w:rsidRDefault="00C9588C">
            <w:pPr>
              <w:spacing w:after="0"/>
              <w:jc w:val="center"/>
              <w:rPr>
                <w:rFonts w:cs="Times New Roman"/>
                <w:color w:val="000000"/>
              </w:rPr>
            </w:pPr>
            <w:r>
              <w:rPr>
                <w:rFonts w:cs="Times New Roman"/>
                <w:color w:val="000000"/>
              </w:rPr>
              <w:t xml:space="preserve"> £                                   17.00 </w:t>
            </w:r>
          </w:p>
        </w:tc>
        <w:tc>
          <w:tcPr>
            <w:tcW w:w="1190" w:type="pct"/>
            <w:tcBorders>
              <w:top w:val="nil"/>
              <w:left w:val="nil"/>
              <w:bottom w:val="single" w:sz="4" w:space="0" w:color="auto"/>
              <w:right w:val="single" w:sz="4" w:space="0" w:color="auto"/>
            </w:tcBorders>
            <w:noWrap/>
            <w:vAlign w:val="center"/>
            <w:hideMark/>
          </w:tcPr>
          <w:p w14:paraId="7CF36090" w14:textId="77777777" w:rsidR="00C9588C" w:rsidRDefault="00C9588C">
            <w:pPr>
              <w:spacing w:after="0"/>
              <w:jc w:val="center"/>
              <w:rPr>
                <w:rFonts w:cs="Times New Roman"/>
                <w:color w:val="000000"/>
              </w:rPr>
            </w:pPr>
            <w:r>
              <w:rPr>
                <w:rFonts w:cs="Times New Roman"/>
                <w:color w:val="000000"/>
              </w:rPr>
              <w:t xml:space="preserve"> £                          760,000.00 </w:t>
            </w:r>
          </w:p>
        </w:tc>
        <w:tc>
          <w:tcPr>
            <w:tcW w:w="1138" w:type="pct"/>
            <w:tcBorders>
              <w:top w:val="nil"/>
              <w:left w:val="nil"/>
              <w:bottom w:val="single" w:sz="4" w:space="0" w:color="auto"/>
              <w:right w:val="single" w:sz="4" w:space="0" w:color="auto"/>
            </w:tcBorders>
            <w:noWrap/>
            <w:vAlign w:val="center"/>
            <w:hideMark/>
          </w:tcPr>
          <w:p w14:paraId="1FCC715F" w14:textId="77777777" w:rsidR="00C9588C" w:rsidRDefault="00C9588C">
            <w:pPr>
              <w:spacing w:after="0"/>
              <w:jc w:val="center"/>
              <w:rPr>
                <w:rFonts w:cs="Times New Roman"/>
                <w:color w:val="000000"/>
              </w:rPr>
            </w:pPr>
            <w:r>
              <w:rPr>
                <w:rFonts w:cs="Times New Roman"/>
                <w:color w:val="000000"/>
              </w:rPr>
              <w:t xml:space="preserve"> £                                     9.50 </w:t>
            </w:r>
          </w:p>
        </w:tc>
        <w:tc>
          <w:tcPr>
            <w:tcW w:w="89" w:type="pct"/>
            <w:tcBorders>
              <w:top w:val="nil"/>
              <w:left w:val="nil"/>
              <w:bottom w:val="nil"/>
              <w:right w:val="nil"/>
            </w:tcBorders>
            <w:vAlign w:val="center"/>
          </w:tcPr>
          <w:p w14:paraId="01260323" w14:textId="77777777" w:rsidR="00C9588C" w:rsidRDefault="00C9588C">
            <w:pPr>
              <w:spacing w:after="0"/>
              <w:jc w:val="left"/>
              <w:rPr>
                <w:rFonts w:cs="Times New Roman"/>
                <w:sz w:val="20"/>
                <w:szCs w:val="20"/>
              </w:rPr>
            </w:pPr>
          </w:p>
        </w:tc>
      </w:tr>
      <w:tr w:rsidR="00C9588C" w14:paraId="71705FE4"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4CBFE38E" w14:textId="77777777" w:rsidR="00C9588C" w:rsidRDefault="00C9588C">
            <w:pPr>
              <w:spacing w:after="0"/>
              <w:jc w:val="left"/>
              <w:rPr>
                <w:rFonts w:cs="Times New Roman"/>
                <w:b/>
                <w:bCs/>
                <w:color w:val="000000"/>
                <w:u w:val="single"/>
              </w:rPr>
            </w:pPr>
            <w:r>
              <w:rPr>
                <w:rFonts w:cs="Times New Roman"/>
                <w:b/>
                <w:bCs/>
                <w:color w:val="000000"/>
                <w:u w:val="single"/>
              </w:rPr>
              <w:t>Fixed Costs</w:t>
            </w:r>
          </w:p>
        </w:tc>
        <w:tc>
          <w:tcPr>
            <w:tcW w:w="1138" w:type="pct"/>
            <w:tcBorders>
              <w:top w:val="nil"/>
              <w:left w:val="nil"/>
              <w:bottom w:val="single" w:sz="4" w:space="0" w:color="auto"/>
              <w:right w:val="single" w:sz="4" w:space="0" w:color="auto"/>
            </w:tcBorders>
            <w:noWrap/>
            <w:hideMark/>
          </w:tcPr>
          <w:p w14:paraId="788990AB" w14:textId="77777777" w:rsidR="00C9588C" w:rsidRDefault="00C9588C">
            <w:pPr>
              <w:spacing w:after="0"/>
              <w:jc w:val="center"/>
              <w:rPr>
                <w:rFonts w:cs="Times New Roman"/>
                <w:color w:val="000000"/>
              </w:rPr>
            </w:pPr>
            <w:r>
              <w:rPr>
                <w:rFonts w:cs="Times New Roman"/>
                <w:color w:val="000000"/>
              </w:rPr>
              <w:t> </w:t>
            </w:r>
          </w:p>
        </w:tc>
        <w:tc>
          <w:tcPr>
            <w:tcW w:w="1190" w:type="pct"/>
            <w:tcBorders>
              <w:top w:val="nil"/>
              <w:left w:val="nil"/>
              <w:bottom w:val="single" w:sz="4" w:space="0" w:color="auto"/>
              <w:right w:val="single" w:sz="4" w:space="0" w:color="auto"/>
            </w:tcBorders>
            <w:noWrap/>
            <w:hideMark/>
          </w:tcPr>
          <w:p w14:paraId="507FDC9E" w14:textId="77777777" w:rsidR="00C9588C" w:rsidRDefault="00C9588C">
            <w:pPr>
              <w:spacing w:after="0"/>
              <w:jc w:val="center"/>
              <w:rPr>
                <w:rFonts w:cs="Times New Roman"/>
                <w:color w:val="000000"/>
              </w:rPr>
            </w:pPr>
            <w:r>
              <w:rPr>
                <w:rFonts w:cs="Times New Roman"/>
                <w:color w:val="000000"/>
              </w:rPr>
              <w:t> </w:t>
            </w:r>
          </w:p>
        </w:tc>
        <w:tc>
          <w:tcPr>
            <w:tcW w:w="1138" w:type="pct"/>
            <w:tcBorders>
              <w:top w:val="nil"/>
              <w:left w:val="nil"/>
              <w:bottom w:val="single" w:sz="4" w:space="0" w:color="auto"/>
              <w:right w:val="single" w:sz="4" w:space="0" w:color="auto"/>
            </w:tcBorders>
            <w:noWrap/>
            <w:vAlign w:val="bottom"/>
            <w:hideMark/>
          </w:tcPr>
          <w:p w14:paraId="543F73D6" w14:textId="77777777" w:rsidR="00C9588C" w:rsidRDefault="00C9588C">
            <w:pPr>
              <w:spacing w:after="0"/>
              <w:jc w:val="left"/>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214BBBCD" w14:textId="77777777" w:rsidR="00C9588C" w:rsidRDefault="00C9588C">
            <w:pPr>
              <w:spacing w:after="0"/>
              <w:jc w:val="left"/>
              <w:rPr>
                <w:rFonts w:cs="Times New Roman"/>
                <w:sz w:val="20"/>
                <w:szCs w:val="20"/>
              </w:rPr>
            </w:pPr>
          </w:p>
        </w:tc>
      </w:tr>
      <w:tr w:rsidR="00C9588C" w14:paraId="2C963460"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7F1BA569" w14:textId="77777777" w:rsidR="00C9588C" w:rsidRDefault="00C9588C">
            <w:pPr>
              <w:spacing w:after="0"/>
              <w:jc w:val="left"/>
              <w:rPr>
                <w:rFonts w:cs="Times New Roman"/>
                <w:color w:val="000000"/>
              </w:rPr>
            </w:pPr>
            <w:r>
              <w:rPr>
                <w:rFonts w:cs="Times New Roman"/>
                <w:color w:val="000000"/>
              </w:rPr>
              <w:t>Warehouse rent Expense</w:t>
            </w:r>
          </w:p>
        </w:tc>
        <w:tc>
          <w:tcPr>
            <w:tcW w:w="1138" w:type="pct"/>
            <w:tcBorders>
              <w:top w:val="nil"/>
              <w:left w:val="nil"/>
              <w:bottom w:val="single" w:sz="4" w:space="0" w:color="auto"/>
              <w:right w:val="single" w:sz="4" w:space="0" w:color="auto"/>
            </w:tcBorders>
            <w:noWrap/>
            <w:vAlign w:val="center"/>
            <w:hideMark/>
          </w:tcPr>
          <w:p w14:paraId="62A5A973" w14:textId="77777777" w:rsidR="00C9588C" w:rsidRDefault="00C9588C">
            <w:pPr>
              <w:spacing w:after="0"/>
              <w:jc w:val="center"/>
              <w:rPr>
                <w:rFonts w:cs="Times New Roman"/>
                <w:color w:val="000000"/>
              </w:rPr>
            </w:pPr>
            <w:r>
              <w:rPr>
                <w:rFonts w:cs="Times New Roman"/>
                <w:color w:val="000000"/>
              </w:rPr>
              <w:t xml:space="preserve"> £                          200,000.00 </w:t>
            </w:r>
          </w:p>
        </w:tc>
        <w:tc>
          <w:tcPr>
            <w:tcW w:w="1190" w:type="pct"/>
            <w:tcBorders>
              <w:top w:val="nil"/>
              <w:left w:val="nil"/>
              <w:bottom w:val="single" w:sz="4" w:space="0" w:color="auto"/>
              <w:right w:val="single" w:sz="4" w:space="0" w:color="auto"/>
            </w:tcBorders>
            <w:noWrap/>
            <w:vAlign w:val="center"/>
            <w:hideMark/>
          </w:tcPr>
          <w:p w14:paraId="086287CF" w14:textId="77777777" w:rsidR="00C9588C" w:rsidRDefault="00C9588C">
            <w:pPr>
              <w:spacing w:after="0"/>
              <w:jc w:val="center"/>
              <w:rPr>
                <w:rFonts w:cs="Times New Roman"/>
                <w:color w:val="000000"/>
              </w:rPr>
            </w:pPr>
            <w:r>
              <w:rPr>
                <w:rFonts w:cs="Times New Roman"/>
                <w:color w:val="000000"/>
              </w:rPr>
              <w:t xml:space="preserve"> £                          170,000.00 </w:t>
            </w:r>
          </w:p>
        </w:tc>
        <w:tc>
          <w:tcPr>
            <w:tcW w:w="1138" w:type="pct"/>
            <w:tcBorders>
              <w:top w:val="nil"/>
              <w:left w:val="nil"/>
              <w:bottom w:val="single" w:sz="4" w:space="0" w:color="auto"/>
              <w:right w:val="single" w:sz="4" w:space="0" w:color="auto"/>
            </w:tcBorders>
            <w:noWrap/>
            <w:vAlign w:val="bottom"/>
            <w:hideMark/>
          </w:tcPr>
          <w:p w14:paraId="4700BA4F" w14:textId="77777777" w:rsidR="00C9588C" w:rsidRDefault="00C9588C">
            <w:pPr>
              <w:spacing w:after="0"/>
              <w:jc w:val="left"/>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01F845B0" w14:textId="77777777" w:rsidR="00C9588C" w:rsidRDefault="00C9588C">
            <w:pPr>
              <w:spacing w:after="0"/>
              <w:jc w:val="left"/>
              <w:rPr>
                <w:rFonts w:cs="Times New Roman"/>
                <w:sz w:val="20"/>
                <w:szCs w:val="20"/>
              </w:rPr>
            </w:pPr>
          </w:p>
        </w:tc>
      </w:tr>
      <w:tr w:rsidR="00C9588C" w14:paraId="424ADDC7"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19640CA3" w14:textId="77777777" w:rsidR="00C9588C" w:rsidRDefault="00C9588C">
            <w:pPr>
              <w:spacing w:after="0"/>
              <w:jc w:val="left"/>
              <w:rPr>
                <w:rFonts w:cs="Times New Roman"/>
                <w:color w:val="000000"/>
              </w:rPr>
            </w:pPr>
            <w:r>
              <w:rPr>
                <w:rFonts w:cs="Times New Roman"/>
                <w:color w:val="000000"/>
              </w:rPr>
              <w:t>Insurance expense</w:t>
            </w:r>
          </w:p>
        </w:tc>
        <w:tc>
          <w:tcPr>
            <w:tcW w:w="1138" w:type="pct"/>
            <w:tcBorders>
              <w:top w:val="nil"/>
              <w:left w:val="nil"/>
              <w:bottom w:val="single" w:sz="4" w:space="0" w:color="auto"/>
              <w:right w:val="single" w:sz="4" w:space="0" w:color="auto"/>
            </w:tcBorders>
            <w:noWrap/>
            <w:vAlign w:val="center"/>
            <w:hideMark/>
          </w:tcPr>
          <w:p w14:paraId="2E4597D1" w14:textId="77777777" w:rsidR="00C9588C" w:rsidRDefault="00C9588C">
            <w:pPr>
              <w:spacing w:after="0"/>
              <w:jc w:val="center"/>
              <w:rPr>
                <w:rFonts w:cs="Times New Roman"/>
                <w:color w:val="000000"/>
              </w:rPr>
            </w:pPr>
            <w:r>
              <w:rPr>
                <w:rFonts w:cs="Times New Roman"/>
                <w:color w:val="000000"/>
              </w:rPr>
              <w:t xml:space="preserve"> £                          100,000.00 </w:t>
            </w:r>
          </w:p>
        </w:tc>
        <w:tc>
          <w:tcPr>
            <w:tcW w:w="1190" w:type="pct"/>
            <w:tcBorders>
              <w:top w:val="nil"/>
              <w:left w:val="nil"/>
              <w:bottom w:val="single" w:sz="4" w:space="0" w:color="auto"/>
              <w:right w:val="single" w:sz="4" w:space="0" w:color="auto"/>
            </w:tcBorders>
            <w:noWrap/>
            <w:vAlign w:val="center"/>
            <w:hideMark/>
          </w:tcPr>
          <w:p w14:paraId="3EDDF528" w14:textId="77777777" w:rsidR="00C9588C" w:rsidRDefault="00C9588C">
            <w:pPr>
              <w:spacing w:after="0"/>
              <w:jc w:val="center"/>
              <w:rPr>
                <w:rFonts w:cs="Times New Roman"/>
                <w:color w:val="000000"/>
              </w:rPr>
            </w:pPr>
            <w:r>
              <w:rPr>
                <w:rFonts w:cs="Times New Roman"/>
                <w:color w:val="000000"/>
              </w:rPr>
              <w:t xml:space="preserve"> £                          100,000.00 </w:t>
            </w:r>
          </w:p>
        </w:tc>
        <w:tc>
          <w:tcPr>
            <w:tcW w:w="1138" w:type="pct"/>
            <w:tcBorders>
              <w:top w:val="nil"/>
              <w:left w:val="nil"/>
              <w:bottom w:val="single" w:sz="4" w:space="0" w:color="auto"/>
              <w:right w:val="single" w:sz="4" w:space="0" w:color="auto"/>
            </w:tcBorders>
            <w:noWrap/>
            <w:vAlign w:val="bottom"/>
            <w:hideMark/>
          </w:tcPr>
          <w:p w14:paraId="6412DD44" w14:textId="77777777" w:rsidR="00C9588C" w:rsidRDefault="00C9588C">
            <w:pPr>
              <w:spacing w:after="0"/>
              <w:jc w:val="left"/>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42BF5C75" w14:textId="77777777" w:rsidR="00C9588C" w:rsidRDefault="00C9588C">
            <w:pPr>
              <w:spacing w:after="0"/>
              <w:jc w:val="left"/>
              <w:rPr>
                <w:rFonts w:cs="Times New Roman"/>
                <w:sz w:val="20"/>
                <w:szCs w:val="20"/>
              </w:rPr>
            </w:pPr>
          </w:p>
        </w:tc>
      </w:tr>
      <w:tr w:rsidR="00C9588C" w14:paraId="4B362E87"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4D2AFD00" w14:textId="77777777" w:rsidR="00C9588C" w:rsidRDefault="00C9588C">
            <w:pPr>
              <w:spacing w:after="0"/>
              <w:jc w:val="left"/>
              <w:rPr>
                <w:rFonts w:cs="Times New Roman"/>
                <w:color w:val="000000"/>
              </w:rPr>
            </w:pPr>
            <w:r>
              <w:rPr>
                <w:rFonts w:cs="Times New Roman"/>
                <w:color w:val="000000"/>
              </w:rPr>
              <w:t>Fulltime warehouse supervisor salary</w:t>
            </w:r>
          </w:p>
        </w:tc>
        <w:tc>
          <w:tcPr>
            <w:tcW w:w="1138" w:type="pct"/>
            <w:tcBorders>
              <w:top w:val="nil"/>
              <w:left w:val="nil"/>
              <w:bottom w:val="single" w:sz="4" w:space="0" w:color="auto"/>
              <w:right w:val="single" w:sz="4" w:space="0" w:color="auto"/>
            </w:tcBorders>
            <w:noWrap/>
            <w:vAlign w:val="center"/>
            <w:hideMark/>
          </w:tcPr>
          <w:p w14:paraId="0538BD73" w14:textId="77777777" w:rsidR="00C9588C" w:rsidRDefault="00C9588C">
            <w:pPr>
              <w:spacing w:after="0"/>
              <w:jc w:val="center"/>
              <w:rPr>
                <w:rFonts w:cs="Times New Roman"/>
                <w:color w:val="000000"/>
              </w:rPr>
            </w:pPr>
            <w:r>
              <w:rPr>
                <w:rFonts w:cs="Times New Roman"/>
                <w:color w:val="000000"/>
              </w:rPr>
              <w:t xml:space="preserve"> £                            50,000.00 </w:t>
            </w:r>
          </w:p>
        </w:tc>
        <w:tc>
          <w:tcPr>
            <w:tcW w:w="1190" w:type="pct"/>
            <w:tcBorders>
              <w:top w:val="nil"/>
              <w:left w:val="nil"/>
              <w:bottom w:val="single" w:sz="4" w:space="0" w:color="auto"/>
              <w:right w:val="single" w:sz="4" w:space="0" w:color="auto"/>
            </w:tcBorders>
            <w:noWrap/>
            <w:vAlign w:val="center"/>
            <w:hideMark/>
          </w:tcPr>
          <w:p w14:paraId="6CC88D16" w14:textId="77777777" w:rsidR="00C9588C" w:rsidRDefault="00C9588C">
            <w:pPr>
              <w:spacing w:after="0"/>
              <w:jc w:val="center"/>
              <w:rPr>
                <w:rFonts w:cs="Times New Roman"/>
                <w:color w:val="000000"/>
              </w:rPr>
            </w:pPr>
            <w:r>
              <w:rPr>
                <w:rFonts w:cs="Times New Roman"/>
                <w:color w:val="000000"/>
              </w:rPr>
              <w:t xml:space="preserve"> £                            35,000.00 </w:t>
            </w:r>
          </w:p>
        </w:tc>
        <w:tc>
          <w:tcPr>
            <w:tcW w:w="1138" w:type="pct"/>
            <w:tcBorders>
              <w:top w:val="nil"/>
              <w:left w:val="nil"/>
              <w:bottom w:val="single" w:sz="4" w:space="0" w:color="auto"/>
              <w:right w:val="single" w:sz="4" w:space="0" w:color="auto"/>
            </w:tcBorders>
            <w:noWrap/>
            <w:vAlign w:val="bottom"/>
            <w:hideMark/>
          </w:tcPr>
          <w:p w14:paraId="64D97A8E" w14:textId="77777777" w:rsidR="00C9588C" w:rsidRDefault="00C9588C">
            <w:pPr>
              <w:spacing w:after="0"/>
              <w:jc w:val="left"/>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063F7347" w14:textId="77777777" w:rsidR="00C9588C" w:rsidRDefault="00C9588C">
            <w:pPr>
              <w:spacing w:after="0"/>
              <w:jc w:val="left"/>
              <w:rPr>
                <w:rFonts w:cs="Times New Roman"/>
                <w:sz w:val="20"/>
                <w:szCs w:val="20"/>
              </w:rPr>
            </w:pPr>
          </w:p>
        </w:tc>
      </w:tr>
      <w:tr w:rsidR="00C9588C" w14:paraId="0DBC8EE9" w14:textId="77777777" w:rsidTr="00C9588C">
        <w:trPr>
          <w:trHeight w:val="315"/>
        </w:trPr>
        <w:tc>
          <w:tcPr>
            <w:tcW w:w="1446" w:type="pct"/>
            <w:tcBorders>
              <w:top w:val="nil"/>
              <w:left w:val="single" w:sz="4" w:space="0" w:color="auto"/>
              <w:bottom w:val="single" w:sz="4" w:space="0" w:color="auto"/>
              <w:right w:val="single" w:sz="4" w:space="0" w:color="auto"/>
            </w:tcBorders>
            <w:noWrap/>
            <w:vAlign w:val="center"/>
            <w:hideMark/>
          </w:tcPr>
          <w:p w14:paraId="78A3D2AC" w14:textId="77777777" w:rsidR="00C9588C" w:rsidRDefault="00C9588C">
            <w:pPr>
              <w:spacing w:after="0"/>
              <w:jc w:val="left"/>
              <w:rPr>
                <w:rFonts w:cs="Times New Roman"/>
                <w:color w:val="000000"/>
              </w:rPr>
            </w:pPr>
            <w:r>
              <w:rPr>
                <w:rFonts w:cs="Times New Roman"/>
                <w:color w:val="000000"/>
              </w:rPr>
              <w:t>Total Fixed cost</w:t>
            </w:r>
          </w:p>
        </w:tc>
        <w:tc>
          <w:tcPr>
            <w:tcW w:w="1138" w:type="pct"/>
            <w:tcBorders>
              <w:top w:val="nil"/>
              <w:left w:val="nil"/>
              <w:bottom w:val="single" w:sz="4" w:space="0" w:color="auto"/>
              <w:right w:val="single" w:sz="4" w:space="0" w:color="auto"/>
            </w:tcBorders>
            <w:noWrap/>
            <w:vAlign w:val="bottom"/>
            <w:hideMark/>
          </w:tcPr>
          <w:p w14:paraId="3FD60453" w14:textId="77777777" w:rsidR="00C9588C" w:rsidRDefault="00C9588C">
            <w:pPr>
              <w:spacing w:after="0"/>
              <w:jc w:val="center"/>
              <w:rPr>
                <w:rFonts w:cs="Times New Roman"/>
                <w:color w:val="000000"/>
              </w:rPr>
            </w:pPr>
            <w:r>
              <w:rPr>
                <w:rFonts w:cs="Times New Roman"/>
                <w:color w:val="000000"/>
              </w:rPr>
              <w:t xml:space="preserve"> £                          350,000.00 </w:t>
            </w:r>
          </w:p>
        </w:tc>
        <w:tc>
          <w:tcPr>
            <w:tcW w:w="1190" w:type="pct"/>
            <w:tcBorders>
              <w:top w:val="nil"/>
              <w:left w:val="nil"/>
              <w:bottom w:val="single" w:sz="4" w:space="0" w:color="auto"/>
              <w:right w:val="single" w:sz="4" w:space="0" w:color="auto"/>
            </w:tcBorders>
            <w:noWrap/>
            <w:vAlign w:val="bottom"/>
            <w:hideMark/>
          </w:tcPr>
          <w:p w14:paraId="1070B71A" w14:textId="77777777" w:rsidR="00C9588C" w:rsidRDefault="00C9588C">
            <w:pPr>
              <w:spacing w:after="0"/>
              <w:jc w:val="center"/>
              <w:rPr>
                <w:rFonts w:cs="Times New Roman"/>
                <w:color w:val="000000"/>
              </w:rPr>
            </w:pPr>
            <w:r>
              <w:rPr>
                <w:rFonts w:cs="Times New Roman"/>
                <w:color w:val="000000"/>
              </w:rPr>
              <w:t xml:space="preserve"> £                          305,000.00 </w:t>
            </w:r>
          </w:p>
        </w:tc>
        <w:tc>
          <w:tcPr>
            <w:tcW w:w="1138" w:type="pct"/>
            <w:tcBorders>
              <w:top w:val="nil"/>
              <w:left w:val="nil"/>
              <w:bottom w:val="single" w:sz="4" w:space="0" w:color="auto"/>
              <w:right w:val="single" w:sz="4" w:space="0" w:color="auto"/>
            </w:tcBorders>
            <w:noWrap/>
            <w:vAlign w:val="bottom"/>
            <w:hideMark/>
          </w:tcPr>
          <w:p w14:paraId="4F2D16D8" w14:textId="77777777" w:rsidR="00C9588C" w:rsidRDefault="00C9588C">
            <w:pPr>
              <w:spacing w:after="0"/>
              <w:jc w:val="left"/>
              <w:rPr>
                <w:rFonts w:cs="Times New Roman"/>
                <w:color w:val="000000"/>
              </w:rPr>
            </w:pPr>
            <w:r>
              <w:rPr>
                <w:rFonts w:cs="Times New Roman"/>
                <w:color w:val="000000"/>
              </w:rPr>
              <w:t> </w:t>
            </w:r>
          </w:p>
        </w:tc>
        <w:tc>
          <w:tcPr>
            <w:tcW w:w="89" w:type="pct"/>
            <w:tcBorders>
              <w:top w:val="nil"/>
              <w:left w:val="nil"/>
              <w:bottom w:val="nil"/>
              <w:right w:val="nil"/>
            </w:tcBorders>
            <w:vAlign w:val="center"/>
          </w:tcPr>
          <w:p w14:paraId="0FD2315E" w14:textId="77777777" w:rsidR="00C9588C" w:rsidRDefault="00C9588C">
            <w:pPr>
              <w:spacing w:after="0"/>
              <w:jc w:val="left"/>
              <w:rPr>
                <w:rFonts w:cs="Times New Roman"/>
                <w:sz w:val="20"/>
                <w:szCs w:val="20"/>
              </w:rPr>
            </w:pPr>
          </w:p>
        </w:tc>
      </w:tr>
    </w:tbl>
    <w:p w14:paraId="15C3371F" w14:textId="77777777" w:rsidR="00C9588C" w:rsidRDefault="00C9588C" w:rsidP="00C9588C">
      <w:r>
        <w:t xml:space="preserve"> </w:t>
      </w:r>
    </w:p>
    <w:p w14:paraId="0034D43B" w14:textId="77777777" w:rsidR="00642228" w:rsidRDefault="00642228" w:rsidP="00C9588C"/>
    <w:p w14:paraId="784CCB89" w14:textId="77777777" w:rsidR="00642228" w:rsidRDefault="00642228" w:rsidP="00C9588C"/>
    <w:p w14:paraId="079D53EB" w14:textId="77777777" w:rsidR="00642228" w:rsidRDefault="00642228" w:rsidP="00C9588C"/>
    <w:p w14:paraId="7D2655C2" w14:textId="35292C82" w:rsidR="00C9588C" w:rsidRDefault="00C9588C" w:rsidP="00C9588C">
      <w:r>
        <w:t>Now,</w:t>
      </w:r>
    </w:p>
    <w:p w14:paraId="42B4E7D7" w14:textId="330C9B8B" w:rsidR="00C9588C" w:rsidRDefault="00C9588C" w:rsidP="00C9588C">
      <w:r>
        <w:rPr>
          <w:noProof/>
        </w:rPr>
        <w:lastRenderedPageBreak/>
        <w:drawing>
          <wp:inline distT="0" distB="0" distL="0" distR="0" wp14:anchorId="2287EE0D" wp14:editId="060CC5CA">
            <wp:extent cx="5731510" cy="5180330"/>
            <wp:effectExtent l="0" t="0" r="254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180330"/>
                    </a:xfrm>
                    <a:prstGeom prst="rect">
                      <a:avLst/>
                    </a:prstGeom>
                    <a:noFill/>
                    <a:ln>
                      <a:noFill/>
                    </a:ln>
                  </pic:spPr>
                </pic:pic>
              </a:graphicData>
            </a:graphic>
          </wp:inline>
        </w:drawing>
      </w:r>
      <w:r>
        <w:t xml:space="preserve"> </w:t>
      </w:r>
    </w:p>
    <w:p w14:paraId="312F0064" w14:textId="77777777" w:rsidR="00C9588C" w:rsidRDefault="00C9588C" w:rsidP="00C9588C">
      <w:r>
        <w:t>Here,</w:t>
      </w:r>
    </w:p>
    <w:p w14:paraId="732EDBA2" w14:textId="77777777" w:rsidR="00C9588C" w:rsidRDefault="00C9588C" w:rsidP="00C9588C">
      <w:pPr>
        <w:pStyle w:val="ListParagraph"/>
        <w:numPr>
          <w:ilvl w:val="0"/>
          <w:numId w:val="2"/>
        </w:numPr>
      </w:pPr>
      <w:r>
        <w:t>Sales revenue is unfavourable because the budgeted unit price is higher than the actual revenue.</w:t>
      </w:r>
    </w:p>
    <w:p w14:paraId="67ACD7DA" w14:textId="77777777" w:rsidR="00C9588C" w:rsidRDefault="00C9588C" w:rsidP="00C9588C">
      <w:pPr>
        <w:pStyle w:val="ListParagraph"/>
        <w:numPr>
          <w:ilvl w:val="0"/>
          <w:numId w:val="2"/>
        </w:numPr>
      </w:pPr>
      <w:r>
        <w:t xml:space="preserve">Material cost and Labour cost are also unfavourable because the per-unit costs are lower in the budget. </w:t>
      </w:r>
    </w:p>
    <w:p w14:paraId="6CE1A5BA" w14:textId="77777777" w:rsidR="00C9588C" w:rsidRDefault="00C9588C" w:rsidP="00C9588C">
      <w:pPr>
        <w:pStyle w:val="ListParagraph"/>
        <w:numPr>
          <w:ilvl w:val="0"/>
          <w:numId w:val="2"/>
        </w:numPr>
      </w:pPr>
      <w:r>
        <w:t>Contribution margin and the profit both are unfavourable because of higher material cost, labour cost, and lower sales revenue.</w:t>
      </w:r>
    </w:p>
    <w:p w14:paraId="279FC11D" w14:textId="77777777" w:rsidR="00C9588C" w:rsidRDefault="00C9588C" w:rsidP="00C9588C">
      <w:pPr>
        <w:pStyle w:val="Heading2"/>
        <w:rPr>
          <w:b/>
          <w:bCs/>
        </w:rPr>
      </w:pPr>
      <w:bookmarkStart w:id="6" w:name="_Toc102251082"/>
      <w:bookmarkStart w:id="7" w:name="_Toc102488377"/>
      <w:bookmarkEnd w:id="6"/>
      <w:r>
        <w:rPr>
          <w:b/>
          <w:bCs/>
        </w:rPr>
        <w:t>Requirement 2: Report on Amana’s Performance</w:t>
      </w:r>
      <w:bookmarkEnd w:id="7"/>
    </w:p>
    <w:p w14:paraId="36C048C8" w14:textId="77777777" w:rsidR="00C9588C" w:rsidRDefault="00C9588C" w:rsidP="00C9588C">
      <w:r>
        <w:t xml:space="preserve">In the requirement 1, two budget variances have been prepared; one is the original budget variance, and another is the flexible budget variance. In the budget analysis, some unfavourable </w:t>
      </w:r>
      <w:r>
        <w:lastRenderedPageBreak/>
        <w:t>variances have been found. Based on the unfavourable variances and the favourable variances, the performance of Amana Limited has been analysed.</w:t>
      </w:r>
    </w:p>
    <w:p w14:paraId="09B4F2EE" w14:textId="77777777" w:rsidR="00C9588C" w:rsidRDefault="00C9588C" w:rsidP="00C9588C">
      <w:pPr>
        <w:rPr>
          <w:b/>
          <w:bCs/>
        </w:rPr>
      </w:pPr>
      <w:r>
        <w:rPr>
          <w:b/>
          <w:bCs/>
        </w:rPr>
        <w:t xml:space="preserve">Performance in terms of Sales Revenue </w:t>
      </w:r>
    </w:p>
    <w:p w14:paraId="7DD858DE" w14:textId="473978F6" w:rsidR="00C9588C" w:rsidRDefault="00C9588C" w:rsidP="00C9588C">
      <w:r>
        <w:t xml:space="preserve">Amana Limited is a family-owned company and due to COVID-19, the company has faced various struggles in its financial performance. From the budget analysis, it has been found that the company had a poor performance during the COVID period. As it has sold less at a low price. In the activity variance, the company had an unfavourable variance and in the price variance, it had also the same unfavourable variance. Because the company’s product is a tourist souvenir. During a financial year, there is various </w:t>
      </w:r>
      <w:r w:rsidR="00642228">
        <w:t>tourists’</w:t>
      </w:r>
      <w:r>
        <w:t xml:space="preserve"> and people love to buy a souvenir from their tour. But during the COVID period, the entire world had to face lockdown and it was impossible for making or planning a tour. But </w:t>
      </w:r>
      <w:r w:rsidR="00872CBB">
        <w:t>despite</w:t>
      </w:r>
      <w:r>
        <w:t xml:space="preserve"> such a pandemic situation, the company has managed to sell 80,000 units at 20 per value. Obviously compared to other industries, the company has done a pretty good job. But </w:t>
      </w:r>
      <w:r w:rsidR="00872CBB">
        <w:t>despite</w:t>
      </w:r>
      <w:r>
        <w:t xml:space="preserve"> performing well, the company has an unfavourable variance. Here performance is not the matter rather the matter is that the management has not prepared the budget based on the current market situation or did not revise the budget after the pandemic has arrived (</w:t>
      </w:r>
      <w:r>
        <w:rPr>
          <w:rFonts w:cs="Times New Roman"/>
          <w:color w:val="222222"/>
          <w:shd w:val="clear" w:color="auto" w:fill="FFFFFF"/>
        </w:rPr>
        <w:t>Kaplan, 2019)</w:t>
      </w:r>
      <w:r>
        <w:t xml:space="preserve">. So, it is not always the staff rather the management should also need to be conscious while making the budget.  </w:t>
      </w:r>
    </w:p>
    <w:p w14:paraId="6FD636A1" w14:textId="77777777" w:rsidR="00C9588C" w:rsidRDefault="00C9588C" w:rsidP="00C9588C">
      <w:pPr>
        <w:rPr>
          <w:b/>
          <w:bCs/>
        </w:rPr>
      </w:pPr>
      <w:r>
        <w:rPr>
          <w:b/>
          <w:bCs/>
        </w:rPr>
        <w:t>Performance in terms of Variable Expense</w:t>
      </w:r>
    </w:p>
    <w:p w14:paraId="07FAB39B" w14:textId="77777777" w:rsidR="00C9588C" w:rsidRDefault="00C9588C" w:rsidP="00C9588C">
      <w:r>
        <w:t>The company has three variable costs: Materials costs, Labour costs, and Overhead costs. While comparing with the original budget, both the material cost and the labour cost have unfavourable variance. But it is to be known that when the quantity is high, the variable cost is also high. In the case of the original budget, the quantity was higher than the actual. Still, these two costs have unfavourable variance. It means that the per unit materials cost and labour cost have increased so much higher that even though selling less quantity, the company has incurred higher variable costs. This has occurred for two reasons: one is due to the higher inflation rate as a result of pandemic. It is a common phenomenon that during the period of the pandemic, the price of elements increases, and the other reason is that the management has not analysed the market properly.</w:t>
      </w:r>
    </w:p>
    <w:p w14:paraId="37C8F130" w14:textId="77777777" w:rsidR="00C9588C" w:rsidRDefault="00C9588C" w:rsidP="00C9588C">
      <w:pPr>
        <w:rPr>
          <w:b/>
          <w:bCs/>
        </w:rPr>
      </w:pPr>
      <w:r>
        <w:rPr>
          <w:b/>
          <w:bCs/>
        </w:rPr>
        <w:t>Performance in terms of Fixed Costs</w:t>
      </w:r>
    </w:p>
    <w:p w14:paraId="32D99AE6" w14:textId="77777777" w:rsidR="00C9588C" w:rsidRDefault="00C9588C" w:rsidP="00C9588C">
      <w:r>
        <w:lastRenderedPageBreak/>
        <w:t>The company has three fixed costs: Warehouse rent, Insurance, and supervisor’s salary. As during the financial year, the company’s sales dropped, they had little inventory to hold. Due to this reason, the company has favourable cost variance (</w:t>
      </w:r>
      <w:r>
        <w:rPr>
          <w:rFonts w:cs="Times New Roman"/>
          <w:color w:val="222222"/>
          <w:shd w:val="clear" w:color="auto" w:fill="FFFFFF"/>
        </w:rPr>
        <w:t>Hansen et al, 2021)</w:t>
      </w:r>
      <w:r>
        <w:t xml:space="preserve">. On the other hand, Insurance expenses cannot be ignored or decreased. So, there is no variance. It is a common scenario of the current pandemic that maximum companies have cut the salary of the employees. There is a high chance that Amana Limited has also cut the manager’s salary and as a result, the salary of the manager has a favourable variance. So, there is no performance of the company rather the management has not prepared the budget properly. </w:t>
      </w:r>
    </w:p>
    <w:p w14:paraId="611848F0" w14:textId="77777777" w:rsidR="00C9588C" w:rsidRDefault="00C9588C" w:rsidP="00C9588C">
      <w:pPr>
        <w:rPr>
          <w:b/>
          <w:bCs/>
        </w:rPr>
      </w:pPr>
      <w:r>
        <w:rPr>
          <w:b/>
          <w:bCs/>
        </w:rPr>
        <w:t>Contribution Margin and Profit</w:t>
      </w:r>
    </w:p>
    <w:p w14:paraId="7BB301CA" w14:textId="77777777" w:rsidR="00C9588C" w:rsidRDefault="00C9588C" w:rsidP="00C9588C">
      <w:r>
        <w:t>As sales revenue is low, and variable cost is high, in the case of both the budget analysis, the company has a low contribution margin and profit.</w:t>
      </w:r>
    </w:p>
    <w:p w14:paraId="1D58A416" w14:textId="77777777" w:rsidR="00C9588C" w:rsidRDefault="00C9588C" w:rsidP="00C9588C">
      <w:pPr>
        <w:pStyle w:val="Heading2"/>
        <w:rPr>
          <w:b/>
          <w:bCs/>
        </w:rPr>
      </w:pPr>
      <w:bookmarkStart w:id="8" w:name="_Toc102251083"/>
      <w:bookmarkStart w:id="9" w:name="_Toc102488378"/>
      <w:bookmarkEnd w:id="8"/>
      <w:r>
        <w:rPr>
          <w:b/>
          <w:bCs/>
        </w:rPr>
        <w:t>Requirement 3: Recommendations</w:t>
      </w:r>
      <w:bookmarkEnd w:id="9"/>
    </w:p>
    <w:p w14:paraId="6C9BA3A6" w14:textId="77777777" w:rsidR="00C9588C" w:rsidRDefault="00C9588C" w:rsidP="00C9588C">
      <w:r>
        <w:t>From the budget analysis of Amana Limited some performance deficiencies and based on the analysis following recommendations have been made:</w:t>
      </w:r>
    </w:p>
    <w:p w14:paraId="29E21855" w14:textId="77777777" w:rsidR="00C9588C" w:rsidRDefault="00C9588C" w:rsidP="00C9588C">
      <w:pPr>
        <w:pStyle w:val="ListParagraph"/>
        <w:numPr>
          <w:ilvl w:val="0"/>
          <w:numId w:val="2"/>
        </w:numPr>
      </w:pPr>
      <w:r>
        <w:t>The company’s management should first analysis the company’s own position in the market.</w:t>
      </w:r>
    </w:p>
    <w:p w14:paraId="61CC46A0" w14:textId="77777777" w:rsidR="00C9588C" w:rsidRDefault="00C9588C" w:rsidP="00C9588C">
      <w:pPr>
        <w:pStyle w:val="ListParagraph"/>
        <w:numPr>
          <w:ilvl w:val="0"/>
          <w:numId w:val="2"/>
        </w:numPr>
      </w:pPr>
      <w:r>
        <w:t>Then the company should analysis the market and industry situation along with the market demand, competitors’ position, inflation rate, etc.</w:t>
      </w:r>
    </w:p>
    <w:p w14:paraId="74BE487B" w14:textId="77777777" w:rsidR="00C9588C" w:rsidRDefault="00C9588C" w:rsidP="00C9588C">
      <w:pPr>
        <w:pStyle w:val="ListParagraph"/>
        <w:numPr>
          <w:ilvl w:val="0"/>
          <w:numId w:val="2"/>
        </w:numPr>
      </w:pPr>
      <w:r>
        <w:t>Then the company should prepare the budget based on the current analysis not based on the historical information. And if there are any market changes that occur, then the management should revise the budget.</w:t>
      </w:r>
    </w:p>
    <w:p w14:paraId="42EF8727" w14:textId="77777777" w:rsidR="00C9588C" w:rsidRDefault="00C9588C" w:rsidP="00C9588C">
      <w:pPr>
        <w:pStyle w:val="ListParagraph"/>
        <w:numPr>
          <w:ilvl w:val="0"/>
          <w:numId w:val="2"/>
        </w:numPr>
      </w:pPr>
      <w:r>
        <w:t>Company’s material price and labour price are fluctuating costs. It should hire permanent or contract-based employees so that the labour cost does not fluctuate at a higher rate (</w:t>
      </w:r>
      <w:r>
        <w:rPr>
          <w:rFonts w:cs="Times New Roman"/>
          <w:color w:val="222222"/>
          <w:shd w:val="clear" w:color="auto" w:fill="FFFFFF"/>
        </w:rPr>
        <w:t>Hansen et al, 2021)</w:t>
      </w:r>
      <w:r>
        <w:t xml:space="preserve">. It should also make an agreement with the suppliers so that the materials cost also does not fluctuate. </w:t>
      </w:r>
    </w:p>
    <w:p w14:paraId="7A20AF5E" w14:textId="77777777" w:rsidR="00C9588C" w:rsidRDefault="00C9588C" w:rsidP="00C9588C">
      <w:pPr>
        <w:pStyle w:val="Heading1"/>
        <w:rPr>
          <w:kern w:val="36"/>
        </w:rPr>
      </w:pPr>
      <w:bookmarkStart w:id="10" w:name="_Toc102251084"/>
      <w:bookmarkStart w:id="11" w:name="_Toc102488379"/>
      <w:bookmarkEnd w:id="10"/>
      <w:r>
        <w:rPr>
          <w:kern w:val="36"/>
        </w:rPr>
        <w:t>Part B</w:t>
      </w:r>
      <w:bookmarkEnd w:id="11"/>
    </w:p>
    <w:p w14:paraId="52F49EEF" w14:textId="0CD9E4CD" w:rsidR="00C9588C" w:rsidRDefault="00C9588C" w:rsidP="00C9588C">
      <w:r>
        <w:t xml:space="preserve">Amana Limited is a British-based family-owned company that sells tourist souvenirs. But due to the COVID-19 pandemic, the company had sold less </w:t>
      </w:r>
      <w:r w:rsidR="00642228">
        <w:t>than</w:t>
      </w:r>
      <w:r>
        <w:t xml:space="preserve"> the expectation. After analysing </w:t>
      </w:r>
      <w:r>
        <w:lastRenderedPageBreak/>
        <w:t>the current market, the management of the company has found that the maximum of their competitors has moved to online. And there are several benefits of the company selling through online. Those have been listed below:</w:t>
      </w:r>
    </w:p>
    <w:p w14:paraId="0D822559" w14:textId="77777777" w:rsidR="00C9588C" w:rsidRDefault="00C9588C" w:rsidP="00C9588C">
      <w:pPr>
        <w:pStyle w:val="ListParagraph"/>
        <w:numPr>
          <w:ilvl w:val="0"/>
          <w:numId w:val="2"/>
        </w:numPr>
      </w:pPr>
      <w:r>
        <w:t>The company will be incurring less rental cost as it will not require as much physical shop in case of online selling.</w:t>
      </w:r>
    </w:p>
    <w:p w14:paraId="54DF77BC" w14:textId="77777777" w:rsidR="00C9588C" w:rsidRDefault="00C9588C" w:rsidP="00C9588C">
      <w:pPr>
        <w:pStyle w:val="ListParagraph"/>
        <w:numPr>
          <w:ilvl w:val="0"/>
          <w:numId w:val="2"/>
        </w:numPr>
      </w:pPr>
      <w:r>
        <w:t>The utility costs will be decreased because there will be fewer shops. As a result, the company will be able to incur fewer break-even points.</w:t>
      </w:r>
    </w:p>
    <w:p w14:paraId="1C014E2D" w14:textId="77777777" w:rsidR="00C9588C" w:rsidRDefault="00C9588C" w:rsidP="00C9588C">
      <w:pPr>
        <w:pStyle w:val="ListParagraph"/>
        <w:numPr>
          <w:ilvl w:val="0"/>
          <w:numId w:val="2"/>
        </w:numPr>
      </w:pPr>
      <w:r>
        <w:t>Even the company can sell during the pandemic also as customers can order their desired products via online.</w:t>
      </w:r>
    </w:p>
    <w:p w14:paraId="7920D6E1" w14:textId="77777777" w:rsidR="00C9588C" w:rsidRDefault="00C9588C" w:rsidP="00C9588C">
      <w:pPr>
        <w:pStyle w:val="ListParagraph"/>
        <w:numPr>
          <w:ilvl w:val="0"/>
          <w:numId w:val="2"/>
        </w:numPr>
      </w:pPr>
      <w:r>
        <w:t xml:space="preserve">By shifting to online, the company will be able to target the international market also and it will increase the market growth of the company as well as the sales revenue. </w:t>
      </w:r>
    </w:p>
    <w:p w14:paraId="7BE08154" w14:textId="77777777" w:rsidR="00C9588C" w:rsidRDefault="00C9588C" w:rsidP="00C9588C">
      <w:r>
        <w:t xml:space="preserve">Currently, Amana has two alternatives for online selling. One is its own website, and another is Amazon. Both the alternatives are associated with some financial and non-financial factors. </w:t>
      </w:r>
    </w:p>
    <w:p w14:paraId="6ECE5CA3" w14:textId="77777777" w:rsidR="00C9588C" w:rsidRDefault="00C9588C" w:rsidP="00C9588C">
      <w:pPr>
        <w:pStyle w:val="ListParagraph"/>
        <w:numPr>
          <w:ilvl w:val="0"/>
          <w:numId w:val="3"/>
        </w:numPr>
      </w:pPr>
      <w:r>
        <w:t>Own Website</w:t>
      </w:r>
    </w:p>
    <w:p w14:paraId="7DC4D36B" w14:textId="77777777" w:rsidR="00C9588C" w:rsidRDefault="00C9588C" w:rsidP="00C9588C">
      <w:r>
        <w:t>Financial information,</w:t>
      </w:r>
    </w:p>
    <w:tbl>
      <w:tblPr>
        <w:tblW w:w="5000" w:type="pct"/>
        <w:tblLook w:val="04A0" w:firstRow="1" w:lastRow="0" w:firstColumn="1" w:lastColumn="0" w:noHBand="0" w:noVBand="1"/>
      </w:tblPr>
      <w:tblGrid>
        <w:gridCol w:w="865"/>
        <w:gridCol w:w="5577"/>
        <w:gridCol w:w="894"/>
        <w:gridCol w:w="1680"/>
      </w:tblGrid>
      <w:tr w:rsidR="00C9588C" w14:paraId="3B68886B" w14:textId="77777777" w:rsidTr="00C9588C">
        <w:trPr>
          <w:trHeight w:val="315"/>
        </w:trPr>
        <w:tc>
          <w:tcPr>
            <w:tcW w:w="364" w:type="pct"/>
            <w:tcBorders>
              <w:top w:val="single" w:sz="4" w:space="0" w:color="auto"/>
              <w:left w:val="single" w:sz="4" w:space="0" w:color="auto"/>
              <w:bottom w:val="single" w:sz="4" w:space="0" w:color="auto"/>
              <w:right w:val="single" w:sz="4" w:space="0" w:color="auto"/>
            </w:tcBorders>
            <w:noWrap/>
            <w:vAlign w:val="bottom"/>
            <w:hideMark/>
          </w:tcPr>
          <w:p w14:paraId="02EFB9F8" w14:textId="77777777" w:rsidR="00C9588C" w:rsidRDefault="00C9588C">
            <w:pPr>
              <w:spacing w:after="0"/>
              <w:jc w:val="center"/>
              <w:rPr>
                <w:rFonts w:cs="Times New Roman"/>
                <w:color w:val="000000"/>
              </w:rPr>
            </w:pPr>
            <w:r>
              <w:rPr>
                <w:rFonts w:cs="Times New Roman"/>
                <w:color w:val="000000"/>
              </w:rPr>
              <w:t>SL. No,</w:t>
            </w:r>
          </w:p>
        </w:tc>
        <w:tc>
          <w:tcPr>
            <w:tcW w:w="2687" w:type="pct"/>
            <w:tcBorders>
              <w:top w:val="single" w:sz="4" w:space="0" w:color="auto"/>
              <w:left w:val="nil"/>
              <w:bottom w:val="single" w:sz="4" w:space="0" w:color="auto"/>
              <w:right w:val="single" w:sz="4" w:space="0" w:color="auto"/>
            </w:tcBorders>
            <w:noWrap/>
            <w:vAlign w:val="bottom"/>
            <w:hideMark/>
          </w:tcPr>
          <w:p w14:paraId="41BE0994" w14:textId="77777777" w:rsidR="00C9588C" w:rsidRDefault="00C9588C">
            <w:pPr>
              <w:spacing w:after="0"/>
              <w:jc w:val="center"/>
              <w:rPr>
                <w:rFonts w:cs="Times New Roman"/>
                <w:color w:val="000000"/>
              </w:rPr>
            </w:pPr>
            <w:r>
              <w:rPr>
                <w:rFonts w:cs="Times New Roman"/>
                <w:color w:val="000000"/>
              </w:rPr>
              <w:t>Cost</w:t>
            </w:r>
          </w:p>
        </w:tc>
        <w:tc>
          <w:tcPr>
            <w:tcW w:w="710" w:type="pct"/>
            <w:tcBorders>
              <w:top w:val="single" w:sz="4" w:space="0" w:color="auto"/>
              <w:left w:val="nil"/>
              <w:bottom w:val="single" w:sz="4" w:space="0" w:color="auto"/>
              <w:right w:val="single" w:sz="4" w:space="0" w:color="auto"/>
            </w:tcBorders>
            <w:noWrap/>
            <w:vAlign w:val="bottom"/>
            <w:hideMark/>
          </w:tcPr>
          <w:p w14:paraId="32824C3C" w14:textId="77777777" w:rsidR="00C9588C" w:rsidRDefault="00C9588C">
            <w:pPr>
              <w:spacing w:after="0"/>
              <w:jc w:val="center"/>
              <w:rPr>
                <w:rFonts w:cs="Times New Roman"/>
                <w:color w:val="000000"/>
              </w:rPr>
            </w:pPr>
            <w:r>
              <w:rPr>
                <w:rFonts w:cs="Times New Roman"/>
                <w:color w:val="000000"/>
              </w:rPr>
              <w:t>Amount</w:t>
            </w:r>
          </w:p>
        </w:tc>
        <w:tc>
          <w:tcPr>
            <w:tcW w:w="1238" w:type="pct"/>
            <w:tcBorders>
              <w:top w:val="single" w:sz="4" w:space="0" w:color="auto"/>
              <w:left w:val="nil"/>
              <w:bottom w:val="single" w:sz="4" w:space="0" w:color="auto"/>
              <w:right w:val="single" w:sz="4" w:space="0" w:color="auto"/>
            </w:tcBorders>
            <w:noWrap/>
            <w:vAlign w:val="bottom"/>
            <w:hideMark/>
          </w:tcPr>
          <w:p w14:paraId="4BB35FA1" w14:textId="77777777" w:rsidR="00C9588C" w:rsidRDefault="00C9588C">
            <w:pPr>
              <w:spacing w:after="0"/>
              <w:jc w:val="center"/>
              <w:rPr>
                <w:rFonts w:cs="Times New Roman"/>
                <w:color w:val="000000"/>
              </w:rPr>
            </w:pPr>
            <w:r>
              <w:rPr>
                <w:rFonts w:cs="Times New Roman"/>
                <w:color w:val="000000"/>
              </w:rPr>
              <w:t>Types of cost</w:t>
            </w:r>
          </w:p>
        </w:tc>
      </w:tr>
      <w:tr w:rsidR="00C9588C" w14:paraId="775859EC" w14:textId="77777777" w:rsidTr="00C9588C">
        <w:trPr>
          <w:trHeight w:val="315"/>
        </w:trPr>
        <w:tc>
          <w:tcPr>
            <w:tcW w:w="364" w:type="pct"/>
            <w:tcBorders>
              <w:top w:val="nil"/>
              <w:left w:val="single" w:sz="4" w:space="0" w:color="auto"/>
              <w:bottom w:val="single" w:sz="4" w:space="0" w:color="auto"/>
              <w:right w:val="single" w:sz="4" w:space="0" w:color="auto"/>
            </w:tcBorders>
            <w:noWrap/>
            <w:vAlign w:val="bottom"/>
            <w:hideMark/>
          </w:tcPr>
          <w:p w14:paraId="34463E0C" w14:textId="77777777" w:rsidR="00C9588C" w:rsidRDefault="00C9588C">
            <w:pPr>
              <w:spacing w:after="0"/>
              <w:rPr>
                <w:rFonts w:cs="Times New Roman"/>
                <w:color w:val="000000"/>
              </w:rPr>
            </w:pPr>
            <w:r>
              <w:rPr>
                <w:rFonts w:cs="Times New Roman"/>
                <w:color w:val="000000"/>
              </w:rPr>
              <w:t>1</w:t>
            </w:r>
          </w:p>
        </w:tc>
        <w:tc>
          <w:tcPr>
            <w:tcW w:w="2687" w:type="pct"/>
            <w:tcBorders>
              <w:top w:val="nil"/>
              <w:left w:val="nil"/>
              <w:bottom w:val="single" w:sz="4" w:space="0" w:color="auto"/>
              <w:right w:val="single" w:sz="4" w:space="0" w:color="auto"/>
            </w:tcBorders>
            <w:noWrap/>
            <w:vAlign w:val="bottom"/>
            <w:hideMark/>
          </w:tcPr>
          <w:p w14:paraId="05C72FA6" w14:textId="77777777" w:rsidR="00C9588C" w:rsidRDefault="00C9588C">
            <w:pPr>
              <w:spacing w:after="0"/>
              <w:rPr>
                <w:rFonts w:cs="Times New Roman"/>
                <w:color w:val="000000"/>
              </w:rPr>
            </w:pPr>
            <w:r>
              <w:rPr>
                <w:rFonts w:cs="Times New Roman"/>
                <w:color w:val="000000"/>
              </w:rPr>
              <w:t>Cost of setting up a delivery network</w:t>
            </w:r>
          </w:p>
        </w:tc>
        <w:tc>
          <w:tcPr>
            <w:tcW w:w="710" w:type="pct"/>
            <w:tcBorders>
              <w:top w:val="nil"/>
              <w:left w:val="nil"/>
              <w:bottom w:val="single" w:sz="4" w:space="0" w:color="auto"/>
              <w:right w:val="single" w:sz="4" w:space="0" w:color="auto"/>
            </w:tcBorders>
            <w:noWrap/>
            <w:vAlign w:val="bottom"/>
            <w:hideMark/>
          </w:tcPr>
          <w:p w14:paraId="457BAC40" w14:textId="77777777" w:rsidR="00C9588C" w:rsidRDefault="00C9588C">
            <w:pPr>
              <w:spacing w:after="0"/>
              <w:rPr>
                <w:rFonts w:cs="Times New Roman"/>
                <w:color w:val="000000"/>
              </w:rPr>
            </w:pPr>
            <w:r>
              <w:rPr>
                <w:rFonts w:cs="Times New Roman"/>
                <w:color w:val="000000"/>
              </w:rPr>
              <w:t>150,000</w:t>
            </w:r>
          </w:p>
        </w:tc>
        <w:tc>
          <w:tcPr>
            <w:tcW w:w="1238" w:type="pct"/>
            <w:tcBorders>
              <w:top w:val="nil"/>
              <w:left w:val="nil"/>
              <w:bottom w:val="single" w:sz="4" w:space="0" w:color="auto"/>
              <w:right w:val="single" w:sz="4" w:space="0" w:color="auto"/>
            </w:tcBorders>
            <w:noWrap/>
            <w:vAlign w:val="bottom"/>
            <w:hideMark/>
          </w:tcPr>
          <w:p w14:paraId="348BEEE3" w14:textId="77777777" w:rsidR="00C9588C" w:rsidRDefault="00C9588C">
            <w:pPr>
              <w:spacing w:after="0"/>
              <w:rPr>
                <w:rFonts w:cs="Times New Roman"/>
                <w:color w:val="000000"/>
              </w:rPr>
            </w:pPr>
            <w:r>
              <w:rPr>
                <w:rFonts w:cs="Times New Roman"/>
                <w:color w:val="000000"/>
              </w:rPr>
              <w:t>Initial Investment</w:t>
            </w:r>
          </w:p>
        </w:tc>
      </w:tr>
      <w:tr w:rsidR="00C9588C" w14:paraId="0C513368" w14:textId="77777777" w:rsidTr="00C9588C">
        <w:trPr>
          <w:trHeight w:val="315"/>
        </w:trPr>
        <w:tc>
          <w:tcPr>
            <w:tcW w:w="364" w:type="pct"/>
            <w:tcBorders>
              <w:top w:val="nil"/>
              <w:left w:val="single" w:sz="4" w:space="0" w:color="auto"/>
              <w:bottom w:val="single" w:sz="4" w:space="0" w:color="auto"/>
              <w:right w:val="single" w:sz="4" w:space="0" w:color="auto"/>
            </w:tcBorders>
            <w:noWrap/>
            <w:vAlign w:val="bottom"/>
            <w:hideMark/>
          </w:tcPr>
          <w:p w14:paraId="137E9C50" w14:textId="77777777" w:rsidR="00C9588C" w:rsidRDefault="00C9588C">
            <w:pPr>
              <w:spacing w:after="0"/>
              <w:rPr>
                <w:rFonts w:cs="Times New Roman"/>
                <w:color w:val="000000"/>
              </w:rPr>
            </w:pPr>
            <w:r>
              <w:rPr>
                <w:rFonts w:cs="Times New Roman"/>
                <w:color w:val="000000"/>
              </w:rPr>
              <w:t>2</w:t>
            </w:r>
          </w:p>
        </w:tc>
        <w:tc>
          <w:tcPr>
            <w:tcW w:w="2687" w:type="pct"/>
            <w:tcBorders>
              <w:top w:val="nil"/>
              <w:left w:val="nil"/>
              <w:bottom w:val="single" w:sz="4" w:space="0" w:color="auto"/>
              <w:right w:val="single" w:sz="4" w:space="0" w:color="auto"/>
            </w:tcBorders>
            <w:noWrap/>
            <w:vAlign w:val="bottom"/>
            <w:hideMark/>
          </w:tcPr>
          <w:p w14:paraId="7B3F59FD" w14:textId="77777777" w:rsidR="00C9588C" w:rsidRDefault="00C9588C">
            <w:pPr>
              <w:spacing w:after="0"/>
              <w:rPr>
                <w:rFonts w:cs="Times New Roman"/>
                <w:color w:val="000000"/>
              </w:rPr>
            </w:pPr>
            <w:r>
              <w:rPr>
                <w:rFonts w:cs="Times New Roman"/>
                <w:color w:val="000000"/>
              </w:rPr>
              <w:t>Cost of upgrading the current website to handle the sales volume</w:t>
            </w:r>
          </w:p>
        </w:tc>
        <w:tc>
          <w:tcPr>
            <w:tcW w:w="710" w:type="pct"/>
            <w:tcBorders>
              <w:top w:val="nil"/>
              <w:left w:val="nil"/>
              <w:bottom w:val="single" w:sz="4" w:space="0" w:color="auto"/>
              <w:right w:val="single" w:sz="4" w:space="0" w:color="auto"/>
            </w:tcBorders>
            <w:noWrap/>
            <w:vAlign w:val="bottom"/>
            <w:hideMark/>
          </w:tcPr>
          <w:p w14:paraId="486C3034" w14:textId="77777777" w:rsidR="00C9588C" w:rsidRDefault="00C9588C">
            <w:pPr>
              <w:spacing w:after="0"/>
              <w:rPr>
                <w:rFonts w:cs="Times New Roman"/>
                <w:color w:val="000000"/>
              </w:rPr>
            </w:pPr>
            <w:r>
              <w:rPr>
                <w:rFonts w:cs="Times New Roman"/>
                <w:color w:val="000000"/>
              </w:rPr>
              <w:t>50,000</w:t>
            </w:r>
          </w:p>
        </w:tc>
        <w:tc>
          <w:tcPr>
            <w:tcW w:w="1238" w:type="pct"/>
            <w:tcBorders>
              <w:top w:val="nil"/>
              <w:left w:val="nil"/>
              <w:bottom w:val="single" w:sz="4" w:space="0" w:color="auto"/>
              <w:right w:val="single" w:sz="4" w:space="0" w:color="auto"/>
            </w:tcBorders>
            <w:noWrap/>
            <w:vAlign w:val="bottom"/>
            <w:hideMark/>
          </w:tcPr>
          <w:p w14:paraId="798206F1" w14:textId="77777777" w:rsidR="00C9588C" w:rsidRDefault="00C9588C">
            <w:pPr>
              <w:spacing w:after="0"/>
              <w:rPr>
                <w:rFonts w:cs="Times New Roman"/>
                <w:color w:val="000000"/>
              </w:rPr>
            </w:pPr>
            <w:r>
              <w:rPr>
                <w:rFonts w:cs="Times New Roman"/>
                <w:color w:val="000000"/>
              </w:rPr>
              <w:t>Initial Investment</w:t>
            </w:r>
          </w:p>
        </w:tc>
      </w:tr>
      <w:tr w:rsidR="00C9588C" w14:paraId="19DD90D4" w14:textId="77777777" w:rsidTr="00C9588C">
        <w:trPr>
          <w:trHeight w:val="315"/>
        </w:trPr>
        <w:tc>
          <w:tcPr>
            <w:tcW w:w="364" w:type="pct"/>
            <w:tcBorders>
              <w:top w:val="nil"/>
              <w:left w:val="single" w:sz="4" w:space="0" w:color="auto"/>
              <w:bottom w:val="single" w:sz="4" w:space="0" w:color="auto"/>
              <w:right w:val="single" w:sz="4" w:space="0" w:color="auto"/>
            </w:tcBorders>
            <w:noWrap/>
            <w:vAlign w:val="bottom"/>
            <w:hideMark/>
          </w:tcPr>
          <w:p w14:paraId="222DC6F8" w14:textId="77777777" w:rsidR="00C9588C" w:rsidRDefault="00C9588C">
            <w:pPr>
              <w:spacing w:after="0"/>
              <w:rPr>
                <w:rFonts w:cs="Times New Roman"/>
                <w:color w:val="000000"/>
              </w:rPr>
            </w:pPr>
            <w:r>
              <w:rPr>
                <w:rFonts w:cs="Times New Roman"/>
                <w:color w:val="000000"/>
              </w:rPr>
              <w:t>3</w:t>
            </w:r>
          </w:p>
        </w:tc>
        <w:tc>
          <w:tcPr>
            <w:tcW w:w="2687" w:type="pct"/>
            <w:tcBorders>
              <w:top w:val="nil"/>
              <w:left w:val="nil"/>
              <w:bottom w:val="single" w:sz="4" w:space="0" w:color="auto"/>
              <w:right w:val="single" w:sz="4" w:space="0" w:color="auto"/>
            </w:tcBorders>
            <w:noWrap/>
            <w:vAlign w:val="bottom"/>
            <w:hideMark/>
          </w:tcPr>
          <w:p w14:paraId="5136D5AF" w14:textId="77777777" w:rsidR="00C9588C" w:rsidRDefault="00C9588C">
            <w:pPr>
              <w:spacing w:after="0"/>
              <w:rPr>
                <w:rFonts w:cs="Times New Roman"/>
                <w:color w:val="000000"/>
              </w:rPr>
            </w:pPr>
            <w:r>
              <w:rPr>
                <w:rFonts w:cs="Times New Roman"/>
                <w:color w:val="000000"/>
              </w:rPr>
              <w:t>Salary of programmer</w:t>
            </w:r>
          </w:p>
        </w:tc>
        <w:tc>
          <w:tcPr>
            <w:tcW w:w="710" w:type="pct"/>
            <w:tcBorders>
              <w:top w:val="nil"/>
              <w:left w:val="nil"/>
              <w:bottom w:val="single" w:sz="4" w:space="0" w:color="auto"/>
              <w:right w:val="single" w:sz="4" w:space="0" w:color="auto"/>
            </w:tcBorders>
            <w:noWrap/>
            <w:vAlign w:val="bottom"/>
            <w:hideMark/>
          </w:tcPr>
          <w:p w14:paraId="3FB08041" w14:textId="77777777" w:rsidR="00C9588C" w:rsidRDefault="00C9588C">
            <w:pPr>
              <w:spacing w:after="0"/>
              <w:rPr>
                <w:rFonts w:cs="Times New Roman"/>
                <w:color w:val="000000"/>
              </w:rPr>
            </w:pPr>
            <w:r>
              <w:rPr>
                <w:rFonts w:cs="Times New Roman"/>
                <w:color w:val="000000"/>
              </w:rPr>
              <w:t>35,000</w:t>
            </w:r>
          </w:p>
        </w:tc>
        <w:tc>
          <w:tcPr>
            <w:tcW w:w="1238" w:type="pct"/>
            <w:tcBorders>
              <w:top w:val="nil"/>
              <w:left w:val="nil"/>
              <w:bottom w:val="single" w:sz="4" w:space="0" w:color="auto"/>
              <w:right w:val="single" w:sz="4" w:space="0" w:color="auto"/>
            </w:tcBorders>
            <w:noWrap/>
            <w:vAlign w:val="bottom"/>
            <w:hideMark/>
          </w:tcPr>
          <w:p w14:paraId="713503BE" w14:textId="77777777" w:rsidR="00C9588C" w:rsidRDefault="00C9588C">
            <w:pPr>
              <w:spacing w:after="0"/>
              <w:rPr>
                <w:rFonts w:cs="Times New Roman"/>
                <w:color w:val="000000"/>
              </w:rPr>
            </w:pPr>
            <w:r>
              <w:rPr>
                <w:rFonts w:cs="Times New Roman"/>
                <w:color w:val="000000"/>
              </w:rPr>
              <w:t>Annual expense</w:t>
            </w:r>
          </w:p>
        </w:tc>
      </w:tr>
    </w:tbl>
    <w:p w14:paraId="6409D1C8" w14:textId="77777777" w:rsidR="00C9588C" w:rsidRDefault="00C9588C" w:rsidP="00C9588C">
      <w:r>
        <w:t xml:space="preserve"> </w:t>
      </w:r>
    </w:p>
    <w:p w14:paraId="67C1CB68" w14:textId="77777777" w:rsidR="00C9588C" w:rsidRDefault="00C9588C" w:rsidP="00C9588C">
      <w:r>
        <w:t>Here, with the initial investment of 200,000, and an annual expense of 35,000, the company will be able to sell, 100,000 units annually.</w:t>
      </w:r>
    </w:p>
    <w:p w14:paraId="10A54840" w14:textId="77777777" w:rsidR="00C9588C" w:rsidRDefault="00C9588C" w:rsidP="00C9588C">
      <w:r>
        <w:t>Currently the company’s selling price is 20. So, if it is assumed that it will be able to sell at the current price, then the revenue will be (100,000 * 20) = 2,000,000.</w:t>
      </w:r>
    </w:p>
    <w:p w14:paraId="2FD16F35" w14:textId="77777777" w:rsidR="00C9588C" w:rsidRDefault="00C9588C" w:rsidP="00C9588C">
      <w:r>
        <w:lastRenderedPageBreak/>
        <w:t>Non-financial information,</w:t>
      </w:r>
    </w:p>
    <w:p w14:paraId="10A40153" w14:textId="77777777" w:rsidR="00C9588C" w:rsidRDefault="00C9588C" w:rsidP="00C9588C">
      <w:pPr>
        <w:pStyle w:val="ListParagraph"/>
        <w:numPr>
          <w:ilvl w:val="0"/>
          <w:numId w:val="2"/>
        </w:numPr>
      </w:pPr>
      <w:r>
        <w:t>The company will have full control over its own website.</w:t>
      </w:r>
    </w:p>
    <w:p w14:paraId="7ED3820C" w14:textId="77777777" w:rsidR="00C9588C" w:rsidRDefault="00C9588C" w:rsidP="00C9588C">
      <w:pPr>
        <w:pStyle w:val="ListParagraph"/>
        <w:numPr>
          <w:ilvl w:val="0"/>
          <w:numId w:val="2"/>
        </w:numPr>
      </w:pPr>
      <w:r>
        <w:t>It can adjust the sales price when it wants to.</w:t>
      </w:r>
    </w:p>
    <w:p w14:paraId="13310FB5" w14:textId="77777777" w:rsidR="00C9588C" w:rsidRDefault="00C9588C" w:rsidP="00C9588C">
      <w:pPr>
        <w:pStyle w:val="ListParagraph"/>
        <w:numPr>
          <w:ilvl w:val="0"/>
          <w:numId w:val="2"/>
        </w:numPr>
      </w:pPr>
      <w:r>
        <w:t>The customer policy and the return policy can be made according to the company’s plan.</w:t>
      </w:r>
    </w:p>
    <w:p w14:paraId="5C344448" w14:textId="77777777" w:rsidR="00C9588C" w:rsidRDefault="00C9588C" w:rsidP="00C9588C">
      <w:pPr>
        <w:pStyle w:val="ListParagraph"/>
        <w:numPr>
          <w:ilvl w:val="0"/>
          <w:numId w:val="2"/>
        </w:numPr>
      </w:pPr>
      <w:r>
        <w:t>The management of the company has the sole authority to monitor and control the quality of the products.</w:t>
      </w:r>
    </w:p>
    <w:p w14:paraId="5C2C5A77" w14:textId="77777777" w:rsidR="00C9588C" w:rsidRDefault="00C9588C" w:rsidP="00C9588C">
      <w:pPr>
        <w:pStyle w:val="ListParagraph"/>
        <w:numPr>
          <w:ilvl w:val="0"/>
          <w:numId w:val="2"/>
        </w:numPr>
      </w:pPr>
      <w:r>
        <w:t>It will face less competition as it will be launching its website among its own customer bases. And the customers will have less chance to compare the products and price with the competitors.</w:t>
      </w:r>
    </w:p>
    <w:p w14:paraId="2C977F0B" w14:textId="77777777" w:rsidR="00C9588C" w:rsidRDefault="00C9588C" w:rsidP="00C9588C">
      <w:pPr>
        <w:pStyle w:val="ListParagraph"/>
        <w:numPr>
          <w:ilvl w:val="0"/>
          <w:numId w:val="3"/>
        </w:numPr>
      </w:pPr>
      <w:r>
        <w:t>Amazon</w:t>
      </w:r>
    </w:p>
    <w:p w14:paraId="4AF18D7B" w14:textId="77777777" w:rsidR="00C9588C" w:rsidRDefault="00C9588C" w:rsidP="00C9588C">
      <w:r>
        <w:t>Financial information,</w:t>
      </w:r>
    </w:p>
    <w:p w14:paraId="2FCD8246" w14:textId="77777777" w:rsidR="00C9588C" w:rsidRDefault="00C9588C" w:rsidP="00C9588C">
      <w:r>
        <w:t>Amazon Fulfilment fees – 50,000</w:t>
      </w:r>
    </w:p>
    <w:p w14:paraId="7A0B820E" w14:textId="77777777" w:rsidR="00C9588C" w:rsidRDefault="00C9588C" w:rsidP="00C9588C">
      <w:r>
        <w:t>And by using the Amazon platform, the company will be able to sell 65,000 units. So, at 20 per unit selling price, the sales revenue will be (65,000 * 20) = 1300,000.</w:t>
      </w:r>
    </w:p>
    <w:p w14:paraId="26894FFE" w14:textId="77777777" w:rsidR="00C9588C" w:rsidRDefault="00C9588C" w:rsidP="00C9588C">
      <w:r>
        <w:t>Non-financial information,</w:t>
      </w:r>
    </w:p>
    <w:p w14:paraId="7CCE9551" w14:textId="77777777" w:rsidR="00C9588C" w:rsidRDefault="00C9588C" w:rsidP="00C9588C">
      <w:pPr>
        <w:pStyle w:val="ListParagraph"/>
        <w:numPr>
          <w:ilvl w:val="0"/>
          <w:numId w:val="2"/>
        </w:numPr>
      </w:pPr>
      <w:r>
        <w:t>The company’s sales will be increased based on the market demand.</w:t>
      </w:r>
    </w:p>
    <w:p w14:paraId="1C4340A9" w14:textId="77777777" w:rsidR="00C9588C" w:rsidRDefault="00C9588C" w:rsidP="00C9588C">
      <w:pPr>
        <w:pStyle w:val="ListParagraph"/>
        <w:numPr>
          <w:ilvl w:val="0"/>
          <w:numId w:val="2"/>
        </w:numPr>
      </w:pPr>
      <w:r>
        <w:t>There will be a lack of control as Amazon will have sole controlling power.</w:t>
      </w:r>
    </w:p>
    <w:p w14:paraId="5B144D2A" w14:textId="77777777" w:rsidR="00C9588C" w:rsidRDefault="00C9588C" w:rsidP="00C9588C">
      <w:pPr>
        <w:pStyle w:val="ListParagraph"/>
        <w:numPr>
          <w:ilvl w:val="0"/>
          <w:numId w:val="2"/>
        </w:numPr>
      </w:pPr>
      <w:r>
        <w:t>All the policies like customer policy and return policy will have to be made as per Amazon’s requirements.</w:t>
      </w:r>
    </w:p>
    <w:p w14:paraId="34E11FD2" w14:textId="77777777" w:rsidR="00C9588C" w:rsidRDefault="00C9588C" w:rsidP="00C9588C">
      <w:pPr>
        <w:pStyle w:val="ListParagraph"/>
        <w:numPr>
          <w:ilvl w:val="0"/>
          <w:numId w:val="2"/>
        </w:numPr>
      </w:pPr>
      <w:r>
        <w:t>The company will face immense competition on that platform as the customers will have a chance to compare the products and prices with the competitors.</w:t>
      </w:r>
    </w:p>
    <w:p w14:paraId="7D3573F4" w14:textId="77777777" w:rsidR="00642228" w:rsidRDefault="00642228" w:rsidP="00C9588C">
      <w:pPr>
        <w:rPr>
          <w:b/>
          <w:bCs/>
        </w:rPr>
      </w:pPr>
    </w:p>
    <w:p w14:paraId="3B8E93C8" w14:textId="1E2B4652" w:rsidR="00C9588C" w:rsidRDefault="00C9588C" w:rsidP="00C9588C">
      <w:pPr>
        <w:rPr>
          <w:b/>
          <w:bCs/>
        </w:rPr>
      </w:pPr>
      <w:r>
        <w:rPr>
          <w:b/>
          <w:bCs/>
        </w:rPr>
        <w:t>Comparison between two alternatives</w:t>
      </w:r>
    </w:p>
    <w:p w14:paraId="67C826FC" w14:textId="77777777" w:rsidR="00C9588C" w:rsidRDefault="00C9588C" w:rsidP="00C9588C">
      <w:pPr>
        <w:pStyle w:val="ListParagraph"/>
        <w:numPr>
          <w:ilvl w:val="0"/>
          <w:numId w:val="2"/>
        </w:numPr>
      </w:pPr>
      <w:r>
        <w:t>Alternative 1 will be producing higher revenue than alternative 2. But the company has not mentioned the monthly or annual fees of using Amazon as a selling platform.</w:t>
      </w:r>
    </w:p>
    <w:p w14:paraId="048C8EC2" w14:textId="77777777" w:rsidR="00C9588C" w:rsidRDefault="00C9588C" w:rsidP="00C9588C">
      <w:pPr>
        <w:pStyle w:val="ListParagraph"/>
        <w:numPr>
          <w:ilvl w:val="0"/>
          <w:numId w:val="2"/>
        </w:numPr>
      </w:pPr>
      <w:r>
        <w:t xml:space="preserve">Launching own website requires a higher amount of initial investment but in the case of Amazon, there will be a less initial investment. </w:t>
      </w:r>
    </w:p>
    <w:p w14:paraId="1F4D4999" w14:textId="77777777" w:rsidR="00C9588C" w:rsidRDefault="00C9588C" w:rsidP="00C9588C">
      <w:pPr>
        <w:pStyle w:val="ListParagraph"/>
        <w:numPr>
          <w:ilvl w:val="0"/>
          <w:numId w:val="2"/>
        </w:numPr>
      </w:pPr>
      <w:r>
        <w:lastRenderedPageBreak/>
        <w:t>The company will have more power and control over its own website while in the case of Amazon, it will have less control.</w:t>
      </w:r>
    </w:p>
    <w:p w14:paraId="730D30FF" w14:textId="77777777" w:rsidR="00C9588C" w:rsidRDefault="00C9588C" w:rsidP="00C9588C">
      <w:pPr>
        <w:pStyle w:val="ListParagraph"/>
        <w:numPr>
          <w:ilvl w:val="0"/>
          <w:numId w:val="2"/>
        </w:numPr>
      </w:pPr>
      <w:r>
        <w:t>The company can modify its terms and conditions whenever it needs to do that but in the case of Amazon, it will be quite difficult or will not be possible.</w:t>
      </w:r>
    </w:p>
    <w:p w14:paraId="5C1D8C3D" w14:textId="77777777" w:rsidR="00C9588C" w:rsidRDefault="00C9588C" w:rsidP="00C9588C">
      <w:pPr>
        <w:pStyle w:val="ListParagraph"/>
        <w:numPr>
          <w:ilvl w:val="0"/>
          <w:numId w:val="2"/>
        </w:numPr>
      </w:pPr>
      <w:r>
        <w:t>Here, no opportunity cost has been considered (</w:t>
      </w:r>
      <w:r>
        <w:rPr>
          <w:rFonts w:cs="Times New Roman"/>
          <w:color w:val="222222"/>
          <w:shd w:val="clear" w:color="auto" w:fill="FFFFFF"/>
        </w:rPr>
        <w:t>Atrill and McLaney, 2018)</w:t>
      </w:r>
      <w:r>
        <w:t>.</w:t>
      </w:r>
    </w:p>
    <w:p w14:paraId="7499E5AF" w14:textId="77777777" w:rsidR="00C9588C" w:rsidRDefault="00C9588C" w:rsidP="00C9588C">
      <w:pPr>
        <w:pStyle w:val="ListParagraph"/>
        <w:numPr>
          <w:ilvl w:val="0"/>
          <w:numId w:val="2"/>
        </w:numPr>
      </w:pPr>
      <w:r>
        <w:t>Inflation rate has not been considered.</w:t>
      </w:r>
    </w:p>
    <w:p w14:paraId="4F0D6F7F" w14:textId="77777777" w:rsidR="00C9588C" w:rsidRDefault="00C9588C" w:rsidP="00C9588C">
      <w:pPr>
        <w:pStyle w:val="ListParagraph"/>
        <w:numPr>
          <w:ilvl w:val="0"/>
          <w:numId w:val="2"/>
        </w:numPr>
      </w:pPr>
      <w:r>
        <w:t>What price the company will be able to charge in case of its own website and what will be at Amazon has not been considered.</w:t>
      </w:r>
    </w:p>
    <w:p w14:paraId="517B3DF7" w14:textId="77777777" w:rsidR="00C9588C" w:rsidRDefault="00C9588C" w:rsidP="00C9588C">
      <w:pPr>
        <w:pStyle w:val="ListParagraph"/>
        <w:numPr>
          <w:ilvl w:val="0"/>
          <w:numId w:val="2"/>
        </w:numPr>
      </w:pPr>
      <w:r>
        <w:t>The company may get ready customers if it uses Amazon. On the other hand, in the case of its own website, it may have to expend on advertising costs.</w:t>
      </w:r>
    </w:p>
    <w:p w14:paraId="00051CFA" w14:textId="77777777" w:rsidR="00C9588C" w:rsidRDefault="00C9588C" w:rsidP="00C9588C">
      <w:pPr>
        <w:rPr>
          <w:b/>
          <w:bCs/>
        </w:rPr>
      </w:pPr>
      <w:r>
        <w:rPr>
          <w:b/>
          <w:bCs/>
        </w:rPr>
        <w:t>Recommendations</w:t>
      </w:r>
    </w:p>
    <w:p w14:paraId="5F355A0A" w14:textId="77777777" w:rsidR="00C9588C" w:rsidRDefault="00C9588C" w:rsidP="00C9588C">
      <w:r>
        <w:t>As there is no mention of annual or monthly costs in the case of Amazon, it has been assumed that there will be no monthly cost. So, the entire amount of sales revenue the company can get from Amazon. And it will be requiring less investment. So, after analysing the current market and current situation, the company needs to be recognised in the market. And Amazon will be best for this. So, the company should choose Amazon for online sales.</w:t>
      </w:r>
    </w:p>
    <w:p w14:paraId="1CCC2CD2" w14:textId="77777777" w:rsidR="00C9588C" w:rsidRDefault="00C9588C" w:rsidP="00C9588C">
      <w:pPr>
        <w:pStyle w:val="Heading1"/>
        <w:rPr>
          <w:kern w:val="36"/>
        </w:rPr>
      </w:pPr>
      <w:bookmarkStart w:id="12" w:name="_Toc102251085"/>
      <w:bookmarkStart w:id="13" w:name="_Toc102488380"/>
      <w:bookmarkEnd w:id="12"/>
      <w:r>
        <w:rPr>
          <w:kern w:val="36"/>
        </w:rPr>
        <w:t>Conclusion</w:t>
      </w:r>
      <w:bookmarkEnd w:id="13"/>
    </w:p>
    <w:p w14:paraId="5FE026F0" w14:textId="791D4F6B" w:rsidR="00C9588C" w:rsidRDefault="00C9588C" w:rsidP="00C9588C">
      <w:r>
        <w:t xml:space="preserve">In this report, some information has not been considered by the management. For example, the unit price, annual cost, opportunity cost, inflation rate, target customers, etc. When </w:t>
      </w:r>
      <w:r w:rsidR="00872CBB">
        <w:t>deciding</w:t>
      </w:r>
      <w:r>
        <w:t>, a company should need to consider these factors with other financial factors.</w:t>
      </w:r>
    </w:p>
    <w:p w14:paraId="3542BD4C" w14:textId="77777777" w:rsidR="00C9588C" w:rsidRDefault="00C9588C" w:rsidP="00C9588C">
      <w:pPr>
        <w:spacing w:line="256" w:lineRule="auto"/>
        <w:jc w:val="left"/>
      </w:pPr>
      <w:r>
        <w:br w:type="page"/>
      </w:r>
    </w:p>
    <w:p w14:paraId="5C64ECF7" w14:textId="77777777" w:rsidR="00C9588C" w:rsidRDefault="00C9588C" w:rsidP="00C9588C">
      <w:pPr>
        <w:pStyle w:val="Heading1"/>
        <w:rPr>
          <w:kern w:val="36"/>
        </w:rPr>
      </w:pPr>
      <w:bookmarkStart w:id="14" w:name="_Toc102251086"/>
      <w:bookmarkStart w:id="15" w:name="_Toc102488381"/>
      <w:bookmarkEnd w:id="14"/>
      <w:r>
        <w:rPr>
          <w:kern w:val="36"/>
        </w:rPr>
        <w:lastRenderedPageBreak/>
        <w:t>References</w:t>
      </w:r>
      <w:bookmarkEnd w:id="15"/>
    </w:p>
    <w:p w14:paraId="26E3B033" w14:textId="77777777" w:rsidR="00C9588C" w:rsidRDefault="00C9588C" w:rsidP="00C9588C">
      <w:pPr>
        <w:rPr>
          <w:rFonts w:cs="Times New Roman"/>
          <w:color w:val="222222"/>
          <w:shd w:val="clear" w:color="auto" w:fill="FFFFFF"/>
        </w:rPr>
      </w:pPr>
      <w:bookmarkStart w:id="16" w:name="_Hlk101019168"/>
      <w:bookmarkEnd w:id="16"/>
      <w:r>
        <w:rPr>
          <w:rFonts w:cs="Times New Roman"/>
          <w:color w:val="222222"/>
          <w:shd w:val="clear" w:color="auto" w:fill="FFFFFF"/>
        </w:rPr>
        <w:t xml:space="preserve">Atrill, P. and McLaney, E., 2018. </w:t>
      </w:r>
      <w:r>
        <w:rPr>
          <w:rFonts w:cs="Times New Roman"/>
          <w:i/>
          <w:iCs/>
          <w:color w:val="222222"/>
          <w:shd w:val="clear" w:color="auto" w:fill="FFFFFF"/>
        </w:rPr>
        <w:t>Management accounting for decision makers</w:t>
      </w:r>
      <w:r>
        <w:rPr>
          <w:rFonts w:cs="Times New Roman"/>
          <w:color w:val="222222"/>
          <w:shd w:val="clear" w:color="auto" w:fill="FFFFFF"/>
        </w:rPr>
        <w:t>. Pearson Education.</w:t>
      </w:r>
    </w:p>
    <w:p w14:paraId="07EB60A9" w14:textId="77777777" w:rsidR="00C9588C" w:rsidRDefault="00C9588C" w:rsidP="00C9588C">
      <w:pPr>
        <w:rPr>
          <w:rFonts w:cs="Times New Roman"/>
          <w:color w:val="222222"/>
          <w:shd w:val="clear" w:color="auto" w:fill="FFFFFF"/>
        </w:rPr>
      </w:pPr>
      <w:r>
        <w:rPr>
          <w:rFonts w:cs="Times New Roman"/>
          <w:color w:val="222222"/>
          <w:shd w:val="clear" w:color="auto" w:fill="FFFFFF"/>
        </w:rPr>
        <w:t xml:space="preserve">Hansen, D.R., Mowen, M.M. and Heitger, D.L., 2021. </w:t>
      </w:r>
      <w:r>
        <w:rPr>
          <w:rFonts w:cs="Times New Roman"/>
          <w:i/>
          <w:iCs/>
          <w:color w:val="222222"/>
          <w:shd w:val="clear" w:color="auto" w:fill="FFFFFF"/>
        </w:rPr>
        <w:t>Cost management</w:t>
      </w:r>
      <w:r>
        <w:rPr>
          <w:rFonts w:cs="Times New Roman"/>
          <w:color w:val="222222"/>
          <w:shd w:val="clear" w:color="auto" w:fill="FFFFFF"/>
        </w:rPr>
        <w:t>. Cengage Learning.</w:t>
      </w:r>
    </w:p>
    <w:p w14:paraId="6BE7D57C" w14:textId="77777777" w:rsidR="00C9588C" w:rsidRDefault="00C9588C" w:rsidP="00C9588C">
      <w:pPr>
        <w:rPr>
          <w:rFonts w:cs="Times New Roman"/>
          <w:color w:val="222222"/>
          <w:shd w:val="clear" w:color="auto" w:fill="FFFFFF"/>
        </w:rPr>
      </w:pPr>
      <w:r>
        <w:rPr>
          <w:rFonts w:cs="Times New Roman"/>
          <w:color w:val="222222"/>
          <w:shd w:val="clear" w:color="auto" w:fill="FFFFFF"/>
        </w:rPr>
        <w:t xml:space="preserve">Kaplan, R.S., 2019. The evolution of management accounting. </w:t>
      </w:r>
      <w:r>
        <w:rPr>
          <w:rFonts w:cs="Times New Roman"/>
          <w:i/>
          <w:iCs/>
          <w:color w:val="222222"/>
          <w:shd w:val="clear" w:color="auto" w:fill="FFFFFF"/>
        </w:rPr>
        <w:t>Readings in accounting for management control</w:t>
      </w:r>
      <w:r>
        <w:rPr>
          <w:rFonts w:cs="Times New Roman"/>
          <w:color w:val="222222"/>
          <w:shd w:val="clear" w:color="auto" w:fill="FFFFFF"/>
        </w:rPr>
        <w:t>, pp.586-621.</w:t>
      </w:r>
    </w:p>
    <w:p w14:paraId="37F5E8B0" w14:textId="77777777" w:rsidR="00C9588C" w:rsidRDefault="00C9588C" w:rsidP="00C9588C">
      <w:pPr>
        <w:rPr>
          <w:rFonts w:cs="Times New Roman"/>
          <w:color w:val="222222"/>
          <w:shd w:val="clear" w:color="auto" w:fill="FFFFFF"/>
        </w:rPr>
      </w:pPr>
      <w:r>
        <w:rPr>
          <w:rFonts w:cs="Times New Roman"/>
          <w:color w:val="222222"/>
          <w:shd w:val="clear" w:color="auto" w:fill="FFFFFF"/>
        </w:rPr>
        <w:t xml:space="preserve">Kaplan, R.S., 2019. The role for empirical research in management accounting. </w:t>
      </w:r>
      <w:r>
        <w:rPr>
          <w:rFonts w:cs="Times New Roman"/>
          <w:i/>
          <w:iCs/>
          <w:color w:val="222222"/>
          <w:shd w:val="clear" w:color="auto" w:fill="FFFFFF"/>
        </w:rPr>
        <w:t>Accounting, organizations and society</w:t>
      </w:r>
      <w:r>
        <w:rPr>
          <w:rFonts w:cs="Times New Roman"/>
          <w:color w:val="222222"/>
          <w:shd w:val="clear" w:color="auto" w:fill="FFFFFF"/>
        </w:rPr>
        <w:t xml:space="preserve">, </w:t>
      </w:r>
      <w:r>
        <w:rPr>
          <w:rFonts w:cs="Times New Roman"/>
          <w:i/>
          <w:iCs/>
          <w:color w:val="222222"/>
          <w:shd w:val="clear" w:color="auto" w:fill="FFFFFF"/>
        </w:rPr>
        <w:t>11</w:t>
      </w:r>
      <w:r>
        <w:rPr>
          <w:rFonts w:cs="Times New Roman"/>
          <w:color w:val="222222"/>
          <w:shd w:val="clear" w:color="auto" w:fill="FFFFFF"/>
        </w:rPr>
        <w:t>(4-5), pp.429-452.</w:t>
      </w:r>
    </w:p>
    <w:p w14:paraId="6FEC7E7A" w14:textId="77777777" w:rsidR="00C9588C" w:rsidRDefault="00C9588C" w:rsidP="00C9588C">
      <w:pPr>
        <w:rPr>
          <w:rFonts w:cs="Times New Roman"/>
          <w:color w:val="222222"/>
          <w:shd w:val="clear" w:color="auto" w:fill="FFFFFF"/>
        </w:rPr>
      </w:pPr>
      <w:r>
        <w:rPr>
          <w:rFonts w:cs="Times New Roman"/>
          <w:color w:val="222222"/>
          <w:shd w:val="clear" w:color="auto" w:fill="FFFFFF"/>
        </w:rPr>
        <w:t xml:space="preserve">RS, R.K. and Atkinson, A.A., 2019. </w:t>
      </w:r>
      <w:r>
        <w:rPr>
          <w:rFonts w:cs="Times New Roman"/>
          <w:i/>
          <w:iCs/>
          <w:color w:val="222222"/>
          <w:shd w:val="clear" w:color="auto" w:fill="FFFFFF"/>
        </w:rPr>
        <w:t>Advanced management accounting</w:t>
      </w:r>
      <w:r>
        <w:rPr>
          <w:rFonts w:cs="Times New Roman"/>
          <w:color w:val="222222"/>
          <w:shd w:val="clear" w:color="auto" w:fill="FFFFFF"/>
        </w:rPr>
        <w:t>. Prentice-Hall Inc.</w:t>
      </w:r>
    </w:p>
    <w:p w14:paraId="5EBD06A7" w14:textId="77777777" w:rsidR="00C9588C" w:rsidRDefault="00C9588C" w:rsidP="00C9588C">
      <w:pPr>
        <w:rPr>
          <w:rFonts w:cs="Times New Roman"/>
          <w:color w:val="222222"/>
          <w:shd w:val="clear" w:color="auto" w:fill="FFFFFF"/>
        </w:rPr>
      </w:pPr>
      <w:r>
        <w:rPr>
          <w:rFonts w:cs="Times New Roman"/>
          <w:color w:val="222222"/>
          <w:shd w:val="clear" w:color="auto" w:fill="FFFFFF"/>
        </w:rPr>
        <w:t xml:space="preserve">Scapens, R.W., 2019. Researching management accounting practice: the role of case study methods. </w:t>
      </w:r>
      <w:r>
        <w:rPr>
          <w:rFonts w:cs="Times New Roman"/>
          <w:i/>
          <w:iCs/>
          <w:color w:val="222222"/>
          <w:shd w:val="clear" w:color="auto" w:fill="FFFFFF"/>
        </w:rPr>
        <w:t>The British Accounting Review</w:t>
      </w:r>
      <w:r>
        <w:rPr>
          <w:rFonts w:cs="Times New Roman"/>
          <w:color w:val="222222"/>
          <w:shd w:val="clear" w:color="auto" w:fill="FFFFFF"/>
        </w:rPr>
        <w:t xml:space="preserve">, </w:t>
      </w:r>
      <w:r>
        <w:rPr>
          <w:rFonts w:cs="Times New Roman"/>
          <w:i/>
          <w:iCs/>
          <w:color w:val="222222"/>
          <w:shd w:val="clear" w:color="auto" w:fill="FFFFFF"/>
        </w:rPr>
        <w:t>22</w:t>
      </w:r>
      <w:r>
        <w:rPr>
          <w:rFonts w:cs="Times New Roman"/>
          <w:color w:val="222222"/>
          <w:shd w:val="clear" w:color="auto" w:fill="FFFFFF"/>
        </w:rPr>
        <w:t>(3), pp.259-281.</w:t>
      </w:r>
    </w:p>
    <w:p w14:paraId="14B52A15" w14:textId="77777777" w:rsidR="00C9588C" w:rsidRDefault="00C9588C" w:rsidP="00C9588C">
      <w:pPr>
        <w:rPr>
          <w:rFonts w:cs="Times New Roman"/>
          <w:color w:val="222222"/>
          <w:shd w:val="clear" w:color="auto" w:fill="FFFFFF"/>
        </w:rPr>
      </w:pPr>
      <w:r>
        <w:rPr>
          <w:rFonts w:cs="Times New Roman"/>
          <w:color w:val="222222"/>
          <w:shd w:val="clear" w:color="auto" w:fill="FFFFFF"/>
        </w:rPr>
        <w:t xml:space="preserve">Weetman, P., 2011. </w:t>
      </w:r>
      <w:r>
        <w:rPr>
          <w:rFonts w:cs="Times New Roman"/>
          <w:i/>
          <w:iCs/>
          <w:color w:val="222222"/>
          <w:shd w:val="clear" w:color="auto" w:fill="FFFFFF"/>
        </w:rPr>
        <w:t>Financial and management accounting</w:t>
      </w:r>
      <w:r>
        <w:rPr>
          <w:rFonts w:cs="Times New Roman"/>
          <w:color w:val="222222"/>
          <w:shd w:val="clear" w:color="auto" w:fill="FFFFFF"/>
        </w:rPr>
        <w:t>. Pearson Education Limited.</w:t>
      </w:r>
    </w:p>
    <w:p w14:paraId="051C334F" w14:textId="77777777" w:rsidR="00C9588C" w:rsidRDefault="00C9588C" w:rsidP="00C9588C">
      <w:r>
        <w:t xml:space="preserve"> </w:t>
      </w:r>
    </w:p>
    <w:p w14:paraId="5AB1FB53" w14:textId="77777777" w:rsidR="00732EFC" w:rsidRDefault="00732EFC"/>
    <w:sectPr w:rsidR="00732EF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52A86" w14:textId="77777777" w:rsidR="006E4302" w:rsidRDefault="006E4302" w:rsidP="006E4302">
      <w:pPr>
        <w:spacing w:before="0" w:after="0" w:line="240" w:lineRule="auto"/>
      </w:pPr>
      <w:r>
        <w:separator/>
      </w:r>
    </w:p>
  </w:endnote>
  <w:endnote w:type="continuationSeparator" w:id="0">
    <w:p w14:paraId="3CC13F6D" w14:textId="77777777" w:rsidR="006E4302" w:rsidRDefault="006E4302" w:rsidP="006E43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F809F" w14:textId="77777777" w:rsidR="006E4302" w:rsidRDefault="006E43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109825"/>
      <w:docPartObj>
        <w:docPartGallery w:val="Page Numbers (Bottom of Page)"/>
        <w:docPartUnique/>
      </w:docPartObj>
    </w:sdtPr>
    <w:sdtEndPr>
      <w:rPr>
        <w:noProof/>
      </w:rPr>
    </w:sdtEndPr>
    <w:sdtContent>
      <w:p w14:paraId="02B31218" w14:textId="3D10C6B6" w:rsidR="006E4302" w:rsidRDefault="006E43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228727" w14:textId="77777777" w:rsidR="006E4302" w:rsidRDefault="006E43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004C0" w14:textId="77777777" w:rsidR="006E4302" w:rsidRDefault="006E4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56FCE" w14:textId="77777777" w:rsidR="006E4302" w:rsidRDefault="006E4302" w:rsidP="006E4302">
      <w:pPr>
        <w:spacing w:before="0" w:after="0" w:line="240" w:lineRule="auto"/>
      </w:pPr>
      <w:r>
        <w:separator/>
      </w:r>
    </w:p>
  </w:footnote>
  <w:footnote w:type="continuationSeparator" w:id="0">
    <w:p w14:paraId="185C9AD0" w14:textId="77777777" w:rsidR="006E4302" w:rsidRDefault="006E4302" w:rsidP="006E430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9649F" w14:textId="77777777" w:rsidR="006E4302" w:rsidRDefault="006E43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37762" w14:textId="77777777" w:rsidR="006E4302" w:rsidRDefault="006E43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DC239" w14:textId="77777777" w:rsidR="006E4302" w:rsidRDefault="006E43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8520F"/>
    <w:multiLevelType w:val="multilevel"/>
    <w:tmpl w:val="B78C07E4"/>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 w15:restartNumberingAfterBreak="0">
    <w:nsid w:val="669C46C8"/>
    <w:multiLevelType w:val="multilevel"/>
    <w:tmpl w:val="455C2B1C"/>
    <w:lvl w:ilvl="0">
      <w:numFmt w:val="bullet"/>
      <w:lvlText w:val="-"/>
      <w:lvlJc w:val="left"/>
      <w:pPr>
        <w:ind w:left="720" w:hanging="360"/>
      </w:pPr>
      <w:rPr>
        <w:rFonts w:ascii="Times New Roman" w:eastAsia="Calibr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93C3644"/>
    <w:multiLevelType w:val="multilevel"/>
    <w:tmpl w:val="198C528A"/>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num w:numId="1" w16cid:durableId="22946699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40861598">
    <w:abstractNumId w:val="1"/>
    <w:lvlOverride w:ilvl="0"/>
    <w:lvlOverride w:ilvl="1"/>
    <w:lvlOverride w:ilvl="2"/>
    <w:lvlOverride w:ilvl="3"/>
    <w:lvlOverride w:ilvl="4"/>
    <w:lvlOverride w:ilvl="5"/>
    <w:lvlOverride w:ilvl="6"/>
    <w:lvlOverride w:ilvl="7"/>
    <w:lvlOverride w:ilvl="8"/>
  </w:num>
  <w:num w:numId="3" w16cid:durableId="197101580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88C"/>
    <w:rsid w:val="00020102"/>
    <w:rsid w:val="00027734"/>
    <w:rsid w:val="00642228"/>
    <w:rsid w:val="006E4302"/>
    <w:rsid w:val="00732EFC"/>
    <w:rsid w:val="00872CBB"/>
    <w:rsid w:val="00A37C16"/>
    <w:rsid w:val="00C95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A69B"/>
  <w15:chartTrackingRefBased/>
  <w15:docId w15:val="{F61FE318-8111-4510-A3B1-464AC5CFD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88C"/>
    <w:pPr>
      <w:spacing w:before="100" w:beforeAutospacing="1" w:line="360" w:lineRule="auto"/>
      <w:jc w:val="both"/>
    </w:pPr>
    <w:rPr>
      <w:rFonts w:ascii="Times New Roman" w:eastAsia="Calibri" w:hAnsi="Times New Roman" w:cs="Arial"/>
      <w:sz w:val="24"/>
      <w:szCs w:val="24"/>
      <w:lang w:eastAsia="en-GB"/>
    </w:rPr>
  </w:style>
  <w:style w:type="paragraph" w:styleId="Heading1">
    <w:name w:val="heading 1"/>
    <w:basedOn w:val="Normal"/>
    <w:next w:val="Normal"/>
    <w:link w:val="Heading1Char"/>
    <w:uiPriority w:val="99"/>
    <w:qFormat/>
    <w:rsid w:val="00C9588C"/>
    <w:pPr>
      <w:keepNext/>
      <w:keepLines/>
      <w:widowControl w:val="0"/>
      <w:spacing w:before="240" w:beforeAutospacing="0" w:after="0"/>
      <w:outlineLvl w:val="0"/>
    </w:pPr>
    <w:rPr>
      <w:rFonts w:eastAsia="DengXian Light" w:cs="Times New Roman"/>
      <w:b/>
      <w:color w:val="2F5496"/>
      <w:sz w:val="32"/>
      <w:szCs w:val="32"/>
    </w:rPr>
  </w:style>
  <w:style w:type="paragraph" w:styleId="Heading2">
    <w:name w:val="heading 2"/>
    <w:basedOn w:val="Normal"/>
    <w:next w:val="Normal"/>
    <w:link w:val="Heading2Char"/>
    <w:uiPriority w:val="99"/>
    <w:qFormat/>
    <w:rsid w:val="00C9588C"/>
    <w:pPr>
      <w:outlineLvl w:val="1"/>
    </w:pPr>
    <w:rPr>
      <w:color w:val="00206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9588C"/>
    <w:rPr>
      <w:rFonts w:ascii="Times New Roman" w:eastAsia="DengXian Light" w:hAnsi="Times New Roman" w:cs="Times New Roman"/>
      <w:b/>
      <w:color w:val="2F5496"/>
      <w:sz w:val="32"/>
      <w:szCs w:val="32"/>
      <w:lang w:eastAsia="en-GB"/>
    </w:rPr>
  </w:style>
  <w:style w:type="character" w:customStyle="1" w:styleId="Heading2Char">
    <w:name w:val="Heading 2 Char"/>
    <w:basedOn w:val="DefaultParagraphFont"/>
    <w:link w:val="Heading2"/>
    <w:uiPriority w:val="99"/>
    <w:rsid w:val="00C9588C"/>
    <w:rPr>
      <w:rFonts w:ascii="Times New Roman" w:eastAsia="Calibri" w:hAnsi="Times New Roman" w:cs="Arial"/>
      <w:color w:val="002060"/>
      <w:sz w:val="28"/>
      <w:szCs w:val="28"/>
      <w:lang w:eastAsia="en-GB"/>
    </w:rPr>
  </w:style>
  <w:style w:type="paragraph" w:styleId="TOCHeading">
    <w:name w:val="TOC Heading"/>
    <w:basedOn w:val="Heading1"/>
    <w:next w:val="Normal"/>
    <w:uiPriority w:val="39"/>
    <w:qFormat/>
    <w:rsid w:val="00C9588C"/>
    <w:pPr>
      <w:spacing w:line="256" w:lineRule="auto"/>
      <w:jc w:val="left"/>
      <w:outlineLvl w:val="9"/>
    </w:pPr>
    <w:rPr>
      <w:rFonts w:ascii="Calibri Light" w:hAnsi="Calibri Light"/>
      <w:b w:val="0"/>
    </w:rPr>
  </w:style>
  <w:style w:type="paragraph" w:styleId="TOC1">
    <w:name w:val="toc 1"/>
    <w:basedOn w:val="Normal"/>
    <w:next w:val="Normal"/>
    <w:autoRedefine/>
    <w:uiPriority w:val="39"/>
    <w:unhideWhenUsed/>
    <w:rsid w:val="00C9588C"/>
    <w:pPr>
      <w:spacing w:after="100"/>
    </w:pPr>
  </w:style>
  <w:style w:type="paragraph" w:styleId="TOC2">
    <w:name w:val="toc 2"/>
    <w:basedOn w:val="Normal"/>
    <w:next w:val="Normal"/>
    <w:autoRedefine/>
    <w:uiPriority w:val="39"/>
    <w:unhideWhenUsed/>
    <w:rsid w:val="00C9588C"/>
    <w:pPr>
      <w:spacing w:after="100"/>
      <w:ind w:left="240"/>
    </w:pPr>
  </w:style>
  <w:style w:type="paragraph" w:styleId="ListParagraph">
    <w:name w:val="List Paragraph"/>
    <w:basedOn w:val="Normal"/>
    <w:uiPriority w:val="99"/>
    <w:qFormat/>
    <w:rsid w:val="00C9588C"/>
    <w:pPr>
      <w:ind w:left="720"/>
      <w:contextualSpacing/>
    </w:pPr>
  </w:style>
  <w:style w:type="character" w:customStyle="1" w:styleId="15">
    <w:name w:val="15"/>
    <w:basedOn w:val="DefaultParagraphFont"/>
    <w:rsid w:val="00C9588C"/>
    <w:rPr>
      <w:rFonts w:ascii="Calibri" w:hAnsi="Calibri" w:cs="Calibri" w:hint="default"/>
      <w:color w:val="0563C1"/>
      <w:u w:val="single"/>
    </w:rPr>
  </w:style>
  <w:style w:type="table" w:customStyle="1" w:styleId="GridTable3Accent1">
    <w:name w:val="Grid Table 3 Accent 1"/>
    <w:basedOn w:val="TableNormal"/>
    <w:rsid w:val="00C9588C"/>
    <w:pPr>
      <w:spacing w:after="0" w:line="240" w:lineRule="auto"/>
    </w:pPr>
    <w:rPr>
      <w:rFonts w:ascii="Times New Roman" w:eastAsia="Times New Roman" w:hAnsi="Times New Roman" w:cs="Times New Roman"/>
      <w:sz w:val="20"/>
      <w:szCs w:val="20"/>
      <w:lang w:eastAsia="en-GB"/>
    </w:rPr>
    <w:tblPr>
      <w:tblInd w:w="0" w:type="nil"/>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rFonts w:ascii="Times New Roman" w:hAnsi="Times New Roman" w:cs="Times New Roman" w:hint="default"/>
        <w:b/>
        <w:bCs/>
      </w:rPr>
      <w:tblPr/>
      <w:tcPr>
        <w:tcBorders>
          <w:top w:val="none" w:sz="0" w:space="0" w:color="auto"/>
          <w:left w:val="none" w:sz="0" w:space="0" w:color="auto"/>
          <w:right w:val="none" w:sz="0" w:space="0" w:color="auto"/>
          <w:insideH w:val="none" w:sz="0" w:space="0" w:color="auto"/>
          <w:insideV w:val="none" w:sz="0" w:space="0" w:color="auto"/>
        </w:tcBorders>
        <w:shd w:val="clear" w:color="auto" w:fill="FFFFFF"/>
      </w:tcPr>
    </w:tblStylePr>
    <w:tblStylePr w:type="lastRow">
      <w:rPr>
        <w:rFonts w:ascii="Times New Roman" w:hAnsi="Times New Roman" w:cs="Times New Roman" w:hint="default"/>
        <w:b/>
        <w:bCs/>
      </w:rPr>
      <w:tblPr/>
      <w:tcPr>
        <w:tcBorders>
          <w:left w:val="none" w:sz="0" w:space="0" w:color="auto"/>
          <w:bottom w:val="none" w:sz="0" w:space="0" w:color="auto"/>
          <w:right w:val="none" w:sz="0" w:space="0" w:color="auto"/>
          <w:insideH w:val="none" w:sz="0" w:space="0" w:color="auto"/>
          <w:insideV w:val="none" w:sz="0" w:space="0" w:color="auto"/>
        </w:tcBorders>
        <w:shd w:val="clear" w:color="auto" w:fill="FFFFFF"/>
      </w:tcPr>
    </w:tblStylePr>
    <w:tblStylePr w:type="firstCol">
      <w:pPr>
        <w:jc w:val="right"/>
      </w:pPr>
      <w:rPr>
        <w:rFonts w:ascii="Times New Roman" w:hAnsi="Times New Roman" w:cs="Times New Roman" w:hint="default"/>
        <w:i/>
        <w:iCs/>
      </w:rPr>
      <w:tblPr/>
      <w:tcPr>
        <w:tcBorders>
          <w:top w:val="none" w:sz="0" w:space="0" w:color="auto"/>
          <w:left w:val="none" w:sz="0" w:space="0" w:color="auto"/>
          <w:bottom w:val="none" w:sz="0" w:space="0" w:color="auto"/>
          <w:insideH w:val="none" w:sz="0" w:space="0" w:color="auto"/>
          <w:insideV w:val="none" w:sz="0" w:space="0" w:color="auto"/>
        </w:tcBorders>
        <w:shd w:val="clear" w:color="auto" w:fill="FFFFFF"/>
      </w:tcPr>
    </w:tblStylePr>
    <w:tblStylePr w:type="lastCol">
      <w:rPr>
        <w:rFonts w:ascii="Times New Roman" w:hAnsi="Times New Roman" w:cs="Times New Roman" w:hint="default"/>
        <w:i/>
        <w:iCs/>
      </w:rPr>
      <w:tblPr/>
      <w:tcPr>
        <w:tcBorders>
          <w:top w:val="none" w:sz="0" w:space="0" w:color="auto"/>
          <w:bottom w:val="none" w:sz="0" w:space="0" w:color="auto"/>
          <w:right w:val="none" w:sz="0" w:space="0" w:color="auto"/>
          <w:insideH w:val="none" w:sz="0" w:space="0" w:color="auto"/>
          <w:insideV w:val="none" w:sz="0" w:space="0" w:color="auto"/>
        </w:tcBorders>
        <w:shd w:val="clear" w:color="auto" w:fill="FFFFFF"/>
      </w:tcPr>
    </w:tblStylePr>
    <w:tblStylePr w:type="band1Vert">
      <w:tblPr/>
      <w:tcPr>
        <w:shd w:val="clear" w:color="auto" w:fill="D9E2F3"/>
      </w:tcPr>
    </w:tblStylePr>
    <w:tblStylePr w:type="band1Horz">
      <w:tblPr/>
      <w:tcPr>
        <w:shd w:val="clear" w:color="auto" w:fill="D9E2F3"/>
      </w:tcPr>
    </w:tblStylePr>
    <w:tblStylePr w:type="neCell">
      <w:tblPr/>
      <w:tcPr>
        <w:tcBorders>
          <w:bottom w:val="single" w:sz="4" w:space="0" w:color="8EAADB"/>
        </w:tcBorders>
      </w:tcPr>
    </w:tblStylePr>
    <w:tblStylePr w:type="nwCell">
      <w:tblPr/>
      <w:tcPr>
        <w:tcBorders>
          <w:bottom w:val="single" w:sz="4" w:space="0" w:color="8EAADB"/>
        </w:tcBorders>
      </w:tcPr>
    </w:tblStylePr>
    <w:tblStylePr w:type="seCell">
      <w:tblPr/>
      <w:tcPr>
        <w:tcBorders>
          <w:top w:val="single" w:sz="4" w:space="0" w:color="8EAADB"/>
        </w:tcBorders>
      </w:tcPr>
    </w:tblStylePr>
    <w:tblStylePr w:type="swCell">
      <w:tblPr/>
      <w:tcPr>
        <w:tcBorders>
          <w:top w:val="single" w:sz="4" w:space="0" w:color="8EAADB"/>
        </w:tcBorders>
      </w:tcPr>
    </w:tblStylePr>
  </w:style>
  <w:style w:type="character" w:styleId="Hyperlink">
    <w:name w:val="Hyperlink"/>
    <w:basedOn w:val="DefaultParagraphFont"/>
    <w:uiPriority w:val="99"/>
    <w:unhideWhenUsed/>
    <w:rsid w:val="00C9588C"/>
    <w:rPr>
      <w:color w:val="0000FF"/>
      <w:u w:val="single"/>
    </w:rPr>
  </w:style>
  <w:style w:type="paragraph" w:styleId="Header">
    <w:name w:val="header"/>
    <w:basedOn w:val="Normal"/>
    <w:link w:val="HeaderChar"/>
    <w:uiPriority w:val="99"/>
    <w:unhideWhenUsed/>
    <w:rsid w:val="006E43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E4302"/>
    <w:rPr>
      <w:rFonts w:ascii="Times New Roman" w:eastAsia="Calibri" w:hAnsi="Times New Roman" w:cs="Arial"/>
      <w:sz w:val="24"/>
      <w:szCs w:val="24"/>
      <w:lang w:eastAsia="en-GB"/>
    </w:rPr>
  </w:style>
  <w:style w:type="paragraph" w:styleId="Footer">
    <w:name w:val="footer"/>
    <w:basedOn w:val="Normal"/>
    <w:link w:val="FooterChar"/>
    <w:uiPriority w:val="99"/>
    <w:unhideWhenUsed/>
    <w:rsid w:val="006E43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E4302"/>
    <w:rPr>
      <w:rFonts w:ascii="Times New Roman" w:eastAsia="Calibri" w:hAnsi="Times New Roman" w:cs="Arial"/>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1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14</Pages>
  <Words>2637</Words>
  <Characters>15034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1</cp:revision>
  <dcterms:created xsi:type="dcterms:W3CDTF">2022-05-03T15:35:00Z</dcterms:created>
  <dcterms:modified xsi:type="dcterms:W3CDTF">2022-05-03T16:18:00Z</dcterms:modified>
</cp:coreProperties>
</file>