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77CD2" w14:textId="5EAD1405" w:rsidR="00146257" w:rsidRPr="00146257" w:rsidRDefault="00146257" w:rsidP="00146257">
      <w:pPr>
        <w:jc w:val="center"/>
        <w:rPr>
          <w:rFonts w:ascii="Arial" w:hAnsi="Arial" w:cs="Arial"/>
          <w:b/>
          <w:bCs/>
          <w:sz w:val="32"/>
          <w:szCs w:val="32"/>
        </w:rPr>
      </w:pPr>
      <w:r w:rsidRPr="00EC64BC">
        <w:rPr>
          <w:rFonts w:ascii="Arial" w:hAnsi="Arial" w:cs="Arial"/>
          <w:b/>
          <w:noProof/>
          <w:sz w:val="32"/>
          <w:szCs w:val="32"/>
        </w:rPr>
        <w:drawing>
          <wp:inline distT="0" distB="0" distL="0" distR="0" wp14:anchorId="0D76423B" wp14:editId="221D720D">
            <wp:extent cx="1028700" cy="1028700"/>
            <wp:effectExtent l="0" t="0" r="0" b="0"/>
            <wp:docPr id="1649416211" name="Picture 2" descr="A black and yellow shield with blue flowers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028700" cy="1028700"/>
                    </a:xfrm>
                    <a:prstGeom prst="rect">
                      <a:avLst/>
                    </a:prstGeom>
                    <a:noFill/>
                    <a:ln>
                      <a:noFill/>
                    </a:ln>
                  </pic:spPr>
                </pic:pic>
              </a:graphicData>
            </a:graphic>
          </wp:inline>
        </w:drawing>
      </w:r>
    </w:p>
    <w:p w14:paraId="41DC3E49" w14:textId="77777777" w:rsidR="00146257" w:rsidRPr="00146257" w:rsidRDefault="00146257" w:rsidP="00146257">
      <w:pPr>
        <w:jc w:val="center"/>
        <w:rPr>
          <w:rFonts w:ascii="Arial" w:hAnsi="Arial" w:cs="Arial"/>
          <w:b/>
          <w:bCs/>
          <w:sz w:val="32"/>
          <w:szCs w:val="32"/>
        </w:rPr>
      </w:pPr>
    </w:p>
    <w:p w14:paraId="394E40A0" w14:textId="77777777" w:rsidR="00146257" w:rsidRPr="00146257" w:rsidRDefault="00146257" w:rsidP="00146257">
      <w:pPr>
        <w:jc w:val="center"/>
        <w:rPr>
          <w:rFonts w:ascii="Arial" w:hAnsi="Arial" w:cs="Arial"/>
          <w:b/>
          <w:bCs/>
          <w:sz w:val="32"/>
          <w:szCs w:val="32"/>
        </w:rPr>
      </w:pPr>
      <w:r w:rsidRPr="00146257">
        <w:rPr>
          <w:rFonts w:ascii="Arial" w:hAnsi="Arial" w:cs="Arial"/>
          <w:b/>
          <w:bCs/>
          <w:sz w:val="32"/>
          <w:szCs w:val="32"/>
        </w:rPr>
        <w:t>University of Wales Trinity Saint David</w:t>
      </w:r>
    </w:p>
    <w:p w14:paraId="0A120641" w14:textId="77777777" w:rsidR="00146257" w:rsidRPr="00146257" w:rsidRDefault="00146257" w:rsidP="00146257">
      <w:pPr>
        <w:jc w:val="center"/>
        <w:rPr>
          <w:rFonts w:ascii="Arial" w:hAnsi="Arial" w:cs="Arial"/>
          <w:sz w:val="32"/>
          <w:szCs w:val="32"/>
        </w:rPr>
      </w:pPr>
    </w:p>
    <w:p w14:paraId="7086B411" w14:textId="77777777" w:rsidR="00146257" w:rsidRPr="00146257" w:rsidRDefault="00146257" w:rsidP="00146257">
      <w:pPr>
        <w:jc w:val="center"/>
        <w:rPr>
          <w:rFonts w:ascii="Arial" w:hAnsi="Arial" w:cs="Arial"/>
          <w:b/>
          <w:bCs/>
          <w:sz w:val="32"/>
          <w:szCs w:val="32"/>
        </w:rPr>
      </w:pPr>
    </w:p>
    <w:p w14:paraId="7AB6E2D0" w14:textId="77777777" w:rsidR="00146257" w:rsidRPr="00146257" w:rsidRDefault="00146257" w:rsidP="00146257">
      <w:pPr>
        <w:jc w:val="center"/>
        <w:rPr>
          <w:rFonts w:ascii="Arial" w:hAnsi="Arial" w:cs="Arial"/>
          <w:sz w:val="32"/>
          <w:szCs w:val="32"/>
        </w:rPr>
      </w:pPr>
      <w:r w:rsidRPr="00146257">
        <w:rPr>
          <w:rFonts w:ascii="Arial" w:hAnsi="Arial" w:cs="Arial"/>
          <w:b/>
          <w:bCs/>
          <w:sz w:val="32"/>
          <w:szCs w:val="32"/>
        </w:rPr>
        <w:t>Programme:</w:t>
      </w:r>
      <w:r w:rsidRPr="00146257">
        <w:rPr>
          <w:rFonts w:ascii="Arial" w:hAnsi="Arial" w:cs="Arial"/>
          <w:sz w:val="32"/>
          <w:szCs w:val="32"/>
        </w:rPr>
        <w:t xml:space="preserve"> BA (Hons) Business Management</w:t>
      </w:r>
    </w:p>
    <w:p w14:paraId="55284278" w14:textId="77777777" w:rsidR="00146257" w:rsidRPr="00146257" w:rsidRDefault="00146257" w:rsidP="00146257">
      <w:pPr>
        <w:jc w:val="center"/>
        <w:rPr>
          <w:rFonts w:ascii="Arial" w:hAnsi="Arial" w:cs="Arial"/>
          <w:sz w:val="32"/>
          <w:szCs w:val="32"/>
        </w:rPr>
      </w:pPr>
    </w:p>
    <w:p w14:paraId="048AC7A5" w14:textId="39E6BD3A" w:rsidR="00146257" w:rsidRPr="00146257" w:rsidRDefault="00146257" w:rsidP="00146257">
      <w:pPr>
        <w:jc w:val="center"/>
        <w:rPr>
          <w:rFonts w:ascii="Arial" w:hAnsi="Arial" w:cs="Arial"/>
          <w:sz w:val="32"/>
          <w:szCs w:val="32"/>
        </w:rPr>
      </w:pPr>
      <w:r w:rsidRPr="00146257">
        <w:rPr>
          <w:rFonts w:ascii="Arial" w:hAnsi="Arial" w:cs="Arial"/>
          <w:b/>
          <w:bCs/>
          <w:sz w:val="32"/>
          <w:szCs w:val="32"/>
        </w:rPr>
        <w:t>Module:</w:t>
      </w:r>
      <w:r w:rsidRPr="00146257">
        <w:rPr>
          <w:rFonts w:ascii="Arial" w:hAnsi="Arial" w:cs="Arial"/>
          <w:sz w:val="32"/>
          <w:szCs w:val="32"/>
        </w:rPr>
        <w:t xml:space="preserve"> </w:t>
      </w:r>
      <w:r w:rsidRPr="00EC64BC">
        <w:rPr>
          <w:rFonts w:ascii="Arial" w:hAnsi="Arial" w:cs="Arial"/>
          <w:sz w:val="32"/>
          <w:szCs w:val="32"/>
        </w:rPr>
        <w:t>Principles of Human Resource Management</w:t>
      </w:r>
    </w:p>
    <w:p w14:paraId="5B19B472" w14:textId="77777777" w:rsidR="00146257" w:rsidRPr="00146257" w:rsidRDefault="00146257" w:rsidP="00146257">
      <w:pPr>
        <w:jc w:val="center"/>
        <w:rPr>
          <w:rFonts w:ascii="Arial" w:hAnsi="Arial" w:cs="Arial"/>
          <w:sz w:val="32"/>
          <w:szCs w:val="32"/>
        </w:rPr>
      </w:pPr>
    </w:p>
    <w:p w14:paraId="042C5967" w14:textId="4519A2A3" w:rsidR="00146257" w:rsidRPr="00EC64BC" w:rsidRDefault="00146257" w:rsidP="00146257">
      <w:pPr>
        <w:jc w:val="center"/>
        <w:rPr>
          <w:rFonts w:ascii="Arial" w:hAnsi="Arial" w:cs="Arial"/>
          <w:sz w:val="32"/>
          <w:szCs w:val="32"/>
        </w:rPr>
      </w:pPr>
      <w:r w:rsidRPr="00146257">
        <w:rPr>
          <w:rFonts w:ascii="Arial" w:hAnsi="Arial" w:cs="Arial"/>
          <w:b/>
          <w:bCs/>
          <w:sz w:val="32"/>
          <w:szCs w:val="32"/>
        </w:rPr>
        <w:t>Module Code:</w:t>
      </w:r>
      <w:r w:rsidRPr="00146257">
        <w:rPr>
          <w:rFonts w:ascii="Arial" w:hAnsi="Arial" w:cs="Arial"/>
          <w:sz w:val="32"/>
          <w:szCs w:val="32"/>
        </w:rPr>
        <w:t xml:space="preserve"> LCBB501</w:t>
      </w:r>
      <w:r w:rsidR="00EC64BC" w:rsidRPr="00EC64BC">
        <w:rPr>
          <w:rFonts w:ascii="Arial" w:hAnsi="Arial" w:cs="Arial"/>
          <w:sz w:val="32"/>
          <w:szCs w:val="32"/>
        </w:rPr>
        <w:t>2</w:t>
      </w:r>
    </w:p>
    <w:p w14:paraId="0E592B2E" w14:textId="77777777" w:rsidR="00EC64BC" w:rsidRPr="00146257" w:rsidRDefault="00EC64BC" w:rsidP="00146257">
      <w:pPr>
        <w:jc w:val="center"/>
        <w:rPr>
          <w:rFonts w:ascii="Arial" w:hAnsi="Arial" w:cs="Arial"/>
          <w:sz w:val="32"/>
          <w:szCs w:val="32"/>
        </w:rPr>
      </w:pPr>
    </w:p>
    <w:p w14:paraId="346E6BAE" w14:textId="08F10DB0" w:rsidR="00146257" w:rsidRPr="00146257" w:rsidRDefault="00146257" w:rsidP="00146257">
      <w:pPr>
        <w:jc w:val="center"/>
        <w:rPr>
          <w:rFonts w:ascii="Arial" w:hAnsi="Arial" w:cs="Arial"/>
          <w:sz w:val="32"/>
          <w:szCs w:val="32"/>
        </w:rPr>
      </w:pPr>
      <w:r w:rsidRPr="00146257">
        <w:rPr>
          <w:rFonts w:ascii="Arial" w:hAnsi="Arial" w:cs="Arial"/>
          <w:b/>
          <w:bCs/>
          <w:sz w:val="32"/>
          <w:szCs w:val="32"/>
        </w:rPr>
        <w:t>Assignment Title:</w:t>
      </w:r>
      <w:r w:rsidRPr="00146257">
        <w:rPr>
          <w:rFonts w:ascii="Arial" w:hAnsi="Arial" w:cs="Arial"/>
          <w:sz w:val="32"/>
          <w:szCs w:val="32"/>
        </w:rPr>
        <w:t xml:space="preserve"> Assessment </w:t>
      </w:r>
      <w:r w:rsidR="00EC64BC" w:rsidRPr="00EC64BC">
        <w:rPr>
          <w:rFonts w:ascii="Arial" w:hAnsi="Arial" w:cs="Arial"/>
          <w:sz w:val="32"/>
          <w:szCs w:val="32"/>
        </w:rPr>
        <w:t>2</w:t>
      </w:r>
      <w:r w:rsidRPr="00146257">
        <w:rPr>
          <w:rFonts w:ascii="Arial" w:hAnsi="Arial" w:cs="Arial"/>
          <w:sz w:val="32"/>
          <w:szCs w:val="32"/>
        </w:rPr>
        <w:t>: Individual Report</w:t>
      </w:r>
    </w:p>
    <w:p w14:paraId="0B25D2F2" w14:textId="77777777" w:rsidR="00146257" w:rsidRPr="00146257" w:rsidRDefault="00146257" w:rsidP="00146257">
      <w:pPr>
        <w:jc w:val="center"/>
        <w:rPr>
          <w:rFonts w:ascii="Arial" w:hAnsi="Arial" w:cs="Arial"/>
          <w:sz w:val="32"/>
          <w:szCs w:val="32"/>
        </w:rPr>
      </w:pPr>
    </w:p>
    <w:p w14:paraId="451A547F" w14:textId="77777777" w:rsidR="00146257" w:rsidRPr="00146257" w:rsidRDefault="00146257" w:rsidP="00146257">
      <w:pPr>
        <w:jc w:val="center"/>
        <w:rPr>
          <w:rFonts w:ascii="Arial" w:hAnsi="Arial" w:cs="Arial"/>
          <w:sz w:val="32"/>
          <w:szCs w:val="32"/>
        </w:rPr>
      </w:pPr>
    </w:p>
    <w:p w14:paraId="1E286A06" w14:textId="77777777" w:rsidR="00146257" w:rsidRPr="00146257" w:rsidRDefault="00146257" w:rsidP="00146257">
      <w:pPr>
        <w:jc w:val="center"/>
        <w:rPr>
          <w:rFonts w:ascii="Arial" w:hAnsi="Arial" w:cs="Arial"/>
          <w:sz w:val="32"/>
          <w:szCs w:val="32"/>
        </w:rPr>
      </w:pPr>
      <w:r w:rsidRPr="00146257">
        <w:rPr>
          <w:rFonts w:ascii="Arial" w:hAnsi="Arial" w:cs="Arial"/>
          <w:b/>
          <w:bCs/>
          <w:sz w:val="32"/>
          <w:szCs w:val="32"/>
        </w:rPr>
        <w:t>Student Name:</w:t>
      </w:r>
      <w:r w:rsidRPr="00146257">
        <w:rPr>
          <w:rFonts w:ascii="Arial" w:hAnsi="Arial" w:cs="Arial"/>
          <w:sz w:val="32"/>
          <w:szCs w:val="32"/>
        </w:rPr>
        <w:t xml:space="preserve"> Alisa-Ioana Mercar</w:t>
      </w:r>
    </w:p>
    <w:p w14:paraId="0F783283" w14:textId="77777777" w:rsidR="00146257" w:rsidRPr="00146257" w:rsidRDefault="00146257" w:rsidP="00146257">
      <w:pPr>
        <w:jc w:val="center"/>
        <w:rPr>
          <w:rFonts w:ascii="Arial" w:hAnsi="Arial" w:cs="Arial"/>
          <w:b/>
          <w:bCs/>
          <w:sz w:val="32"/>
          <w:szCs w:val="32"/>
        </w:rPr>
      </w:pPr>
      <w:r w:rsidRPr="00146257">
        <w:rPr>
          <w:rFonts w:ascii="Arial" w:hAnsi="Arial" w:cs="Arial"/>
          <w:b/>
          <w:bCs/>
          <w:sz w:val="32"/>
          <w:szCs w:val="32"/>
        </w:rPr>
        <w:t>Student ID:</w:t>
      </w:r>
      <w:r w:rsidRPr="00146257">
        <w:rPr>
          <w:rFonts w:ascii="Arial" w:hAnsi="Arial" w:cs="Arial"/>
          <w:sz w:val="32"/>
          <w:szCs w:val="32"/>
        </w:rPr>
        <w:t xml:space="preserve"> 2232340</w:t>
      </w:r>
    </w:p>
    <w:p w14:paraId="11368643" w14:textId="77777777" w:rsidR="00146257" w:rsidRPr="00146257" w:rsidRDefault="00146257" w:rsidP="00146257">
      <w:pPr>
        <w:jc w:val="center"/>
        <w:rPr>
          <w:rFonts w:ascii="Arial" w:hAnsi="Arial" w:cs="Arial"/>
          <w:sz w:val="32"/>
          <w:szCs w:val="32"/>
        </w:rPr>
      </w:pPr>
    </w:p>
    <w:p w14:paraId="73C9746E" w14:textId="2BF5A1A8" w:rsidR="00146257" w:rsidRPr="00146257" w:rsidRDefault="00146257" w:rsidP="00146257">
      <w:pPr>
        <w:jc w:val="center"/>
        <w:rPr>
          <w:rFonts w:ascii="Arial" w:hAnsi="Arial" w:cs="Arial"/>
          <w:sz w:val="32"/>
          <w:szCs w:val="32"/>
        </w:rPr>
      </w:pPr>
      <w:r w:rsidRPr="00146257">
        <w:rPr>
          <w:rFonts w:ascii="Arial" w:hAnsi="Arial" w:cs="Arial"/>
          <w:b/>
          <w:bCs/>
          <w:sz w:val="32"/>
          <w:szCs w:val="32"/>
        </w:rPr>
        <w:t>Lecturer:</w:t>
      </w:r>
      <w:r w:rsidRPr="00146257">
        <w:rPr>
          <w:rFonts w:ascii="Arial" w:hAnsi="Arial" w:cs="Arial"/>
          <w:sz w:val="32"/>
          <w:szCs w:val="32"/>
        </w:rPr>
        <w:t xml:space="preserve"> </w:t>
      </w:r>
      <w:r w:rsidR="00EC64BC" w:rsidRPr="00EC64BC">
        <w:rPr>
          <w:rFonts w:ascii="Arial" w:hAnsi="Arial" w:cs="Arial"/>
          <w:sz w:val="32"/>
          <w:szCs w:val="32"/>
        </w:rPr>
        <w:t>Nadeem Mirza</w:t>
      </w:r>
    </w:p>
    <w:p w14:paraId="128493BA" w14:textId="77777777" w:rsidR="00146257" w:rsidRPr="00146257" w:rsidRDefault="00146257" w:rsidP="00146257"/>
    <w:p w14:paraId="790A0A79" w14:textId="77777777" w:rsidR="00356B8C" w:rsidRDefault="00356B8C"/>
    <w:p w14:paraId="094EA323" w14:textId="77777777" w:rsidR="00EC64BC" w:rsidRDefault="00EC64BC"/>
    <w:p w14:paraId="145DB131" w14:textId="77777777" w:rsidR="00EC64BC" w:rsidRDefault="00EC64BC"/>
    <w:sdt>
      <w:sdtPr>
        <w:rPr>
          <w:rFonts w:asciiTheme="minorHAnsi" w:eastAsiaTheme="minorHAnsi" w:hAnsiTheme="minorHAnsi" w:cstheme="minorBidi"/>
          <w:color w:val="156082" w:themeColor="accent1"/>
          <w:kern w:val="2"/>
          <w:sz w:val="24"/>
          <w:szCs w:val="24"/>
          <w:lang w:val="en-GB"/>
          <w14:ligatures w14:val="standardContextual"/>
        </w:rPr>
        <w:id w:val="-1900048793"/>
        <w:docPartObj>
          <w:docPartGallery w:val="Table of Contents"/>
          <w:docPartUnique/>
        </w:docPartObj>
      </w:sdtPr>
      <w:sdtEndPr>
        <w:rPr>
          <w:b/>
          <w:bCs/>
          <w:noProof/>
          <w:color w:val="auto"/>
        </w:rPr>
      </w:sdtEndPr>
      <w:sdtContent>
        <w:p w14:paraId="10952417" w14:textId="7099CD14" w:rsidR="00EC64BC" w:rsidRPr="00952FA9" w:rsidRDefault="00952FA9">
          <w:pPr>
            <w:pStyle w:val="TOCHeading"/>
            <w:rPr>
              <w:rFonts w:ascii="Arial" w:hAnsi="Arial" w:cs="Arial"/>
              <w:color w:val="156082" w:themeColor="accent1"/>
              <w:sz w:val="24"/>
              <w:szCs w:val="24"/>
            </w:rPr>
          </w:pPr>
          <w:r w:rsidRPr="00952FA9">
            <w:rPr>
              <w:rFonts w:ascii="Arial" w:eastAsiaTheme="minorHAnsi" w:hAnsi="Arial" w:cs="Arial"/>
              <w:color w:val="156082" w:themeColor="accent1"/>
              <w:kern w:val="2"/>
              <w:sz w:val="24"/>
              <w:szCs w:val="24"/>
              <w:lang w:val="en-GB"/>
              <w14:ligatures w14:val="standardContextual"/>
            </w:rPr>
            <w:t>Table of Contents</w:t>
          </w:r>
        </w:p>
        <w:p w14:paraId="4570432C" w14:textId="547ABAC2" w:rsidR="00952FA9" w:rsidRDefault="00EC64BC">
          <w:pPr>
            <w:pStyle w:val="TOC1"/>
            <w:tabs>
              <w:tab w:val="right" w:leader="dot" w:pos="9016"/>
            </w:tabs>
            <w:rPr>
              <w:rFonts w:eastAsiaTheme="minorEastAsia"/>
              <w:noProof/>
              <w:lang w:eastAsia="en-GB"/>
            </w:rPr>
          </w:pPr>
          <w:r w:rsidRPr="00952FA9">
            <w:rPr>
              <w:rFonts w:ascii="Arial" w:hAnsi="Arial" w:cs="Arial"/>
            </w:rPr>
            <w:fldChar w:fldCharType="begin"/>
          </w:r>
          <w:r w:rsidRPr="00952FA9">
            <w:rPr>
              <w:rFonts w:ascii="Arial" w:hAnsi="Arial" w:cs="Arial"/>
            </w:rPr>
            <w:instrText xml:space="preserve"> TOC \o "1-3" \h \z \u </w:instrText>
          </w:r>
          <w:r w:rsidRPr="00952FA9">
            <w:rPr>
              <w:rFonts w:ascii="Arial" w:hAnsi="Arial" w:cs="Arial"/>
            </w:rPr>
            <w:fldChar w:fldCharType="separate"/>
          </w:r>
          <w:hyperlink w:anchor="_Toc214717661" w:history="1">
            <w:r w:rsidR="00952FA9" w:rsidRPr="001749A7">
              <w:rPr>
                <w:rStyle w:val="Hyperlink"/>
                <w:rFonts w:ascii="Arial" w:hAnsi="Arial" w:cs="Arial"/>
                <w:noProof/>
              </w:rPr>
              <w:t>Introduction</w:t>
            </w:r>
            <w:r w:rsidR="00952FA9">
              <w:rPr>
                <w:noProof/>
                <w:webHidden/>
              </w:rPr>
              <w:tab/>
            </w:r>
            <w:r w:rsidR="00952FA9">
              <w:rPr>
                <w:noProof/>
                <w:webHidden/>
              </w:rPr>
              <w:fldChar w:fldCharType="begin"/>
            </w:r>
            <w:r w:rsidR="00952FA9">
              <w:rPr>
                <w:noProof/>
                <w:webHidden/>
              </w:rPr>
              <w:instrText xml:space="preserve"> PAGEREF _Toc214717661 \h </w:instrText>
            </w:r>
            <w:r w:rsidR="00952FA9">
              <w:rPr>
                <w:noProof/>
                <w:webHidden/>
              </w:rPr>
            </w:r>
            <w:r w:rsidR="00952FA9">
              <w:rPr>
                <w:noProof/>
                <w:webHidden/>
              </w:rPr>
              <w:fldChar w:fldCharType="separate"/>
            </w:r>
            <w:r w:rsidR="00952FA9">
              <w:rPr>
                <w:noProof/>
                <w:webHidden/>
              </w:rPr>
              <w:t>3</w:t>
            </w:r>
            <w:r w:rsidR="00952FA9">
              <w:rPr>
                <w:noProof/>
                <w:webHidden/>
              </w:rPr>
              <w:fldChar w:fldCharType="end"/>
            </w:r>
          </w:hyperlink>
        </w:p>
        <w:p w14:paraId="7ECDCF6A" w14:textId="6BD54F62" w:rsidR="00952FA9" w:rsidRDefault="00952FA9">
          <w:pPr>
            <w:pStyle w:val="TOC1"/>
            <w:tabs>
              <w:tab w:val="right" w:leader="dot" w:pos="9016"/>
            </w:tabs>
            <w:rPr>
              <w:rFonts w:eastAsiaTheme="minorEastAsia"/>
              <w:noProof/>
              <w:lang w:eastAsia="en-GB"/>
            </w:rPr>
          </w:pPr>
          <w:hyperlink w:anchor="_Toc214717662" w:history="1">
            <w:r w:rsidRPr="001749A7">
              <w:rPr>
                <w:rStyle w:val="Hyperlink"/>
                <w:rFonts w:ascii="Arial" w:hAnsi="Arial" w:cs="Arial"/>
                <w:noProof/>
              </w:rPr>
              <w:t>Internal and External Environment</w:t>
            </w:r>
            <w:r>
              <w:rPr>
                <w:noProof/>
                <w:webHidden/>
              </w:rPr>
              <w:tab/>
            </w:r>
            <w:r>
              <w:rPr>
                <w:noProof/>
                <w:webHidden/>
              </w:rPr>
              <w:fldChar w:fldCharType="begin"/>
            </w:r>
            <w:r>
              <w:rPr>
                <w:noProof/>
                <w:webHidden/>
              </w:rPr>
              <w:instrText xml:space="preserve"> PAGEREF _Toc214717662 \h </w:instrText>
            </w:r>
            <w:r>
              <w:rPr>
                <w:noProof/>
                <w:webHidden/>
              </w:rPr>
            </w:r>
            <w:r>
              <w:rPr>
                <w:noProof/>
                <w:webHidden/>
              </w:rPr>
              <w:fldChar w:fldCharType="separate"/>
            </w:r>
            <w:r>
              <w:rPr>
                <w:noProof/>
                <w:webHidden/>
              </w:rPr>
              <w:t>3</w:t>
            </w:r>
            <w:r>
              <w:rPr>
                <w:noProof/>
                <w:webHidden/>
              </w:rPr>
              <w:fldChar w:fldCharType="end"/>
            </w:r>
          </w:hyperlink>
        </w:p>
        <w:p w14:paraId="389B0CF2" w14:textId="252ADFCB" w:rsidR="00952FA9" w:rsidRDefault="00952FA9">
          <w:pPr>
            <w:pStyle w:val="TOC1"/>
            <w:tabs>
              <w:tab w:val="right" w:leader="dot" w:pos="9016"/>
            </w:tabs>
            <w:rPr>
              <w:rFonts w:eastAsiaTheme="minorEastAsia"/>
              <w:noProof/>
              <w:lang w:eastAsia="en-GB"/>
            </w:rPr>
          </w:pPr>
          <w:hyperlink w:anchor="_Toc214717663" w:history="1">
            <w:r w:rsidRPr="001749A7">
              <w:rPr>
                <w:rStyle w:val="Hyperlink"/>
                <w:rFonts w:ascii="Arial" w:hAnsi="Arial" w:cs="Arial"/>
                <w:noProof/>
              </w:rPr>
              <w:t>Organisation Application – Toyota</w:t>
            </w:r>
            <w:r>
              <w:rPr>
                <w:noProof/>
                <w:webHidden/>
              </w:rPr>
              <w:tab/>
            </w:r>
            <w:r>
              <w:rPr>
                <w:noProof/>
                <w:webHidden/>
              </w:rPr>
              <w:fldChar w:fldCharType="begin"/>
            </w:r>
            <w:r>
              <w:rPr>
                <w:noProof/>
                <w:webHidden/>
              </w:rPr>
              <w:instrText xml:space="preserve"> PAGEREF _Toc214717663 \h </w:instrText>
            </w:r>
            <w:r>
              <w:rPr>
                <w:noProof/>
                <w:webHidden/>
              </w:rPr>
            </w:r>
            <w:r>
              <w:rPr>
                <w:noProof/>
                <w:webHidden/>
              </w:rPr>
              <w:fldChar w:fldCharType="separate"/>
            </w:r>
            <w:r>
              <w:rPr>
                <w:noProof/>
                <w:webHidden/>
              </w:rPr>
              <w:t>5</w:t>
            </w:r>
            <w:r>
              <w:rPr>
                <w:noProof/>
                <w:webHidden/>
              </w:rPr>
              <w:fldChar w:fldCharType="end"/>
            </w:r>
          </w:hyperlink>
        </w:p>
        <w:p w14:paraId="2F4C6812" w14:textId="1B2F0222" w:rsidR="00952FA9" w:rsidRDefault="00952FA9">
          <w:pPr>
            <w:pStyle w:val="TOC1"/>
            <w:tabs>
              <w:tab w:val="right" w:leader="dot" w:pos="9016"/>
            </w:tabs>
            <w:rPr>
              <w:rFonts w:eastAsiaTheme="minorEastAsia"/>
              <w:noProof/>
              <w:lang w:eastAsia="en-GB"/>
            </w:rPr>
          </w:pPr>
          <w:hyperlink w:anchor="_Toc214717664" w:history="1">
            <w:r w:rsidRPr="001749A7">
              <w:rPr>
                <w:rStyle w:val="Hyperlink"/>
                <w:rFonts w:ascii="Arial" w:hAnsi="Arial" w:cs="Arial"/>
                <w:noProof/>
              </w:rPr>
              <w:t>Application of PESTLE Model</w:t>
            </w:r>
            <w:r>
              <w:rPr>
                <w:noProof/>
                <w:webHidden/>
              </w:rPr>
              <w:tab/>
            </w:r>
            <w:r>
              <w:rPr>
                <w:noProof/>
                <w:webHidden/>
              </w:rPr>
              <w:fldChar w:fldCharType="begin"/>
            </w:r>
            <w:r>
              <w:rPr>
                <w:noProof/>
                <w:webHidden/>
              </w:rPr>
              <w:instrText xml:space="preserve"> PAGEREF _Toc214717664 \h </w:instrText>
            </w:r>
            <w:r>
              <w:rPr>
                <w:noProof/>
                <w:webHidden/>
              </w:rPr>
            </w:r>
            <w:r>
              <w:rPr>
                <w:noProof/>
                <w:webHidden/>
              </w:rPr>
              <w:fldChar w:fldCharType="separate"/>
            </w:r>
            <w:r>
              <w:rPr>
                <w:noProof/>
                <w:webHidden/>
              </w:rPr>
              <w:t>6</w:t>
            </w:r>
            <w:r>
              <w:rPr>
                <w:noProof/>
                <w:webHidden/>
              </w:rPr>
              <w:fldChar w:fldCharType="end"/>
            </w:r>
          </w:hyperlink>
        </w:p>
        <w:p w14:paraId="2141514F" w14:textId="2291C060" w:rsidR="00952FA9" w:rsidRDefault="00952FA9">
          <w:pPr>
            <w:pStyle w:val="TOC1"/>
            <w:tabs>
              <w:tab w:val="right" w:leader="dot" w:pos="9016"/>
            </w:tabs>
            <w:rPr>
              <w:rFonts w:eastAsiaTheme="minorEastAsia"/>
              <w:noProof/>
              <w:lang w:eastAsia="en-GB"/>
            </w:rPr>
          </w:pPr>
          <w:hyperlink w:anchor="_Toc214717665" w:history="1">
            <w:r w:rsidRPr="001749A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_Toc214717665 \h </w:instrText>
            </w:r>
            <w:r>
              <w:rPr>
                <w:noProof/>
                <w:webHidden/>
              </w:rPr>
            </w:r>
            <w:r>
              <w:rPr>
                <w:noProof/>
                <w:webHidden/>
              </w:rPr>
              <w:fldChar w:fldCharType="separate"/>
            </w:r>
            <w:r>
              <w:rPr>
                <w:noProof/>
                <w:webHidden/>
              </w:rPr>
              <w:t>7</w:t>
            </w:r>
            <w:r>
              <w:rPr>
                <w:noProof/>
                <w:webHidden/>
              </w:rPr>
              <w:fldChar w:fldCharType="end"/>
            </w:r>
          </w:hyperlink>
        </w:p>
        <w:p w14:paraId="61D90436" w14:textId="7A53761F" w:rsidR="00952FA9" w:rsidRDefault="00952FA9">
          <w:pPr>
            <w:pStyle w:val="TOC1"/>
            <w:tabs>
              <w:tab w:val="right" w:leader="dot" w:pos="9016"/>
            </w:tabs>
            <w:rPr>
              <w:rFonts w:eastAsiaTheme="minorEastAsia"/>
              <w:noProof/>
              <w:lang w:eastAsia="en-GB"/>
            </w:rPr>
          </w:pPr>
          <w:hyperlink w:anchor="_Toc214717666" w:history="1">
            <w:r w:rsidRPr="001749A7">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_Toc214717666 \h </w:instrText>
            </w:r>
            <w:r>
              <w:rPr>
                <w:noProof/>
                <w:webHidden/>
              </w:rPr>
            </w:r>
            <w:r>
              <w:rPr>
                <w:noProof/>
                <w:webHidden/>
              </w:rPr>
              <w:fldChar w:fldCharType="separate"/>
            </w:r>
            <w:r>
              <w:rPr>
                <w:noProof/>
                <w:webHidden/>
              </w:rPr>
              <w:t>9</w:t>
            </w:r>
            <w:r>
              <w:rPr>
                <w:noProof/>
                <w:webHidden/>
              </w:rPr>
              <w:fldChar w:fldCharType="end"/>
            </w:r>
          </w:hyperlink>
        </w:p>
        <w:p w14:paraId="44963410" w14:textId="5D837484" w:rsidR="00EC64BC" w:rsidRDefault="00EC64BC">
          <w:r w:rsidRPr="00952FA9">
            <w:rPr>
              <w:rFonts w:ascii="Arial" w:hAnsi="Arial" w:cs="Arial"/>
              <w:b/>
              <w:bCs/>
              <w:noProof/>
            </w:rPr>
            <w:fldChar w:fldCharType="end"/>
          </w:r>
        </w:p>
      </w:sdtContent>
    </w:sdt>
    <w:p w14:paraId="24A5BD4D" w14:textId="77777777" w:rsidR="00EC64BC" w:rsidRDefault="00EC64BC"/>
    <w:p w14:paraId="7CCF2C0F" w14:textId="77777777" w:rsidR="00302B94" w:rsidRDefault="00302B94"/>
    <w:p w14:paraId="7B34B022" w14:textId="77777777" w:rsidR="00302B94" w:rsidRDefault="00302B94"/>
    <w:p w14:paraId="119EAC67" w14:textId="77777777" w:rsidR="00302B94" w:rsidRDefault="00302B94"/>
    <w:p w14:paraId="72CA88EB" w14:textId="77777777" w:rsidR="00302B94" w:rsidRDefault="00302B94"/>
    <w:p w14:paraId="401BA028" w14:textId="77777777" w:rsidR="00302B94" w:rsidRDefault="00302B94"/>
    <w:p w14:paraId="5797C8E6" w14:textId="77777777" w:rsidR="00302B94" w:rsidRDefault="00302B94"/>
    <w:p w14:paraId="0F909912" w14:textId="77777777" w:rsidR="00302B94" w:rsidRDefault="00302B94"/>
    <w:p w14:paraId="5BE17C1F" w14:textId="77777777" w:rsidR="00302B94" w:rsidRDefault="00302B94"/>
    <w:p w14:paraId="2A3DF1B9" w14:textId="77777777" w:rsidR="00302B94" w:rsidRDefault="00302B94"/>
    <w:p w14:paraId="2F5BEA01" w14:textId="77777777" w:rsidR="00302B94" w:rsidRDefault="00302B94"/>
    <w:p w14:paraId="7AEBB6E4" w14:textId="77777777" w:rsidR="00302B94" w:rsidRDefault="00302B94"/>
    <w:p w14:paraId="4D1C9400" w14:textId="77777777" w:rsidR="00302B94" w:rsidRDefault="00302B94"/>
    <w:p w14:paraId="6666426C" w14:textId="77777777" w:rsidR="00302B94" w:rsidRDefault="00302B94"/>
    <w:p w14:paraId="6CA16043" w14:textId="77777777" w:rsidR="00302B94" w:rsidRDefault="00302B94"/>
    <w:p w14:paraId="6B153950" w14:textId="77777777" w:rsidR="00302B94" w:rsidRDefault="00302B94"/>
    <w:p w14:paraId="6ABA7797" w14:textId="77777777" w:rsidR="00302B94" w:rsidRDefault="00302B94"/>
    <w:p w14:paraId="7B1E572F" w14:textId="77777777" w:rsidR="00302B94" w:rsidRDefault="00302B94"/>
    <w:p w14:paraId="00E40B03" w14:textId="77777777" w:rsidR="00C50C9B" w:rsidRDefault="00C50C9B" w:rsidP="000E36D4">
      <w:pPr>
        <w:pStyle w:val="Heading1"/>
        <w:spacing w:line="360" w:lineRule="auto"/>
        <w:rPr>
          <w:rFonts w:ascii="Arial" w:hAnsi="Arial" w:cs="Arial"/>
          <w:sz w:val="22"/>
          <w:szCs w:val="22"/>
        </w:rPr>
      </w:pPr>
      <w:bookmarkStart w:id="0" w:name="_Toc214717661"/>
    </w:p>
    <w:p w14:paraId="3604A26C" w14:textId="221B0037" w:rsidR="00302B94" w:rsidRPr="000E36D4" w:rsidRDefault="00302B94" w:rsidP="000E36D4">
      <w:pPr>
        <w:pStyle w:val="Heading1"/>
        <w:spacing w:line="360" w:lineRule="auto"/>
        <w:rPr>
          <w:rFonts w:ascii="Arial" w:hAnsi="Arial" w:cs="Arial"/>
          <w:sz w:val="22"/>
          <w:szCs w:val="22"/>
        </w:rPr>
      </w:pPr>
      <w:r w:rsidRPr="000E36D4">
        <w:rPr>
          <w:rFonts w:ascii="Arial" w:hAnsi="Arial" w:cs="Arial"/>
          <w:sz w:val="22"/>
          <w:szCs w:val="22"/>
        </w:rPr>
        <w:t>Introduction</w:t>
      </w:r>
      <w:bookmarkEnd w:id="0"/>
    </w:p>
    <w:p w14:paraId="7ED0FD31" w14:textId="77777777" w:rsidR="00EC0374" w:rsidRPr="000E36D4" w:rsidRDefault="000D0BD3" w:rsidP="000E36D4">
      <w:pPr>
        <w:spacing w:line="360" w:lineRule="auto"/>
        <w:rPr>
          <w:rFonts w:ascii="Arial" w:hAnsi="Arial" w:cs="Arial"/>
          <w:sz w:val="22"/>
          <w:szCs w:val="22"/>
        </w:rPr>
      </w:pPr>
      <w:r w:rsidRPr="000E36D4">
        <w:rPr>
          <w:rFonts w:ascii="Arial" w:hAnsi="Arial" w:cs="Arial"/>
          <w:sz w:val="22"/>
          <w:szCs w:val="22"/>
        </w:rPr>
        <w:t>In order to maintain organizational performance and continuity, human resource managers (HRMs) play a strategic and operational role. They are responsible for fundamental services like hiring, training and development, performance management, and employee interactions, which go much beyond administrative duties (Armstrong &amp; Taylor, 2020). According to Bratton and Gold (2017), these roles are crucial for organizations to sustain high levels of motivation and engagement, enhance the workforce's competencies, and recruit and retain qualified workers.</w:t>
      </w:r>
      <w:r w:rsidR="00EC0374" w:rsidRPr="000E36D4">
        <w:rPr>
          <w:rFonts w:ascii="Arial" w:hAnsi="Arial" w:cs="Arial"/>
          <w:sz w:val="22"/>
          <w:szCs w:val="22"/>
        </w:rPr>
        <w:t xml:space="preserve"> Productivity, creativity, and organizational resilience are all directly impacted by effective HRM. However, both internal and external environmental factors, especially in multinational organizations, have a significant impact on HR managers' capacity to carry out these tasks successfully (Boxall &amp; Purcell, 2016).</w:t>
      </w:r>
    </w:p>
    <w:p w14:paraId="4ED8F83F" w14:textId="191520A9" w:rsidR="00D323F7" w:rsidRPr="000E36D4" w:rsidRDefault="00D323F7" w:rsidP="000E36D4">
      <w:pPr>
        <w:spacing w:line="360" w:lineRule="auto"/>
        <w:rPr>
          <w:rFonts w:ascii="Arial" w:hAnsi="Arial" w:cs="Arial"/>
          <w:sz w:val="22"/>
          <w:szCs w:val="22"/>
        </w:rPr>
      </w:pPr>
      <w:r w:rsidRPr="000E36D4">
        <w:rPr>
          <w:rFonts w:ascii="Arial" w:hAnsi="Arial" w:cs="Arial"/>
          <w:sz w:val="22"/>
          <w:szCs w:val="22"/>
        </w:rPr>
        <w:t xml:space="preserve">HR managers at multinational firms </w:t>
      </w:r>
      <w:r w:rsidR="00F23E96" w:rsidRPr="000E36D4">
        <w:rPr>
          <w:rFonts w:ascii="Arial" w:hAnsi="Arial" w:cs="Arial"/>
          <w:sz w:val="22"/>
          <w:szCs w:val="22"/>
        </w:rPr>
        <w:t>must</w:t>
      </w:r>
      <w:r w:rsidRPr="000E36D4">
        <w:rPr>
          <w:rFonts w:ascii="Arial" w:hAnsi="Arial" w:cs="Arial"/>
          <w:sz w:val="22"/>
          <w:szCs w:val="22"/>
        </w:rPr>
        <w:t xml:space="preserve"> deal with difficult cross-border issues, such as variations in national cultures, </w:t>
      </w:r>
      <w:r w:rsidR="00715044" w:rsidRPr="000E36D4">
        <w:rPr>
          <w:rFonts w:ascii="Arial" w:hAnsi="Arial" w:cs="Arial"/>
          <w:sz w:val="22"/>
          <w:szCs w:val="22"/>
        </w:rPr>
        <w:t>labour</w:t>
      </w:r>
      <w:r w:rsidRPr="000E36D4">
        <w:rPr>
          <w:rFonts w:ascii="Arial" w:hAnsi="Arial" w:cs="Arial"/>
          <w:sz w:val="22"/>
          <w:szCs w:val="22"/>
        </w:rPr>
        <w:t xml:space="preserve"> market conditions, legal requirements, and technological advancements (Dowling, Festing &amp; Engle, 2017). The PESTLE model, a popular method for </w:t>
      </w:r>
      <w:r w:rsidR="00AB2377" w:rsidRPr="000E36D4">
        <w:rPr>
          <w:rFonts w:ascii="Arial" w:hAnsi="Arial" w:cs="Arial"/>
          <w:sz w:val="22"/>
          <w:szCs w:val="22"/>
        </w:rPr>
        <w:t>analysing</w:t>
      </w:r>
      <w:r w:rsidRPr="000E36D4">
        <w:rPr>
          <w:rFonts w:ascii="Arial" w:hAnsi="Arial" w:cs="Arial"/>
          <w:sz w:val="22"/>
          <w:szCs w:val="22"/>
        </w:rPr>
        <w:t xml:space="preserve"> political, economic, social, technical, legal, and environmental aspects of the macroenvironment, is utilized in this paper to </w:t>
      </w:r>
      <w:r w:rsidR="00AB2377" w:rsidRPr="000E36D4">
        <w:rPr>
          <w:rFonts w:ascii="Arial" w:hAnsi="Arial" w:cs="Arial"/>
          <w:sz w:val="22"/>
          <w:szCs w:val="22"/>
        </w:rPr>
        <w:t>analyse</w:t>
      </w:r>
      <w:r w:rsidRPr="000E36D4">
        <w:rPr>
          <w:rFonts w:ascii="Arial" w:hAnsi="Arial" w:cs="Arial"/>
          <w:sz w:val="22"/>
          <w:szCs w:val="22"/>
        </w:rPr>
        <w:t xml:space="preserve"> these influences (Johnson, Whittington &amp; Scholes, 2017).</w:t>
      </w:r>
    </w:p>
    <w:p w14:paraId="08FD0E01" w14:textId="77777777" w:rsidR="00F23E96" w:rsidRPr="000E36D4" w:rsidRDefault="00F23E96" w:rsidP="000E36D4">
      <w:pPr>
        <w:spacing w:line="360" w:lineRule="auto"/>
        <w:rPr>
          <w:rFonts w:ascii="Arial" w:hAnsi="Arial" w:cs="Arial"/>
          <w:sz w:val="22"/>
          <w:szCs w:val="22"/>
        </w:rPr>
      </w:pPr>
      <w:r w:rsidRPr="000E36D4">
        <w:rPr>
          <w:rFonts w:ascii="Arial" w:hAnsi="Arial" w:cs="Arial"/>
          <w:sz w:val="22"/>
          <w:szCs w:val="22"/>
        </w:rPr>
        <w:t>A relevant case study is offered by Toyota Motor Corporation, one of the biggest and most globally integrated automakers in the world. Toyota serves as an example of the necessity for adaptable and contextually aware HR policies due to its global production networks and culturally diverse workforce (Liker, 2004).</w:t>
      </w:r>
      <w:r w:rsidRPr="000E36D4">
        <w:rPr>
          <w:rFonts w:ascii="Arial" w:hAnsi="Arial" w:cs="Arial"/>
          <w:sz w:val="22"/>
          <w:szCs w:val="22"/>
        </w:rPr>
        <w:br/>
      </w:r>
      <w:r w:rsidRPr="000E36D4">
        <w:rPr>
          <w:rFonts w:ascii="Arial" w:hAnsi="Arial" w:cs="Arial"/>
          <w:sz w:val="22"/>
          <w:szCs w:val="22"/>
        </w:rPr>
        <w:br/>
        <w:t>The report is divided into five sections: an introduction; a PESTLE analysis of the internal and external environments; an application of these environmental factors to Toyota; an assessment of the impact of the PESTLE model on Toyota's HR practices; and a conclusion outlining implications for HR managers worldwide.</w:t>
      </w:r>
    </w:p>
    <w:p w14:paraId="186BDBE5" w14:textId="6177F220" w:rsidR="00F23E96" w:rsidRPr="000E36D4" w:rsidRDefault="006F4CEA" w:rsidP="000E36D4">
      <w:pPr>
        <w:pStyle w:val="Heading1"/>
        <w:spacing w:line="360" w:lineRule="auto"/>
        <w:rPr>
          <w:rFonts w:ascii="Arial" w:hAnsi="Arial" w:cs="Arial"/>
          <w:sz w:val="22"/>
          <w:szCs w:val="22"/>
        </w:rPr>
      </w:pPr>
      <w:bookmarkStart w:id="1" w:name="_Toc214717662"/>
      <w:r w:rsidRPr="000E36D4">
        <w:rPr>
          <w:rFonts w:ascii="Arial" w:hAnsi="Arial" w:cs="Arial"/>
          <w:sz w:val="22"/>
          <w:szCs w:val="22"/>
        </w:rPr>
        <w:t>Internal and External Environment</w:t>
      </w:r>
      <w:bookmarkEnd w:id="1"/>
    </w:p>
    <w:p w14:paraId="0660CCB5" w14:textId="5A8E0081" w:rsidR="0036266E" w:rsidRPr="000E36D4" w:rsidRDefault="0036266E" w:rsidP="000E36D4">
      <w:pPr>
        <w:spacing w:line="360" w:lineRule="auto"/>
        <w:rPr>
          <w:rFonts w:ascii="Arial" w:hAnsi="Arial" w:cs="Arial"/>
          <w:sz w:val="22"/>
          <w:szCs w:val="22"/>
        </w:rPr>
      </w:pPr>
      <w:r w:rsidRPr="0036266E">
        <w:rPr>
          <w:rFonts w:ascii="Arial" w:hAnsi="Arial" w:cs="Arial"/>
          <w:sz w:val="22"/>
          <w:szCs w:val="22"/>
        </w:rPr>
        <w:t xml:space="preserve">According to Johnson, Whittington, and Scholes (2017), the PESTLE model is a strategy framework that aids organizations in </w:t>
      </w:r>
      <w:r w:rsidRPr="000E36D4">
        <w:rPr>
          <w:rFonts w:ascii="Arial" w:hAnsi="Arial" w:cs="Arial"/>
          <w:sz w:val="22"/>
          <w:szCs w:val="22"/>
        </w:rPr>
        <w:t>analysing</w:t>
      </w:r>
      <w:r w:rsidRPr="0036266E">
        <w:rPr>
          <w:rFonts w:ascii="Arial" w:hAnsi="Arial" w:cs="Arial"/>
          <w:sz w:val="22"/>
          <w:szCs w:val="22"/>
        </w:rPr>
        <w:t xml:space="preserve"> the macroenvironmental factors influencing their operations. The model is especially useful for HR managers because it sheds light on outside factors that affect talent management, workforce planning, regulatory compliance, and the creation of international HR strategies (Jackson &amp; Schuler, 1995).</w:t>
      </w:r>
    </w:p>
    <w:p w14:paraId="7A7E09E7" w14:textId="52A92BE1" w:rsidR="00F04EE7" w:rsidRPr="000E36D4" w:rsidRDefault="00F04EE7" w:rsidP="000E36D4">
      <w:pPr>
        <w:spacing w:line="360" w:lineRule="auto"/>
        <w:rPr>
          <w:rFonts w:ascii="Arial" w:hAnsi="Arial" w:cs="Arial"/>
          <w:sz w:val="22"/>
          <w:szCs w:val="22"/>
        </w:rPr>
      </w:pPr>
      <w:r w:rsidRPr="00F04EE7">
        <w:rPr>
          <w:rFonts w:ascii="Arial" w:hAnsi="Arial" w:cs="Arial"/>
          <w:sz w:val="22"/>
          <w:szCs w:val="22"/>
        </w:rPr>
        <w:t xml:space="preserve">The setting in which HR managers work is shaped by the internal and external business environments, which also have a major impact on their capacity to carry out HR tasks efficiently. Aligning HR strategies with organizational goals and broader environmental expectations requires an understanding of these settings (Brewster, Mayrhofer &amp; Farndale, 2018). </w:t>
      </w:r>
      <w:r w:rsidR="000D2753" w:rsidRPr="000E36D4">
        <w:rPr>
          <w:rFonts w:ascii="Arial" w:hAnsi="Arial" w:cs="Arial"/>
          <w:sz w:val="22"/>
          <w:szCs w:val="22"/>
        </w:rPr>
        <w:t xml:space="preserve">External forces interact with internal factors like organizational culture, leadership styles, resource availability, and internal communication systems. HR managers must therefore take a comprehensive approach that </w:t>
      </w:r>
      <w:r w:rsidR="000D2753" w:rsidRPr="000E36D4">
        <w:rPr>
          <w:rFonts w:ascii="Arial" w:hAnsi="Arial" w:cs="Arial"/>
          <w:sz w:val="22"/>
          <w:szCs w:val="22"/>
        </w:rPr>
        <w:t>considers</w:t>
      </w:r>
      <w:r w:rsidR="000D2753" w:rsidRPr="000E36D4">
        <w:rPr>
          <w:rFonts w:ascii="Arial" w:hAnsi="Arial" w:cs="Arial"/>
          <w:sz w:val="22"/>
          <w:szCs w:val="22"/>
        </w:rPr>
        <w:t xml:space="preserve"> how internal strengths and limitations affect how they respond to more general political, economic, social, technological, legal, and environmental forces.</w:t>
      </w:r>
    </w:p>
    <w:p w14:paraId="549D972F" w14:textId="16B2DDC6" w:rsidR="00E473DD" w:rsidRPr="000E36D4" w:rsidRDefault="00D220C0" w:rsidP="000E36D4">
      <w:pPr>
        <w:spacing w:line="360" w:lineRule="auto"/>
        <w:rPr>
          <w:rFonts w:ascii="Arial" w:hAnsi="Arial" w:cs="Arial"/>
          <w:sz w:val="22"/>
          <w:szCs w:val="22"/>
        </w:rPr>
      </w:pPr>
      <w:r w:rsidRPr="00D220C0">
        <w:rPr>
          <w:rFonts w:ascii="Arial" w:hAnsi="Arial" w:cs="Arial"/>
          <w:sz w:val="22"/>
          <w:szCs w:val="22"/>
        </w:rPr>
        <w:t xml:space="preserve">Recruitment circumstances, visa restrictions, and the administration of multinational workforces are all influenced by political issues, such as trade ties, </w:t>
      </w:r>
      <w:r w:rsidR="000D2753" w:rsidRPr="000E36D4">
        <w:rPr>
          <w:rFonts w:ascii="Arial" w:hAnsi="Arial" w:cs="Arial"/>
          <w:sz w:val="22"/>
          <w:szCs w:val="22"/>
        </w:rPr>
        <w:t>labour</w:t>
      </w:r>
      <w:r w:rsidRPr="00D220C0">
        <w:rPr>
          <w:rFonts w:ascii="Arial" w:hAnsi="Arial" w:cs="Arial"/>
          <w:sz w:val="22"/>
          <w:szCs w:val="22"/>
        </w:rPr>
        <w:t xml:space="preserve"> legislation, and government stability (Dessler, 2021). Additionally, multinational corporations have to deal with differing degrees of political risk and union influence in different nations.</w:t>
      </w:r>
      <w:r w:rsidR="008C10E9" w:rsidRPr="000E36D4">
        <w:rPr>
          <w:rFonts w:ascii="Arial" w:hAnsi="Arial" w:cs="Arial"/>
          <w:sz w:val="22"/>
          <w:szCs w:val="22"/>
        </w:rPr>
        <w:t xml:space="preserve"> </w:t>
      </w:r>
      <w:r w:rsidR="008C10E9" w:rsidRPr="000E36D4">
        <w:rPr>
          <w:rFonts w:ascii="Arial" w:hAnsi="Arial" w:cs="Arial"/>
          <w:sz w:val="22"/>
          <w:szCs w:val="22"/>
        </w:rPr>
        <w:t>Wage structures, training budgets, and staffing decisions are influenced by economic factors like inflation, labo</w:t>
      </w:r>
      <w:r w:rsidR="00E473DD" w:rsidRPr="000E36D4">
        <w:rPr>
          <w:rFonts w:ascii="Arial" w:hAnsi="Arial" w:cs="Arial"/>
          <w:sz w:val="22"/>
          <w:szCs w:val="22"/>
        </w:rPr>
        <w:t>u</w:t>
      </w:r>
      <w:r w:rsidR="008C10E9" w:rsidRPr="000E36D4">
        <w:rPr>
          <w:rFonts w:ascii="Arial" w:hAnsi="Arial" w:cs="Arial"/>
          <w:sz w:val="22"/>
          <w:szCs w:val="22"/>
        </w:rPr>
        <w:t>r supply, productivity levels, and economic growth (Bratton &amp; Gold, 2017). While growth periods raise the need for talent development and recruitment, economic downturns frequently result in workforce restructuring.</w:t>
      </w:r>
      <w:r w:rsidR="00E473DD" w:rsidRPr="000E36D4">
        <w:rPr>
          <w:rFonts w:ascii="Arial" w:hAnsi="Arial" w:cs="Arial"/>
          <w:sz w:val="22"/>
          <w:szCs w:val="22"/>
        </w:rPr>
        <w:t xml:space="preserve"> </w:t>
      </w:r>
      <w:r w:rsidR="00E473DD" w:rsidRPr="000E36D4">
        <w:rPr>
          <w:rFonts w:ascii="Arial" w:hAnsi="Arial" w:cs="Arial"/>
          <w:sz w:val="22"/>
          <w:szCs w:val="22"/>
        </w:rPr>
        <w:t>Workplace behavio</w:t>
      </w:r>
      <w:r w:rsidR="00E473DD" w:rsidRPr="000E36D4">
        <w:rPr>
          <w:rFonts w:ascii="Arial" w:hAnsi="Arial" w:cs="Arial"/>
          <w:sz w:val="22"/>
          <w:szCs w:val="22"/>
        </w:rPr>
        <w:t>u</w:t>
      </w:r>
      <w:r w:rsidR="00E473DD" w:rsidRPr="000E36D4">
        <w:rPr>
          <w:rFonts w:ascii="Arial" w:hAnsi="Arial" w:cs="Arial"/>
          <w:sz w:val="22"/>
          <w:szCs w:val="22"/>
        </w:rPr>
        <w:t>r and HR regulations are influenced by social factors such as employee expectations, cultural values, and demographic shifts. Employee motivation, leadership preferences, and communication methods are all impacted by cultural differences (Hofstede, 2001). HR managers must modify procedures to uphold cultural fit and accommodate a range of worker needs.</w:t>
      </w:r>
      <w:r w:rsidR="00E473DD" w:rsidRPr="000E36D4">
        <w:rPr>
          <w:rFonts w:ascii="Arial" w:hAnsi="Arial" w:cs="Arial"/>
          <w:sz w:val="22"/>
          <w:szCs w:val="22"/>
        </w:rPr>
        <w:t xml:space="preserve"> </w:t>
      </w:r>
    </w:p>
    <w:p w14:paraId="30270C62" w14:textId="77777777" w:rsidR="000925EA" w:rsidRPr="000E36D4" w:rsidRDefault="005A5BC2" w:rsidP="000E36D4">
      <w:pPr>
        <w:spacing w:line="360" w:lineRule="auto"/>
        <w:rPr>
          <w:rFonts w:ascii="Arial" w:hAnsi="Arial" w:cs="Arial"/>
          <w:sz w:val="22"/>
          <w:szCs w:val="22"/>
        </w:rPr>
      </w:pPr>
      <w:r w:rsidRPr="005A5BC2">
        <w:rPr>
          <w:rFonts w:ascii="Arial" w:hAnsi="Arial" w:cs="Arial"/>
          <w:sz w:val="22"/>
          <w:szCs w:val="22"/>
        </w:rPr>
        <w:t>As automation, robots, artificial intelligence, and digital HR systems change workplaces around the world, technological considerations have grown more significant (Ulrich et al., 2012). This influences job design, training needs, and skill gaps, necessitating ongoing upskilling activities from HR.</w:t>
      </w:r>
      <w:r w:rsidR="007F2306" w:rsidRPr="000E36D4">
        <w:rPr>
          <w:rFonts w:ascii="Arial" w:hAnsi="Arial" w:cs="Arial"/>
          <w:sz w:val="22"/>
          <w:szCs w:val="22"/>
        </w:rPr>
        <w:t xml:space="preserve"> </w:t>
      </w:r>
      <w:r w:rsidR="007F2306" w:rsidRPr="000E36D4">
        <w:rPr>
          <w:rFonts w:ascii="Arial" w:hAnsi="Arial" w:cs="Arial"/>
          <w:sz w:val="22"/>
          <w:szCs w:val="22"/>
        </w:rPr>
        <w:t>The bounds of HR practice are determined by legal criteria, including as employment regulations, health and safety standards, and data protection obligations (Dessler, 2021). Global businesses must deal with several regulatory frameworks at once, which frequently calls for separate HR regulations in each nation.</w:t>
      </w:r>
      <w:r w:rsidR="000925EA" w:rsidRPr="000E36D4">
        <w:rPr>
          <w:rFonts w:ascii="Arial" w:hAnsi="Arial" w:cs="Arial"/>
          <w:sz w:val="22"/>
          <w:szCs w:val="22"/>
        </w:rPr>
        <w:t xml:space="preserve"> </w:t>
      </w:r>
      <w:r w:rsidR="000925EA" w:rsidRPr="000E36D4">
        <w:rPr>
          <w:rFonts w:ascii="Arial" w:hAnsi="Arial" w:cs="Arial"/>
          <w:sz w:val="22"/>
          <w:szCs w:val="22"/>
        </w:rPr>
        <w:t>Organizational culture, leadership skills, and training initiatives are now influenced by environmental considerations, especially sustainability demands. Organizations' ethical commitments are increasingly including sustainable HRM practices (Jackson, 2019).</w:t>
      </w:r>
    </w:p>
    <w:p w14:paraId="13D52E8F" w14:textId="77777777" w:rsidR="00A65984" w:rsidRPr="00A65984" w:rsidRDefault="00A65984" w:rsidP="000E36D4">
      <w:pPr>
        <w:spacing w:line="360" w:lineRule="auto"/>
        <w:rPr>
          <w:rFonts w:ascii="Arial" w:hAnsi="Arial" w:cs="Arial"/>
          <w:sz w:val="22"/>
          <w:szCs w:val="22"/>
        </w:rPr>
      </w:pPr>
      <w:r w:rsidRPr="00A65984">
        <w:rPr>
          <w:rFonts w:ascii="Arial" w:hAnsi="Arial" w:cs="Arial"/>
          <w:sz w:val="22"/>
          <w:szCs w:val="22"/>
        </w:rPr>
        <w:t>The PESTLE architecture has drawbacks despite its benefits. Internal organizational aspects including culture, leadership, and resources are not covered (Mintzberg, 2013). PESTLE may oversimplify the interdependence of environmental elements. Furthermore, PESTLE assessments need to be revised frequently to stay current given the rate of global change (Johnson, Whittington &amp; Scholes, 2017).</w:t>
      </w:r>
    </w:p>
    <w:p w14:paraId="1E4A6D57" w14:textId="77777777" w:rsidR="0002241A" w:rsidRPr="000E36D4" w:rsidRDefault="0002241A" w:rsidP="000E36D4">
      <w:pPr>
        <w:spacing w:line="360" w:lineRule="auto"/>
        <w:rPr>
          <w:rFonts w:ascii="Arial" w:hAnsi="Arial" w:cs="Arial"/>
          <w:sz w:val="22"/>
          <w:szCs w:val="22"/>
        </w:rPr>
      </w:pPr>
      <w:r w:rsidRPr="0002241A">
        <w:rPr>
          <w:rFonts w:ascii="Arial" w:hAnsi="Arial" w:cs="Arial"/>
          <w:sz w:val="22"/>
          <w:szCs w:val="22"/>
        </w:rPr>
        <w:t>The PESTLE model makes it evident to HR managers how external environmental influences affect HR decision-making. Employment contracts are shaped by political and legal causes; wage structures are influenced by economic forces; inclusion programs are driven by social trends; technology necessitates reskilling; and environmental pressures promote sustainable workforce planning (Brewster, Chung &amp; Sparrow, 2016).</w:t>
      </w:r>
    </w:p>
    <w:p w14:paraId="40504F5C" w14:textId="77777777" w:rsidR="000E36D4" w:rsidRPr="000E36D4" w:rsidRDefault="000E36D4" w:rsidP="000E36D4">
      <w:pPr>
        <w:spacing w:line="360" w:lineRule="auto"/>
        <w:rPr>
          <w:rFonts w:ascii="Arial" w:hAnsi="Arial" w:cs="Arial"/>
          <w:sz w:val="22"/>
          <w:szCs w:val="22"/>
        </w:rPr>
      </w:pPr>
      <w:r w:rsidRPr="000E36D4">
        <w:rPr>
          <w:rFonts w:ascii="Arial" w:hAnsi="Arial" w:cs="Arial"/>
          <w:sz w:val="22"/>
          <w:szCs w:val="22"/>
        </w:rPr>
        <w:t>HR managers must assess internal organizational impacts including culture, structure, and workforce capabilities because these can either help or hinder their capacity to respond to external demands, even if the PESTLE framework concentrates on external macro-level issues (Mintzberg, 2013). HR managers may create more strategic, flexible, and forward-thinking HR strategies by understanding how the internal and external environments interact. By addressing environmental issues in global contexts, this integrated understanding guarantees that HR decisions stay in line with organizational priorities.</w:t>
      </w:r>
    </w:p>
    <w:p w14:paraId="6ADFBDE8" w14:textId="4ED48EC1" w:rsidR="007F2306" w:rsidRPr="000E36D4" w:rsidRDefault="00C04031" w:rsidP="000E36D4">
      <w:pPr>
        <w:pStyle w:val="Heading1"/>
        <w:spacing w:line="360" w:lineRule="auto"/>
        <w:rPr>
          <w:rFonts w:ascii="Arial" w:hAnsi="Arial" w:cs="Arial"/>
          <w:sz w:val="22"/>
          <w:szCs w:val="22"/>
        </w:rPr>
      </w:pPr>
      <w:bookmarkStart w:id="2" w:name="_Toc214717663"/>
      <w:r w:rsidRPr="000E36D4">
        <w:rPr>
          <w:rFonts w:ascii="Arial" w:hAnsi="Arial" w:cs="Arial"/>
          <w:sz w:val="22"/>
          <w:szCs w:val="22"/>
        </w:rPr>
        <w:t>Organisation Application – Toyota</w:t>
      </w:r>
      <w:bookmarkEnd w:id="2"/>
    </w:p>
    <w:p w14:paraId="7627C102" w14:textId="77777777" w:rsidR="00CD2E78" w:rsidRPr="00CD2E78" w:rsidRDefault="00CD2E78" w:rsidP="000E36D4">
      <w:pPr>
        <w:spacing w:line="360" w:lineRule="auto"/>
        <w:rPr>
          <w:rFonts w:ascii="Arial" w:hAnsi="Arial" w:cs="Arial"/>
          <w:sz w:val="22"/>
          <w:szCs w:val="22"/>
        </w:rPr>
      </w:pPr>
      <w:r w:rsidRPr="00CD2E78">
        <w:rPr>
          <w:rFonts w:ascii="Arial" w:hAnsi="Arial" w:cs="Arial"/>
          <w:sz w:val="22"/>
          <w:szCs w:val="22"/>
        </w:rPr>
        <w:t>With its headquarters located in Japan, Toyota Motor Corporation is a multinational automaker with operations in over 160 countries and over 350,000 employees worldwide (Toyota Global, 2024). Thanks in large part to the Toyota Production System (TPS), Toyota is known for its dedication to quality, operational excellence, and innovation (Liker, 2004). HR procedures that strike a balance between uniformity and local responsiveness are necessary for these international enterprises (Bartlett &amp; Ghoshal, 1998).</w:t>
      </w:r>
    </w:p>
    <w:p w14:paraId="3AD9E17F" w14:textId="77777777" w:rsidR="00271CAF" w:rsidRPr="000E36D4" w:rsidRDefault="00AD55C9" w:rsidP="000E36D4">
      <w:pPr>
        <w:spacing w:line="360" w:lineRule="auto"/>
        <w:rPr>
          <w:rFonts w:ascii="Arial" w:hAnsi="Arial" w:cs="Arial"/>
          <w:sz w:val="22"/>
          <w:szCs w:val="22"/>
        </w:rPr>
      </w:pPr>
      <w:r w:rsidRPr="00AD55C9">
        <w:rPr>
          <w:rFonts w:ascii="Arial" w:hAnsi="Arial" w:cs="Arial"/>
          <w:sz w:val="22"/>
          <w:szCs w:val="22"/>
        </w:rPr>
        <w:t>The core elements of Toyota's HR philosophy are "Respect for People" and continuous improvement (Kaizen), which direct hiring, training, and performance procedures (Liker &amp; Convis, 2012). In Japan, recruitment prioritizes long-term employment and cultural fit, although it uses more flexible labo</w:t>
      </w:r>
      <w:r w:rsidRPr="000E36D4">
        <w:rPr>
          <w:rFonts w:ascii="Arial" w:hAnsi="Arial" w:cs="Arial"/>
          <w:sz w:val="22"/>
          <w:szCs w:val="22"/>
        </w:rPr>
        <w:t>u</w:t>
      </w:r>
      <w:r w:rsidRPr="00AD55C9">
        <w:rPr>
          <w:rFonts w:ascii="Arial" w:hAnsi="Arial" w:cs="Arial"/>
          <w:sz w:val="22"/>
          <w:szCs w:val="22"/>
        </w:rPr>
        <w:t>r techniques outside (Bode, 2019). Technical proficiency, teamwork, and adherence to TPS values are prioritized in Toyota's global talent management strategy.</w:t>
      </w:r>
      <w:r w:rsidR="00271CAF" w:rsidRPr="000E36D4">
        <w:rPr>
          <w:rFonts w:ascii="Arial" w:hAnsi="Arial" w:cs="Arial"/>
          <w:sz w:val="22"/>
          <w:szCs w:val="22"/>
        </w:rPr>
        <w:t xml:space="preserve"> </w:t>
      </w:r>
      <w:r w:rsidR="00271CAF" w:rsidRPr="000E36D4">
        <w:rPr>
          <w:rFonts w:ascii="Arial" w:hAnsi="Arial" w:cs="Arial"/>
          <w:sz w:val="22"/>
          <w:szCs w:val="22"/>
        </w:rPr>
        <w:t>A key element of Toyota's worldwide HR strategy is training and development. Workers receive comprehensive technical training, safety instruction, and TPS-based problem-solving training (Liker, 2004). Programs for developing leaders uphold the values of people-centeredness and constant progress.</w:t>
      </w:r>
    </w:p>
    <w:p w14:paraId="55AD5F59" w14:textId="626C74FA" w:rsidR="00835C52" w:rsidRPr="000E36D4" w:rsidRDefault="006076DE" w:rsidP="000E36D4">
      <w:pPr>
        <w:spacing w:line="360" w:lineRule="auto"/>
        <w:rPr>
          <w:rFonts w:ascii="Arial" w:hAnsi="Arial" w:cs="Arial"/>
          <w:sz w:val="22"/>
          <w:szCs w:val="22"/>
        </w:rPr>
      </w:pPr>
      <w:r w:rsidRPr="006076DE">
        <w:rPr>
          <w:rFonts w:ascii="Arial" w:hAnsi="Arial" w:cs="Arial"/>
          <w:sz w:val="22"/>
          <w:szCs w:val="22"/>
        </w:rPr>
        <w:t>Individual metrics, team-based evaluations, and actions that show adherence to TPS values are all combined in performance management (Ohno, 1988). Strong union ties, organized problem-solving procedures, and participatory communication all influence employee relations at Toyota (Bode, 2019)</w:t>
      </w:r>
      <w:r w:rsidR="00835C52" w:rsidRPr="000E36D4">
        <w:rPr>
          <w:rFonts w:ascii="Arial" w:hAnsi="Arial" w:cs="Arial"/>
          <w:sz w:val="22"/>
          <w:szCs w:val="22"/>
        </w:rPr>
        <w:t xml:space="preserve">. </w:t>
      </w:r>
      <w:r w:rsidR="00835C52" w:rsidRPr="000E36D4">
        <w:rPr>
          <w:rFonts w:ascii="Arial" w:hAnsi="Arial" w:cs="Arial"/>
          <w:sz w:val="22"/>
          <w:szCs w:val="22"/>
        </w:rPr>
        <w:t xml:space="preserve">Toyota demonstrates an integration-differentiation strategy to global HRM by tailoring HR practices to national legal frameworks, </w:t>
      </w:r>
      <w:r w:rsidR="00AB2377" w:rsidRPr="000E36D4">
        <w:rPr>
          <w:rFonts w:ascii="Arial" w:hAnsi="Arial" w:cs="Arial"/>
          <w:sz w:val="22"/>
          <w:szCs w:val="22"/>
        </w:rPr>
        <w:t>labour</w:t>
      </w:r>
      <w:r w:rsidR="00835C52" w:rsidRPr="000E36D4">
        <w:rPr>
          <w:rFonts w:ascii="Arial" w:hAnsi="Arial" w:cs="Arial"/>
          <w:sz w:val="22"/>
          <w:szCs w:val="22"/>
        </w:rPr>
        <w:t xml:space="preserve"> markets, and cultural norms (Dowling, Festing &amp; Engle, 2017). This allows Toyota to recognize regional differences while upholding international standards.</w:t>
      </w:r>
    </w:p>
    <w:p w14:paraId="486F3E80" w14:textId="433A1B3D" w:rsidR="006076DE" w:rsidRPr="000E36D4" w:rsidRDefault="000A4C83" w:rsidP="000E36D4">
      <w:pPr>
        <w:pStyle w:val="Heading1"/>
        <w:spacing w:line="360" w:lineRule="auto"/>
        <w:rPr>
          <w:rFonts w:ascii="Arial" w:hAnsi="Arial" w:cs="Arial"/>
          <w:sz w:val="22"/>
          <w:szCs w:val="22"/>
        </w:rPr>
      </w:pPr>
      <w:bookmarkStart w:id="3" w:name="_Toc214717664"/>
      <w:r w:rsidRPr="000E36D4">
        <w:rPr>
          <w:rFonts w:ascii="Arial" w:hAnsi="Arial" w:cs="Arial"/>
          <w:sz w:val="22"/>
          <w:szCs w:val="22"/>
        </w:rPr>
        <w:t>Application of PESTLE Model</w:t>
      </w:r>
      <w:bookmarkEnd w:id="3"/>
      <w:r w:rsidRPr="000E36D4">
        <w:rPr>
          <w:rFonts w:ascii="Arial" w:hAnsi="Arial" w:cs="Arial"/>
          <w:sz w:val="22"/>
          <w:szCs w:val="22"/>
        </w:rPr>
        <w:t xml:space="preserve"> </w:t>
      </w:r>
    </w:p>
    <w:p w14:paraId="30E58106" w14:textId="77777777" w:rsidR="00BA4C62" w:rsidRPr="00BA4C62" w:rsidRDefault="00BA4C62" w:rsidP="000E36D4">
      <w:pPr>
        <w:spacing w:line="360" w:lineRule="auto"/>
        <w:rPr>
          <w:rFonts w:ascii="Arial" w:hAnsi="Arial" w:cs="Arial"/>
          <w:sz w:val="22"/>
          <w:szCs w:val="22"/>
        </w:rPr>
      </w:pPr>
      <w:r w:rsidRPr="00BA4C62">
        <w:rPr>
          <w:rFonts w:ascii="Arial" w:hAnsi="Arial" w:cs="Arial"/>
          <w:sz w:val="22"/>
          <w:szCs w:val="22"/>
        </w:rPr>
        <w:t>Toyota can gain insight into how environmental factors influence HR practices throughout its global operations by using the PESTLE model.</w:t>
      </w:r>
    </w:p>
    <w:p w14:paraId="2F03A07F" w14:textId="6645D599" w:rsidR="00B4752F" w:rsidRPr="00B4752F" w:rsidRDefault="00B4752F" w:rsidP="000E36D4">
      <w:pPr>
        <w:spacing w:line="360" w:lineRule="auto"/>
        <w:rPr>
          <w:rFonts w:ascii="Arial" w:hAnsi="Arial" w:cs="Arial"/>
          <w:sz w:val="22"/>
          <w:szCs w:val="22"/>
        </w:rPr>
      </w:pPr>
      <w:r w:rsidRPr="00B4752F">
        <w:rPr>
          <w:rFonts w:ascii="Arial" w:hAnsi="Arial" w:cs="Arial"/>
          <w:sz w:val="22"/>
          <w:szCs w:val="22"/>
        </w:rPr>
        <w:t xml:space="preserve">Government stability, international trade agreements, </w:t>
      </w:r>
      <w:r w:rsidR="00AB2377" w:rsidRPr="00B4752F">
        <w:rPr>
          <w:rFonts w:ascii="Arial" w:hAnsi="Arial" w:cs="Arial"/>
          <w:sz w:val="22"/>
          <w:szCs w:val="22"/>
        </w:rPr>
        <w:t>labour</w:t>
      </w:r>
      <w:r w:rsidRPr="00B4752F">
        <w:rPr>
          <w:rFonts w:ascii="Arial" w:hAnsi="Arial" w:cs="Arial"/>
          <w:sz w:val="22"/>
          <w:szCs w:val="22"/>
        </w:rPr>
        <w:t xml:space="preserve"> legislation, and immigration regulations all have an impact on Toyota's global HR initiatives (Dessler, 2021). For instance, Toyota's international hiring decisions and cross-border talent mobility are impacted by political tensions between the United States and Japan (Brewster, Chung &amp; Sparrow, 2016). Toyota's HR departments must work closely with works councils to influence employee relations and performance management systems in nations like the UK and Germany that have high union presence (Bode, 2019).</w:t>
      </w:r>
    </w:p>
    <w:p w14:paraId="7AA6FD4E" w14:textId="728C3382" w:rsidR="00BF31D8" w:rsidRPr="000E36D4" w:rsidRDefault="00BF31D8" w:rsidP="000E36D4">
      <w:pPr>
        <w:spacing w:line="360" w:lineRule="auto"/>
        <w:rPr>
          <w:rFonts w:ascii="Arial" w:hAnsi="Arial" w:cs="Arial"/>
          <w:sz w:val="22"/>
          <w:szCs w:val="22"/>
        </w:rPr>
      </w:pPr>
      <w:r w:rsidRPr="00BF31D8">
        <w:rPr>
          <w:rFonts w:ascii="Arial" w:hAnsi="Arial" w:cs="Arial"/>
          <w:sz w:val="22"/>
          <w:szCs w:val="22"/>
        </w:rPr>
        <w:t>Toyota's labo</w:t>
      </w:r>
      <w:r w:rsidRPr="000E36D4">
        <w:rPr>
          <w:rFonts w:ascii="Arial" w:hAnsi="Arial" w:cs="Arial"/>
          <w:sz w:val="22"/>
          <w:szCs w:val="22"/>
        </w:rPr>
        <w:t>u</w:t>
      </w:r>
      <w:r w:rsidRPr="00BF31D8">
        <w:rPr>
          <w:rFonts w:ascii="Arial" w:hAnsi="Arial" w:cs="Arial"/>
          <w:sz w:val="22"/>
          <w:szCs w:val="22"/>
        </w:rPr>
        <w:t xml:space="preserve">r planning is heavily impacted by economic cycles. Toyota modified production and personnel levels to control </w:t>
      </w:r>
      <w:r w:rsidRPr="000E36D4">
        <w:rPr>
          <w:rFonts w:ascii="Arial" w:hAnsi="Arial" w:cs="Arial"/>
          <w:sz w:val="22"/>
          <w:szCs w:val="22"/>
        </w:rPr>
        <w:t>labour</w:t>
      </w:r>
      <w:r w:rsidRPr="00BF31D8">
        <w:rPr>
          <w:rFonts w:ascii="Arial" w:hAnsi="Arial" w:cs="Arial"/>
          <w:sz w:val="22"/>
          <w:szCs w:val="22"/>
        </w:rPr>
        <w:t xml:space="preserve"> costs while preserving job stability during recessions, such as the 2008 financial crisis and COVID-19 interruptions (Toyota Annual Report, 2021). Pay structures must be adjusted by HR to reflect </w:t>
      </w:r>
      <w:r w:rsidRPr="000E36D4">
        <w:rPr>
          <w:rFonts w:ascii="Arial" w:hAnsi="Arial" w:cs="Arial"/>
          <w:sz w:val="22"/>
          <w:szCs w:val="22"/>
        </w:rPr>
        <w:t>labour</w:t>
      </w:r>
      <w:r w:rsidRPr="00BF31D8">
        <w:rPr>
          <w:rFonts w:ascii="Arial" w:hAnsi="Arial" w:cs="Arial"/>
          <w:sz w:val="22"/>
          <w:szCs w:val="22"/>
        </w:rPr>
        <w:t xml:space="preserve"> market conditions and inflation rates (Bratton &amp; Gold, 2017). Toyota can tap a wider pool of talent in emerging nations with high unemployment rates, but it will need to make greater training investments to bring workers up to TPS standards (Liker, 2004).</w:t>
      </w:r>
    </w:p>
    <w:p w14:paraId="1AB483D1" w14:textId="77777777" w:rsidR="00B55BDD" w:rsidRPr="00B55BDD" w:rsidRDefault="00B55BDD" w:rsidP="000E36D4">
      <w:pPr>
        <w:spacing w:line="360" w:lineRule="auto"/>
        <w:rPr>
          <w:rFonts w:ascii="Arial" w:hAnsi="Arial" w:cs="Arial"/>
          <w:sz w:val="22"/>
          <w:szCs w:val="22"/>
        </w:rPr>
      </w:pPr>
      <w:r w:rsidRPr="00B55BDD">
        <w:rPr>
          <w:rFonts w:ascii="Arial" w:hAnsi="Arial" w:cs="Arial"/>
          <w:sz w:val="22"/>
          <w:szCs w:val="22"/>
        </w:rPr>
        <w:t>Work, leadership, and teamwork attitudes are shaped by social and cultural contexts. Toyota had to implement retirement planning, ergonomic changes, and knowledge-transfer strategies due to Japan's aging workforce (Hofstede, 2001). Younger workers in Brazil and India, on the other hand, place a higher priority on skill development and career advancement, necessitating the use of distinct HR tactics to retain talent (Dowling, Festing &amp; Engle, 2017). Toyota's worldwide HR practices have been impacted by the growing social expectations surrounding diversity and inclusion (Jackson &amp; Schuler, 1995).</w:t>
      </w:r>
    </w:p>
    <w:p w14:paraId="25236910" w14:textId="4766DEA4" w:rsidR="009B532B" w:rsidRPr="009B532B" w:rsidRDefault="009B532B" w:rsidP="000E36D4">
      <w:pPr>
        <w:spacing w:line="360" w:lineRule="auto"/>
        <w:rPr>
          <w:rFonts w:ascii="Arial" w:hAnsi="Arial" w:cs="Arial"/>
          <w:sz w:val="22"/>
          <w:szCs w:val="22"/>
        </w:rPr>
      </w:pPr>
      <w:r w:rsidRPr="009B532B">
        <w:rPr>
          <w:rFonts w:ascii="Arial" w:hAnsi="Arial" w:cs="Arial"/>
          <w:sz w:val="22"/>
          <w:szCs w:val="22"/>
        </w:rPr>
        <w:t xml:space="preserve">With developments in electric cars, hydrogen engines, automation, and artificial intelligence, Toyota's sector is heavily reliant on technology (Liker, 2004). To guarantee that employees can use new technologies, HR managers must spearhead extensive reskilling programs (Ulrich et al., 2012). Digital HR systems also have an impact on hiring, performance evaluation, and international cooperation. Upskilling programs that assist workers in moving into higher-skilled positions are becoming necessary </w:t>
      </w:r>
      <w:r w:rsidR="00952FA9" w:rsidRPr="009B532B">
        <w:rPr>
          <w:rFonts w:ascii="Arial" w:hAnsi="Arial" w:cs="Arial"/>
          <w:sz w:val="22"/>
          <w:szCs w:val="22"/>
        </w:rPr>
        <w:t>because of</w:t>
      </w:r>
      <w:r w:rsidRPr="009B532B">
        <w:rPr>
          <w:rFonts w:ascii="Arial" w:hAnsi="Arial" w:cs="Arial"/>
          <w:sz w:val="22"/>
          <w:szCs w:val="22"/>
        </w:rPr>
        <w:t xml:space="preserve"> automation in production (Brewster, Chung &amp; Sparrow, 2016).</w:t>
      </w:r>
    </w:p>
    <w:p w14:paraId="0B526863" w14:textId="5FF23025" w:rsidR="00902231" w:rsidRPr="00902231" w:rsidRDefault="00902231" w:rsidP="000E36D4">
      <w:pPr>
        <w:spacing w:line="360" w:lineRule="auto"/>
        <w:rPr>
          <w:rFonts w:ascii="Arial" w:hAnsi="Arial" w:cs="Arial"/>
          <w:sz w:val="22"/>
          <w:szCs w:val="22"/>
        </w:rPr>
      </w:pPr>
      <w:r w:rsidRPr="00902231">
        <w:rPr>
          <w:rFonts w:ascii="Arial" w:hAnsi="Arial" w:cs="Arial"/>
          <w:sz w:val="22"/>
          <w:szCs w:val="22"/>
        </w:rPr>
        <w:t xml:space="preserve">The legal landscapes of Toyota's international activities vary greatly. While U.S. businesses must adhere to OSHA regulations and state-level employment legislation, European plants must comply with GDPR and stringent </w:t>
      </w:r>
      <w:r w:rsidR="00952FA9" w:rsidRPr="00902231">
        <w:rPr>
          <w:rFonts w:ascii="Arial" w:hAnsi="Arial" w:cs="Arial"/>
          <w:sz w:val="22"/>
          <w:szCs w:val="22"/>
        </w:rPr>
        <w:t>labour</w:t>
      </w:r>
      <w:r w:rsidRPr="00902231">
        <w:rPr>
          <w:rFonts w:ascii="Arial" w:hAnsi="Arial" w:cs="Arial"/>
          <w:sz w:val="22"/>
          <w:szCs w:val="22"/>
        </w:rPr>
        <w:t xml:space="preserve"> norms (Dessler, 2021). Disciplinary actions, collective bargaining procedures, and performance documentation are all impacted by legal variances. To reduce the risk of lawsuit, HR managers must guarantee compliance (Dowling, Festing &amp; Engle, 2017).</w:t>
      </w:r>
    </w:p>
    <w:p w14:paraId="4188CDF2" w14:textId="437ABBFB" w:rsidR="00C45863" w:rsidRPr="00C45863" w:rsidRDefault="00C45863" w:rsidP="000E36D4">
      <w:pPr>
        <w:spacing w:line="360" w:lineRule="auto"/>
        <w:rPr>
          <w:rFonts w:ascii="Arial" w:hAnsi="Arial" w:cs="Arial"/>
          <w:sz w:val="22"/>
          <w:szCs w:val="22"/>
        </w:rPr>
      </w:pPr>
      <w:r w:rsidRPr="00C45863">
        <w:rPr>
          <w:rFonts w:ascii="Arial" w:hAnsi="Arial" w:cs="Arial"/>
          <w:sz w:val="22"/>
          <w:szCs w:val="22"/>
        </w:rPr>
        <w:t xml:space="preserve">Environmental factors have a significant impact on Toyota's HRM strategy, especially those connected to climate change. New training programs </w:t>
      </w:r>
      <w:r w:rsidR="001C4F23" w:rsidRPr="000E36D4">
        <w:rPr>
          <w:rFonts w:ascii="Arial" w:hAnsi="Arial" w:cs="Arial"/>
          <w:sz w:val="22"/>
          <w:szCs w:val="22"/>
        </w:rPr>
        <w:t>centred</w:t>
      </w:r>
      <w:r w:rsidRPr="00C45863">
        <w:rPr>
          <w:rFonts w:ascii="Arial" w:hAnsi="Arial" w:cs="Arial"/>
          <w:sz w:val="22"/>
          <w:szCs w:val="22"/>
        </w:rPr>
        <w:t xml:space="preserve"> on sustainability, green manufacturing, and environmental leadership are necessary to meet Toyota's Environmental Challenge 2050 (Toyota Sustainability Report, 2023). Additionally, HR influences how employees behave in terms of resource efficiency, waste minimization, and ethical compliance (Jackson, 2019).</w:t>
      </w:r>
    </w:p>
    <w:p w14:paraId="41612203" w14:textId="30834EA1" w:rsidR="001C4F23" w:rsidRPr="000E36D4" w:rsidRDefault="001C4F23" w:rsidP="000E36D4">
      <w:pPr>
        <w:spacing w:line="360" w:lineRule="auto"/>
        <w:rPr>
          <w:rFonts w:ascii="Arial" w:hAnsi="Arial" w:cs="Arial"/>
          <w:sz w:val="22"/>
          <w:szCs w:val="22"/>
        </w:rPr>
      </w:pPr>
      <w:r w:rsidRPr="001C4F23">
        <w:rPr>
          <w:rFonts w:ascii="Arial" w:hAnsi="Arial" w:cs="Arial"/>
          <w:sz w:val="22"/>
          <w:szCs w:val="22"/>
        </w:rPr>
        <w:t xml:space="preserve">Toyota is affected by environmental factors differently in each country. Long-term employment and group-based performance management are encouraged by Japan's collectivist culture (Hofstede, 2001). The United States, on the other hand, places more emphasis on flexible </w:t>
      </w:r>
      <w:r w:rsidRPr="000E36D4">
        <w:rPr>
          <w:rFonts w:ascii="Arial" w:hAnsi="Arial" w:cs="Arial"/>
          <w:sz w:val="22"/>
          <w:szCs w:val="22"/>
        </w:rPr>
        <w:t>labour</w:t>
      </w:r>
      <w:r w:rsidRPr="001C4F23">
        <w:rPr>
          <w:rFonts w:ascii="Arial" w:hAnsi="Arial" w:cs="Arial"/>
          <w:sz w:val="22"/>
          <w:szCs w:val="22"/>
        </w:rPr>
        <w:t xml:space="preserve"> contracts and individual performance goals. More negotiated HR procedures result from the strict legal and union requirements in European nations (Meyer &amp; Rowen, 2017). Recruitment is influenced by economic maturity; in developed markets, indigenous talent is given priority, while in emerging nations, foreign managers may be assigned (Bartlett &amp; Ghoshal, 1998). Because of these differences, Toyota's HR departments must strike a compromise between local responsiveness and worldwide uniformity (Dowling, Festing &amp; Engle, 2017).</w:t>
      </w:r>
    </w:p>
    <w:p w14:paraId="2CA90B54" w14:textId="1424319E" w:rsidR="001C4F23" w:rsidRPr="000E36D4" w:rsidRDefault="007F0E63" w:rsidP="000E36D4">
      <w:pPr>
        <w:pStyle w:val="Heading1"/>
        <w:spacing w:line="360" w:lineRule="auto"/>
        <w:rPr>
          <w:rFonts w:ascii="Arial" w:hAnsi="Arial" w:cs="Arial"/>
          <w:sz w:val="22"/>
          <w:szCs w:val="22"/>
        </w:rPr>
      </w:pPr>
      <w:bookmarkStart w:id="4" w:name="_Toc214717665"/>
      <w:r w:rsidRPr="000E36D4">
        <w:rPr>
          <w:rFonts w:ascii="Arial" w:hAnsi="Arial" w:cs="Arial"/>
          <w:sz w:val="22"/>
          <w:szCs w:val="22"/>
        </w:rPr>
        <w:t>Conclusion</w:t>
      </w:r>
      <w:bookmarkEnd w:id="4"/>
    </w:p>
    <w:p w14:paraId="7BBEB055" w14:textId="77777777" w:rsidR="00377797" w:rsidRPr="00377797" w:rsidRDefault="00377797" w:rsidP="000E36D4">
      <w:pPr>
        <w:spacing w:line="360" w:lineRule="auto"/>
        <w:rPr>
          <w:rFonts w:ascii="Arial" w:hAnsi="Arial" w:cs="Arial"/>
          <w:sz w:val="22"/>
          <w:szCs w:val="22"/>
        </w:rPr>
      </w:pPr>
      <w:r w:rsidRPr="00377797">
        <w:rPr>
          <w:rFonts w:ascii="Arial" w:hAnsi="Arial" w:cs="Arial"/>
          <w:sz w:val="22"/>
          <w:szCs w:val="22"/>
        </w:rPr>
        <w:t>This study used Toyota and the PESTLE model to investigate how the environment affects HR managers' efficacy. Building organizational competence and promoting corporate performance depend on core HR operations, including hiring, training, performance management, and employee relations (Armstrong &amp; Taylor, 2020). The investigation showed that Toyota's HR practices are influenced by political, economic, social, technological, legal, and environmental aspects throughout its various global operations, underscoring the necessity of strategic adaptation (Bratton &amp; Gold, 2017).</w:t>
      </w:r>
    </w:p>
    <w:p w14:paraId="5F0731DA" w14:textId="475D97B3" w:rsidR="00DC04BE" w:rsidRPr="00DC04BE" w:rsidRDefault="00DC04BE" w:rsidP="000E36D4">
      <w:pPr>
        <w:spacing w:line="360" w:lineRule="auto"/>
        <w:rPr>
          <w:rFonts w:ascii="Arial" w:hAnsi="Arial" w:cs="Arial"/>
          <w:sz w:val="22"/>
          <w:szCs w:val="22"/>
        </w:rPr>
      </w:pPr>
      <w:r w:rsidRPr="00DC04BE">
        <w:rPr>
          <w:rFonts w:ascii="Arial" w:hAnsi="Arial" w:cs="Arial"/>
          <w:sz w:val="22"/>
          <w:szCs w:val="22"/>
        </w:rPr>
        <w:t xml:space="preserve">Differences between countries add to the complexity. Toyota's HR managers must adapt their strategies while staying in line with global organizational principles due to differences in culture, </w:t>
      </w:r>
      <w:r w:rsidR="00952FA9" w:rsidRPr="00DC04BE">
        <w:rPr>
          <w:rFonts w:ascii="Arial" w:hAnsi="Arial" w:cs="Arial"/>
          <w:sz w:val="22"/>
          <w:szCs w:val="22"/>
        </w:rPr>
        <w:t>labour</w:t>
      </w:r>
      <w:r w:rsidRPr="00DC04BE">
        <w:rPr>
          <w:rFonts w:ascii="Arial" w:hAnsi="Arial" w:cs="Arial"/>
          <w:sz w:val="22"/>
          <w:szCs w:val="22"/>
        </w:rPr>
        <w:t xml:space="preserve"> regulations, worker expectations, and economic conditions (Dowling, Festing &amp; Engle, 2017). Therefore, the PESTLE model offers a useful basis for comprehending contextual impacts, but it needs to be complemented with ongoing environmental scanning and organizational knowledge (Johnson, Whittington &amp; Scholes, 2017).</w:t>
      </w:r>
    </w:p>
    <w:p w14:paraId="7837DC17" w14:textId="26F9371B" w:rsidR="00FC7C90" w:rsidRDefault="00FC7C90" w:rsidP="000E36D4">
      <w:pPr>
        <w:spacing w:line="360" w:lineRule="auto"/>
        <w:rPr>
          <w:rFonts w:ascii="Arial" w:hAnsi="Arial" w:cs="Arial"/>
          <w:sz w:val="22"/>
          <w:szCs w:val="22"/>
        </w:rPr>
      </w:pPr>
      <w:r w:rsidRPr="00FC7C90">
        <w:rPr>
          <w:rFonts w:ascii="Arial" w:hAnsi="Arial" w:cs="Arial"/>
          <w:sz w:val="22"/>
          <w:szCs w:val="22"/>
        </w:rPr>
        <w:t xml:space="preserve">In the future, demographic shifts, sustainability, digital transformation, and evolving legal frameworks will put HR managers in multinational corporations under </w:t>
      </w:r>
      <w:r w:rsidR="00952FA9" w:rsidRPr="00FC7C90">
        <w:rPr>
          <w:rFonts w:ascii="Arial" w:hAnsi="Arial" w:cs="Arial"/>
          <w:sz w:val="22"/>
          <w:szCs w:val="22"/>
        </w:rPr>
        <w:t>more</w:t>
      </w:r>
      <w:r w:rsidRPr="00FC7C90">
        <w:rPr>
          <w:rFonts w:ascii="Arial" w:hAnsi="Arial" w:cs="Arial"/>
          <w:sz w:val="22"/>
          <w:szCs w:val="22"/>
        </w:rPr>
        <w:t xml:space="preserve"> strain (Ulrich et al., 2012). Strong skills in workforce planning, cross-cultural leadership, environmental analysis, and strategic change management are essential for HR professionals to be productive. To make sure HRM supports organizational resilience and long-term global competitiveness, it will continue to be crucial to comprehend environmental dynamics.</w:t>
      </w:r>
    </w:p>
    <w:p w14:paraId="60819E3A" w14:textId="77777777" w:rsidR="000E36D4" w:rsidRDefault="000E36D4" w:rsidP="000E36D4">
      <w:pPr>
        <w:spacing w:line="360" w:lineRule="auto"/>
        <w:rPr>
          <w:rFonts w:ascii="Arial" w:hAnsi="Arial" w:cs="Arial"/>
          <w:sz w:val="22"/>
          <w:szCs w:val="22"/>
        </w:rPr>
      </w:pPr>
    </w:p>
    <w:p w14:paraId="01D51F30" w14:textId="77777777" w:rsidR="000E36D4" w:rsidRDefault="000E36D4" w:rsidP="000E36D4">
      <w:pPr>
        <w:spacing w:line="360" w:lineRule="auto"/>
        <w:rPr>
          <w:rFonts w:ascii="Arial" w:hAnsi="Arial" w:cs="Arial"/>
          <w:sz w:val="22"/>
          <w:szCs w:val="22"/>
        </w:rPr>
      </w:pPr>
    </w:p>
    <w:p w14:paraId="4B974EEB" w14:textId="77777777" w:rsidR="000E36D4" w:rsidRDefault="000E36D4" w:rsidP="000E36D4">
      <w:pPr>
        <w:spacing w:line="360" w:lineRule="auto"/>
        <w:rPr>
          <w:rFonts w:ascii="Arial" w:hAnsi="Arial" w:cs="Arial"/>
          <w:sz w:val="22"/>
          <w:szCs w:val="22"/>
        </w:rPr>
      </w:pPr>
    </w:p>
    <w:p w14:paraId="5F92C75B" w14:textId="77777777" w:rsidR="000E36D4" w:rsidRDefault="000E36D4" w:rsidP="000E36D4">
      <w:pPr>
        <w:spacing w:line="360" w:lineRule="auto"/>
        <w:rPr>
          <w:rFonts w:ascii="Arial" w:hAnsi="Arial" w:cs="Arial"/>
          <w:sz w:val="22"/>
          <w:szCs w:val="22"/>
        </w:rPr>
      </w:pPr>
    </w:p>
    <w:p w14:paraId="43C9C3EE" w14:textId="77777777" w:rsidR="000E36D4" w:rsidRDefault="000E36D4" w:rsidP="000E36D4">
      <w:pPr>
        <w:spacing w:line="360" w:lineRule="auto"/>
        <w:rPr>
          <w:rFonts w:ascii="Arial" w:hAnsi="Arial" w:cs="Arial"/>
          <w:sz w:val="22"/>
          <w:szCs w:val="22"/>
        </w:rPr>
      </w:pPr>
    </w:p>
    <w:p w14:paraId="5D4C4CA4" w14:textId="77777777" w:rsidR="000E36D4" w:rsidRDefault="000E36D4" w:rsidP="000E36D4">
      <w:pPr>
        <w:spacing w:line="360" w:lineRule="auto"/>
        <w:rPr>
          <w:rFonts w:ascii="Arial" w:hAnsi="Arial" w:cs="Arial"/>
          <w:sz w:val="22"/>
          <w:szCs w:val="22"/>
        </w:rPr>
      </w:pPr>
    </w:p>
    <w:p w14:paraId="4F48DB25" w14:textId="77777777" w:rsidR="000E36D4" w:rsidRDefault="000E36D4" w:rsidP="000E36D4">
      <w:pPr>
        <w:spacing w:line="360" w:lineRule="auto"/>
        <w:rPr>
          <w:rFonts w:ascii="Arial" w:hAnsi="Arial" w:cs="Arial"/>
          <w:sz w:val="22"/>
          <w:szCs w:val="22"/>
        </w:rPr>
      </w:pPr>
    </w:p>
    <w:p w14:paraId="1C95A996" w14:textId="77777777" w:rsidR="000E36D4" w:rsidRDefault="000E36D4" w:rsidP="000E36D4">
      <w:pPr>
        <w:spacing w:line="360" w:lineRule="auto"/>
        <w:rPr>
          <w:rFonts w:ascii="Arial" w:hAnsi="Arial" w:cs="Arial"/>
          <w:sz w:val="22"/>
          <w:szCs w:val="22"/>
        </w:rPr>
      </w:pPr>
    </w:p>
    <w:p w14:paraId="38DF23E2" w14:textId="77777777" w:rsidR="000E36D4" w:rsidRDefault="000E36D4" w:rsidP="000E36D4">
      <w:pPr>
        <w:spacing w:line="360" w:lineRule="auto"/>
        <w:rPr>
          <w:rFonts w:ascii="Arial" w:hAnsi="Arial" w:cs="Arial"/>
          <w:sz w:val="22"/>
          <w:szCs w:val="22"/>
        </w:rPr>
      </w:pPr>
    </w:p>
    <w:p w14:paraId="6A76EF91" w14:textId="77777777" w:rsidR="000E36D4" w:rsidRDefault="000E36D4" w:rsidP="000E36D4">
      <w:pPr>
        <w:spacing w:line="360" w:lineRule="auto"/>
        <w:rPr>
          <w:rFonts w:ascii="Arial" w:hAnsi="Arial" w:cs="Arial"/>
          <w:sz w:val="22"/>
          <w:szCs w:val="22"/>
        </w:rPr>
      </w:pPr>
    </w:p>
    <w:p w14:paraId="52D59E16" w14:textId="77777777" w:rsidR="000E36D4" w:rsidRDefault="000E36D4" w:rsidP="000E36D4">
      <w:pPr>
        <w:spacing w:line="360" w:lineRule="auto"/>
        <w:rPr>
          <w:rFonts w:ascii="Arial" w:hAnsi="Arial" w:cs="Arial"/>
          <w:sz w:val="22"/>
          <w:szCs w:val="22"/>
        </w:rPr>
      </w:pPr>
    </w:p>
    <w:p w14:paraId="76C4BD9A" w14:textId="77777777" w:rsidR="000E36D4" w:rsidRDefault="000E36D4" w:rsidP="000E36D4">
      <w:pPr>
        <w:spacing w:line="360" w:lineRule="auto"/>
        <w:rPr>
          <w:rFonts w:ascii="Arial" w:hAnsi="Arial" w:cs="Arial"/>
          <w:sz w:val="22"/>
          <w:szCs w:val="22"/>
        </w:rPr>
      </w:pPr>
    </w:p>
    <w:p w14:paraId="50FF9C67" w14:textId="77777777" w:rsidR="000E36D4" w:rsidRDefault="000E36D4" w:rsidP="000E36D4">
      <w:pPr>
        <w:spacing w:line="360" w:lineRule="auto"/>
        <w:rPr>
          <w:rFonts w:ascii="Arial" w:hAnsi="Arial" w:cs="Arial"/>
          <w:sz w:val="22"/>
          <w:szCs w:val="22"/>
        </w:rPr>
      </w:pPr>
    </w:p>
    <w:p w14:paraId="5997FC14" w14:textId="77777777" w:rsidR="000E36D4" w:rsidRDefault="000E36D4" w:rsidP="000E36D4">
      <w:pPr>
        <w:spacing w:line="360" w:lineRule="auto"/>
        <w:rPr>
          <w:rFonts w:ascii="Arial" w:hAnsi="Arial" w:cs="Arial"/>
          <w:sz w:val="22"/>
          <w:szCs w:val="22"/>
        </w:rPr>
      </w:pPr>
    </w:p>
    <w:p w14:paraId="5E496D5F" w14:textId="77777777" w:rsidR="000E36D4" w:rsidRDefault="000E36D4" w:rsidP="000E36D4">
      <w:pPr>
        <w:spacing w:line="360" w:lineRule="auto"/>
        <w:rPr>
          <w:rFonts w:ascii="Arial" w:hAnsi="Arial" w:cs="Arial"/>
          <w:sz w:val="22"/>
          <w:szCs w:val="22"/>
        </w:rPr>
      </w:pPr>
    </w:p>
    <w:p w14:paraId="0C23810A" w14:textId="77777777" w:rsidR="000E36D4" w:rsidRDefault="000E36D4" w:rsidP="000E36D4">
      <w:pPr>
        <w:spacing w:line="360" w:lineRule="auto"/>
        <w:rPr>
          <w:rFonts w:ascii="Arial" w:hAnsi="Arial" w:cs="Arial"/>
          <w:sz w:val="22"/>
          <w:szCs w:val="22"/>
        </w:rPr>
      </w:pPr>
    </w:p>
    <w:p w14:paraId="08AC4B0E" w14:textId="77777777" w:rsidR="000E36D4" w:rsidRPr="000E36D4" w:rsidRDefault="000E36D4" w:rsidP="000E36D4">
      <w:pPr>
        <w:spacing w:line="360" w:lineRule="auto"/>
        <w:rPr>
          <w:rFonts w:ascii="Arial" w:hAnsi="Arial" w:cs="Arial"/>
          <w:sz w:val="22"/>
          <w:szCs w:val="22"/>
        </w:rPr>
      </w:pPr>
    </w:p>
    <w:p w14:paraId="4F56997C" w14:textId="77777777" w:rsidR="00952FA9" w:rsidRDefault="00952FA9" w:rsidP="002373D4">
      <w:pPr>
        <w:pStyle w:val="Heading1"/>
        <w:rPr>
          <w:rFonts w:ascii="Arial" w:hAnsi="Arial" w:cs="Arial"/>
          <w:sz w:val="24"/>
          <w:szCs w:val="24"/>
        </w:rPr>
      </w:pPr>
    </w:p>
    <w:p w14:paraId="75424B67" w14:textId="470614BE" w:rsidR="002373D4" w:rsidRPr="00952FA9" w:rsidRDefault="002373D4" w:rsidP="002373D4">
      <w:pPr>
        <w:pStyle w:val="Heading1"/>
        <w:rPr>
          <w:rFonts w:ascii="Arial" w:hAnsi="Arial" w:cs="Arial"/>
          <w:sz w:val="22"/>
          <w:szCs w:val="22"/>
        </w:rPr>
      </w:pPr>
      <w:bookmarkStart w:id="5" w:name="_Toc214717666"/>
      <w:r w:rsidRPr="00952FA9">
        <w:rPr>
          <w:rFonts w:ascii="Arial" w:hAnsi="Arial" w:cs="Arial"/>
          <w:sz w:val="22"/>
          <w:szCs w:val="22"/>
        </w:rPr>
        <w:t>Reference list</w:t>
      </w:r>
      <w:bookmarkEnd w:id="5"/>
    </w:p>
    <w:p w14:paraId="66F41093" w14:textId="77777777" w:rsidR="00715044" w:rsidRPr="00715044" w:rsidRDefault="00715044" w:rsidP="00715044">
      <w:pPr>
        <w:spacing w:line="360" w:lineRule="auto"/>
        <w:rPr>
          <w:rFonts w:ascii="Arial" w:hAnsi="Arial" w:cs="Arial"/>
          <w:sz w:val="22"/>
          <w:szCs w:val="22"/>
        </w:rPr>
      </w:pPr>
      <w:r w:rsidRPr="002373D4">
        <w:rPr>
          <w:rFonts w:ascii="Arial" w:hAnsi="Arial" w:cs="Arial"/>
          <w:sz w:val="22"/>
          <w:szCs w:val="22"/>
        </w:rPr>
        <w:t xml:space="preserve">Armstrong, M. &amp; Taylor, S. (2020) </w:t>
      </w:r>
      <w:r w:rsidRPr="002373D4">
        <w:rPr>
          <w:rFonts w:ascii="Arial" w:hAnsi="Arial" w:cs="Arial"/>
          <w:i/>
          <w:iCs/>
          <w:sz w:val="22"/>
          <w:szCs w:val="22"/>
        </w:rPr>
        <w:t>Armstrong’s Handbook of Human Resource Management Practice</w:t>
      </w:r>
      <w:r w:rsidRPr="002373D4">
        <w:rPr>
          <w:rFonts w:ascii="Arial" w:hAnsi="Arial" w:cs="Arial"/>
          <w:sz w:val="22"/>
          <w:szCs w:val="22"/>
        </w:rPr>
        <w:t>. 15th edn. London: Kogan Page.</w:t>
      </w:r>
      <w:r w:rsidRPr="002373D4">
        <w:rPr>
          <w:rFonts w:ascii="Arial" w:hAnsi="Arial" w:cs="Arial"/>
          <w:sz w:val="22"/>
          <w:szCs w:val="22"/>
        </w:rPr>
        <w:br/>
        <w:t xml:space="preserve">Bartlett, C. &amp; Ghoshal, S. (1998) </w:t>
      </w:r>
      <w:r w:rsidRPr="002373D4">
        <w:rPr>
          <w:rFonts w:ascii="Arial" w:hAnsi="Arial" w:cs="Arial"/>
          <w:i/>
          <w:iCs/>
          <w:sz w:val="22"/>
          <w:szCs w:val="22"/>
        </w:rPr>
        <w:t>Managing Across Borders: The Transnational Solution</w:t>
      </w:r>
      <w:r w:rsidRPr="002373D4">
        <w:rPr>
          <w:rFonts w:ascii="Arial" w:hAnsi="Arial" w:cs="Arial"/>
          <w:sz w:val="22"/>
          <w:szCs w:val="22"/>
        </w:rPr>
        <w:t>. Boston: Harvard Business School Press.</w:t>
      </w:r>
      <w:r w:rsidRPr="002373D4">
        <w:rPr>
          <w:rFonts w:ascii="Arial" w:hAnsi="Arial" w:cs="Arial"/>
          <w:sz w:val="22"/>
          <w:szCs w:val="22"/>
        </w:rPr>
        <w:br/>
        <w:t xml:space="preserve">Bode, A. (2019) ‘Labour relations in the global automotive industry’, </w:t>
      </w:r>
      <w:r w:rsidRPr="002373D4">
        <w:rPr>
          <w:rFonts w:ascii="Arial" w:hAnsi="Arial" w:cs="Arial"/>
          <w:i/>
          <w:iCs/>
          <w:sz w:val="22"/>
          <w:szCs w:val="22"/>
        </w:rPr>
        <w:t>Journal of Industrial Relations</w:t>
      </w:r>
      <w:r w:rsidRPr="002373D4">
        <w:rPr>
          <w:rFonts w:ascii="Arial" w:hAnsi="Arial" w:cs="Arial"/>
          <w:sz w:val="22"/>
          <w:szCs w:val="22"/>
        </w:rPr>
        <w:t>, 61(3), pp. 289–305.</w:t>
      </w:r>
      <w:r w:rsidRPr="002373D4">
        <w:rPr>
          <w:rFonts w:ascii="Arial" w:hAnsi="Arial" w:cs="Arial"/>
          <w:sz w:val="22"/>
          <w:szCs w:val="22"/>
        </w:rPr>
        <w:br/>
        <w:t xml:space="preserve">Boxall, P. &amp; Purcell, J. (2016) </w:t>
      </w:r>
      <w:r w:rsidRPr="002373D4">
        <w:rPr>
          <w:rFonts w:ascii="Arial" w:hAnsi="Arial" w:cs="Arial"/>
          <w:i/>
          <w:iCs/>
          <w:sz w:val="22"/>
          <w:szCs w:val="22"/>
        </w:rPr>
        <w:t>Strategy and Human Resource Management</w:t>
      </w:r>
      <w:r w:rsidRPr="002373D4">
        <w:rPr>
          <w:rFonts w:ascii="Arial" w:hAnsi="Arial" w:cs="Arial"/>
          <w:sz w:val="22"/>
          <w:szCs w:val="22"/>
        </w:rPr>
        <w:t>. 4th edn. London: Palgrave.</w:t>
      </w:r>
      <w:r w:rsidRPr="002373D4">
        <w:rPr>
          <w:rFonts w:ascii="Arial" w:hAnsi="Arial" w:cs="Arial"/>
          <w:sz w:val="22"/>
          <w:szCs w:val="22"/>
        </w:rPr>
        <w:br/>
        <w:t xml:space="preserve">Bratton, J. &amp; Gold, J. (2017) </w:t>
      </w:r>
      <w:r w:rsidRPr="002373D4">
        <w:rPr>
          <w:rFonts w:ascii="Arial" w:hAnsi="Arial" w:cs="Arial"/>
          <w:i/>
          <w:iCs/>
          <w:sz w:val="22"/>
          <w:szCs w:val="22"/>
        </w:rPr>
        <w:t>Human Resource Management: Theory and Practice</w:t>
      </w:r>
      <w:r w:rsidRPr="002373D4">
        <w:rPr>
          <w:rFonts w:ascii="Arial" w:hAnsi="Arial" w:cs="Arial"/>
          <w:sz w:val="22"/>
          <w:szCs w:val="22"/>
        </w:rPr>
        <w:t>. 6th edn. London: Palgrave.</w:t>
      </w:r>
      <w:r w:rsidRPr="002373D4">
        <w:rPr>
          <w:rFonts w:ascii="Arial" w:hAnsi="Arial" w:cs="Arial"/>
          <w:sz w:val="22"/>
          <w:szCs w:val="22"/>
        </w:rPr>
        <w:br/>
        <w:t xml:space="preserve">Brewster, C., Chung, C. &amp; Sparrow, P. (2016) </w:t>
      </w:r>
      <w:r w:rsidRPr="002373D4">
        <w:rPr>
          <w:rFonts w:ascii="Arial" w:hAnsi="Arial" w:cs="Arial"/>
          <w:i/>
          <w:iCs/>
          <w:sz w:val="22"/>
          <w:szCs w:val="22"/>
        </w:rPr>
        <w:t>Globalizing Human Resource Management</w:t>
      </w:r>
      <w:r w:rsidRPr="002373D4">
        <w:rPr>
          <w:rFonts w:ascii="Arial" w:hAnsi="Arial" w:cs="Arial"/>
          <w:sz w:val="22"/>
          <w:szCs w:val="22"/>
        </w:rPr>
        <w:t>. 2nd edn. London: Routledge.</w:t>
      </w:r>
    </w:p>
    <w:p w14:paraId="3C2CC21A" w14:textId="77777777" w:rsidR="00715044" w:rsidRPr="002373D4" w:rsidRDefault="00715044" w:rsidP="00715044">
      <w:pPr>
        <w:spacing w:line="360" w:lineRule="auto"/>
        <w:rPr>
          <w:rFonts w:ascii="Arial" w:hAnsi="Arial" w:cs="Arial"/>
          <w:sz w:val="22"/>
          <w:szCs w:val="22"/>
        </w:rPr>
      </w:pPr>
      <w:r w:rsidRPr="00715044">
        <w:rPr>
          <w:rFonts w:ascii="Arial" w:hAnsi="Arial" w:cs="Arial"/>
          <w:sz w:val="22"/>
          <w:szCs w:val="22"/>
        </w:rPr>
        <w:t>Brewster, C., Mayrhofer, W. &amp; Farndale, E. (2018) A Handbook of Comparative Human Resource Management. 2nd edn. Cheltenham: Edward Elgar Publishing.</w:t>
      </w:r>
      <w:r w:rsidRPr="002373D4">
        <w:rPr>
          <w:rFonts w:ascii="Arial" w:hAnsi="Arial" w:cs="Arial"/>
          <w:sz w:val="22"/>
          <w:szCs w:val="22"/>
        </w:rPr>
        <w:br/>
        <w:t xml:space="preserve">Dessler, G. (2021) </w:t>
      </w:r>
      <w:r w:rsidRPr="002373D4">
        <w:rPr>
          <w:rFonts w:ascii="Arial" w:hAnsi="Arial" w:cs="Arial"/>
          <w:i/>
          <w:iCs/>
          <w:sz w:val="22"/>
          <w:szCs w:val="22"/>
        </w:rPr>
        <w:t>Human Resource Management</w:t>
      </w:r>
      <w:r w:rsidRPr="002373D4">
        <w:rPr>
          <w:rFonts w:ascii="Arial" w:hAnsi="Arial" w:cs="Arial"/>
          <w:sz w:val="22"/>
          <w:szCs w:val="22"/>
        </w:rPr>
        <w:t>. 16th edn. London: Pearson.</w:t>
      </w:r>
      <w:r w:rsidRPr="002373D4">
        <w:rPr>
          <w:rFonts w:ascii="Arial" w:hAnsi="Arial" w:cs="Arial"/>
          <w:sz w:val="22"/>
          <w:szCs w:val="22"/>
        </w:rPr>
        <w:br/>
        <w:t xml:space="preserve">Dowling, P., Festing, M. &amp; Engle, A. (2017) </w:t>
      </w:r>
      <w:r w:rsidRPr="002373D4">
        <w:rPr>
          <w:rFonts w:ascii="Arial" w:hAnsi="Arial" w:cs="Arial"/>
          <w:i/>
          <w:iCs/>
          <w:sz w:val="22"/>
          <w:szCs w:val="22"/>
        </w:rPr>
        <w:t>International Human Resource Management</w:t>
      </w:r>
      <w:r w:rsidRPr="002373D4">
        <w:rPr>
          <w:rFonts w:ascii="Arial" w:hAnsi="Arial" w:cs="Arial"/>
          <w:sz w:val="22"/>
          <w:szCs w:val="22"/>
        </w:rPr>
        <w:t>. 7th edn. Boston: Cengage.</w:t>
      </w:r>
      <w:r w:rsidRPr="002373D4">
        <w:rPr>
          <w:rFonts w:ascii="Arial" w:hAnsi="Arial" w:cs="Arial"/>
          <w:sz w:val="22"/>
          <w:szCs w:val="22"/>
        </w:rPr>
        <w:br/>
        <w:t xml:space="preserve">Hofstede, G. (2001) </w:t>
      </w:r>
      <w:r w:rsidRPr="002373D4">
        <w:rPr>
          <w:rFonts w:ascii="Arial" w:hAnsi="Arial" w:cs="Arial"/>
          <w:i/>
          <w:iCs/>
          <w:sz w:val="22"/>
          <w:szCs w:val="22"/>
        </w:rPr>
        <w:t>Culture’s Consequences</w:t>
      </w:r>
      <w:r w:rsidRPr="002373D4">
        <w:rPr>
          <w:rFonts w:ascii="Arial" w:hAnsi="Arial" w:cs="Arial"/>
          <w:sz w:val="22"/>
          <w:szCs w:val="22"/>
        </w:rPr>
        <w:t>. 2nd edn. London: Sage.</w:t>
      </w:r>
      <w:r w:rsidRPr="002373D4">
        <w:rPr>
          <w:rFonts w:ascii="Arial" w:hAnsi="Arial" w:cs="Arial"/>
          <w:sz w:val="22"/>
          <w:szCs w:val="22"/>
        </w:rPr>
        <w:br/>
        <w:t xml:space="preserve">Jackson, S. (2019) ‘Sustainable HRM: The next chapter’, </w:t>
      </w:r>
      <w:r w:rsidRPr="002373D4">
        <w:rPr>
          <w:rFonts w:ascii="Arial" w:hAnsi="Arial" w:cs="Arial"/>
          <w:i/>
          <w:iCs/>
          <w:sz w:val="22"/>
          <w:szCs w:val="22"/>
        </w:rPr>
        <w:t>Human Resource Management Review</w:t>
      </w:r>
      <w:r w:rsidRPr="002373D4">
        <w:rPr>
          <w:rFonts w:ascii="Arial" w:hAnsi="Arial" w:cs="Arial"/>
          <w:sz w:val="22"/>
          <w:szCs w:val="22"/>
        </w:rPr>
        <w:t>, 29(3), pp. 100–112.</w:t>
      </w:r>
      <w:r w:rsidRPr="002373D4">
        <w:rPr>
          <w:rFonts w:ascii="Arial" w:hAnsi="Arial" w:cs="Arial"/>
          <w:sz w:val="22"/>
          <w:szCs w:val="22"/>
        </w:rPr>
        <w:br/>
        <w:t xml:space="preserve">Jackson, S. &amp; Schuler, R. (1995) ‘Understanding human resource management in context’, </w:t>
      </w:r>
      <w:r w:rsidRPr="002373D4">
        <w:rPr>
          <w:rFonts w:ascii="Arial" w:hAnsi="Arial" w:cs="Arial"/>
          <w:i/>
          <w:iCs/>
          <w:sz w:val="22"/>
          <w:szCs w:val="22"/>
        </w:rPr>
        <w:t>Annual Review of Psychology</w:t>
      </w:r>
      <w:r w:rsidRPr="002373D4">
        <w:rPr>
          <w:rFonts w:ascii="Arial" w:hAnsi="Arial" w:cs="Arial"/>
          <w:sz w:val="22"/>
          <w:szCs w:val="22"/>
        </w:rPr>
        <w:t>, 46, pp. 237–264.</w:t>
      </w:r>
      <w:r w:rsidRPr="002373D4">
        <w:rPr>
          <w:rFonts w:ascii="Arial" w:hAnsi="Arial" w:cs="Arial"/>
          <w:sz w:val="22"/>
          <w:szCs w:val="22"/>
        </w:rPr>
        <w:br/>
        <w:t xml:space="preserve">Johnson, G., Whittington, R. &amp; Scholes, K. (2017) </w:t>
      </w:r>
      <w:r w:rsidRPr="002373D4">
        <w:rPr>
          <w:rFonts w:ascii="Arial" w:hAnsi="Arial" w:cs="Arial"/>
          <w:i/>
          <w:iCs/>
          <w:sz w:val="22"/>
          <w:szCs w:val="22"/>
        </w:rPr>
        <w:t>Exploring Corporate Strategy</w:t>
      </w:r>
      <w:r w:rsidRPr="002373D4">
        <w:rPr>
          <w:rFonts w:ascii="Arial" w:hAnsi="Arial" w:cs="Arial"/>
          <w:sz w:val="22"/>
          <w:szCs w:val="22"/>
        </w:rPr>
        <w:t>. 11th edn. Harlow: Pearson.</w:t>
      </w:r>
      <w:r w:rsidRPr="002373D4">
        <w:rPr>
          <w:rFonts w:ascii="Arial" w:hAnsi="Arial" w:cs="Arial"/>
          <w:sz w:val="22"/>
          <w:szCs w:val="22"/>
        </w:rPr>
        <w:br/>
        <w:t xml:space="preserve">Liker, J. (2004) </w:t>
      </w:r>
      <w:r w:rsidRPr="002373D4">
        <w:rPr>
          <w:rFonts w:ascii="Arial" w:hAnsi="Arial" w:cs="Arial"/>
          <w:i/>
          <w:iCs/>
          <w:sz w:val="22"/>
          <w:szCs w:val="22"/>
        </w:rPr>
        <w:t>The Toyota Way</w:t>
      </w:r>
      <w:r w:rsidRPr="002373D4">
        <w:rPr>
          <w:rFonts w:ascii="Arial" w:hAnsi="Arial" w:cs="Arial"/>
          <w:sz w:val="22"/>
          <w:szCs w:val="22"/>
        </w:rPr>
        <w:t>. New York: McGraw-Hill.</w:t>
      </w:r>
      <w:r w:rsidRPr="002373D4">
        <w:rPr>
          <w:rFonts w:ascii="Arial" w:hAnsi="Arial" w:cs="Arial"/>
          <w:sz w:val="22"/>
          <w:szCs w:val="22"/>
        </w:rPr>
        <w:br/>
        <w:t xml:space="preserve">Liker, J. &amp; Convis, G. (2012) </w:t>
      </w:r>
      <w:r w:rsidRPr="002373D4">
        <w:rPr>
          <w:rFonts w:ascii="Arial" w:hAnsi="Arial" w:cs="Arial"/>
          <w:i/>
          <w:iCs/>
          <w:sz w:val="22"/>
          <w:szCs w:val="22"/>
        </w:rPr>
        <w:t>The Toyota Way to Lean Leadership</w:t>
      </w:r>
      <w:r w:rsidRPr="002373D4">
        <w:rPr>
          <w:rFonts w:ascii="Arial" w:hAnsi="Arial" w:cs="Arial"/>
          <w:sz w:val="22"/>
          <w:szCs w:val="22"/>
        </w:rPr>
        <w:t>. New York: McGraw-Hill.</w:t>
      </w:r>
      <w:r w:rsidRPr="002373D4">
        <w:rPr>
          <w:rFonts w:ascii="Arial" w:hAnsi="Arial" w:cs="Arial"/>
          <w:sz w:val="22"/>
          <w:szCs w:val="22"/>
        </w:rPr>
        <w:br/>
        <w:t xml:space="preserve">Meyer, K. &amp; Rowen, D. (2017) ‘Context, organisations and management across borders’, </w:t>
      </w:r>
      <w:r w:rsidRPr="002373D4">
        <w:rPr>
          <w:rFonts w:ascii="Arial" w:hAnsi="Arial" w:cs="Arial"/>
          <w:i/>
          <w:iCs/>
          <w:sz w:val="22"/>
          <w:szCs w:val="22"/>
        </w:rPr>
        <w:t>Journal of International Business Studies</w:t>
      </w:r>
      <w:r w:rsidRPr="002373D4">
        <w:rPr>
          <w:rFonts w:ascii="Arial" w:hAnsi="Arial" w:cs="Arial"/>
          <w:sz w:val="22"/>
          <w:szCs w:val="22"/>
        </w:rPr>
        <w:t>, 48(7), pp. 899–906.</w:t>
      </w:r>
      <w:r w:rsidRPr="002373D4">
        <w:rPr>
          <w:rFonts w:ascii="Arial" w:hAnsi="Arial" w:cs="Arial"/>
          <w:sz w:val="22"/>
          <w:szCs w:val="22"/>
        </w:rPr>
        <w:br/>
        <w:t xml:space="preserve">Mintzberg, H. (2013) </w:t>
      </w:r>
      <w:r w:rsidRPr="002373D4">
        <w:rPr>
          <w:rFonts w:ascii="Arial" w:hAnsi="Arial" w:cs="Arial"/>
          <w:i/>
          <w:iCs/>
          <w:sz w:val="22"/>
          <w:szCs w:val="22"/>
        </w:rPr>
        <w:t>The Rise and Fall of Strategic Planning</w:t>
      </w:r>
      <w:r w:rsidRPr="002373D4">
        <w:rPr>
          <w:rFonts w:ascii="Arial" w:hAnsi="Arial" w:cs="Arial"/>
          <w:sz w:val="22"/>
          <w:szCs w:val="22"/>
        </w:rPr>
        <w:t>. New York: Pearson.</w:t>
      </w:r>
      <w:r w:rsidRPr="002373D4">
        <w:rPr>
          <w:rFonts w:ascii="Arial" w:hAnsi="Arial" w:cs="Arial"/>
          <w:sz w:val="22"/>
          <w:szCs w:val="22"/>
        </w:rPr>
        <w:br/>
        <w:t xml:space="preserve">Ohno, T. (1988) </w:t>
      </w:r>
      <w:r w:rsidRPr="002373D4">
        <w:rPr>
          <w:rFonts w:ascii="Arial" w:hAnsi="Arial" w:cs="Arial"/>
          <w:i/>
          <w:iCs/>
          <w:sz w:val="22"/>
          <w:szCs w:val="22"/>
        </w:rPr>
        <w:t>Toyota Production System</w:t>
      </w:r>
      <w:r w:rsidRPr="002373D4">
        <w:rPr>
          <w:rFonts w:ascii="Arial" w:hAnsi="Arial" w:cs="Arial"/>
          <w:sz w:val="22"/>
          <w:szCs w:val="22"/>
        </w:rPr>
        <w:t>. Portland: Productivity Press.</w:t>
      </w:r>
      <w:r w:rsidRPr="002373D4">
        <w:rPr>
          <w:rFonts w:ascii="Arial" w:hAnsi="Arial" w:cs="Arial"/>
          <w:sz w:val="22"/>
          <w:szCs w:val="22"/>
        </w:rPr>
        <w:br/>
        <w:t xml:space="preserve">Ulrich, D., Younger, J., Brockbank, W. &amp; Ulrich, M. (2012) </w:t>
      </w:r>
      <w:r w:rsidRPr="002373D4">
        <w:rPr>
          <w:rFonts w:ascii="Arial" w:hAnsi="Arial" w:cs="Arial"/>
          <w:i/>
          <w:iCs/>
          <w:sz w:val="22"/>
          <w:szCs w:val="22"/>
        </w:rPr>
        <w:t>HR from the Outside In</w:t>
      </w:r>
      <w:r w:rsidRPr="002373D4">
        <w:rPr>
          <w:rFonts w:ascii="Arial" w:hAnsi="Arial" w:cs="Arial"/>
          <w:sz w:val="22"/>
          <w:szCs w:val="22"/>
        </w:rPr>
        <w:t>. New York: McGraw-Hill.</w:t>
      </w:r>
      <w:r w:rsidRPr="002373D4">
        <w:rPr>
          <w:rFonts w:ascii="Arial" w:hAnsi="Arial" w:cs="Arial"/>
          <w:sz w:val="22"/>
          <w:szCs w:val="22"/>
        </w:rPr>
        <w:br/>
        <w:t xml:space="preserve">Toyota Global (2024) </w:t>
      </w:r>
      <w:r w:rsidRPr="002373D4">
        <w:rPr>
          <w:rFonts w:ascii="Arial" w:hAnsi="Arial" w:cs="Arial"/>
          <w:i/>
          <w:iCs/>
          <w:sz w:val="22"/>
          <w:szCs w:val="22"/>
        </w:rPr>
        <w:t>Company Profile</w:t>
      </w:r>
      <w:r w:rsidRPr="002373D4">
        <w:rPr>
          <w:rFonts w:ascii="Arial" w:hAnsi="Arial" w:cs="Arial"/>
          <w:sz w:val="22"/>
          <w:szCs w:val="22"/>
        </w:rPr>
        <w:t>.</w:t>
      </w:r>
      <w:r w:rsidRPr="002373D4">
        <w:rPr>
          <w:rFonts w:ascii="Arial" w:hAnsi="Arial" w:cs="Arial"/>
          <w:sz w:val="22"/>
          <w:szCs w:val="22"/>
        </w:rPr>
        <w:br/>
        <w:t>Toyota Annual Report (2021). Toyota Motor Corporation.</w:t>
      </w:r>
      <w:r w:rsidRPr="002373D4">
        <w:rPr>
          <w:rFonts w:ascii="Arial" w:hAnsi="Arial" w:cs="Arial"/>
          <w:sz w:val="22"/>
          <w:szCs w:val="22"/>
        </w:rPr>
        <w:br/>
        <w:t>Toyota Sustainability Report (2023). Toyota Motor Corporation.</w:t>
      </w:r>
    </w:p>
    <w:p w14:paraId="0FEB0FAB" w14:textId="77777777" w:rsidR="002373D4" w:rsidRPr="002373D4" w:rsidRDefault="002373D4" w:rsidP="002373D4"/>
    <w:p w14:paraId="76874D2C" w14:textId="77777777" w:rsidR="007F0E63" w:rsidRPr="007F0E63" w:rsidRDefault="007F0E63" w:rsidP="007F0E63"/>
    <w:p w14:paraId="47F26725" w14:textId="77777777" w:rsidR="00BF31D8" w:rsidRPr="00BF31D8" w:rsidRDefault="00BF31D8" w:rsidP="00BF31D8"/>
    <w:p w14:paraId="5E06BC32" w14:textId="77777777" w:rsidR="00BA4C62" w:rsidRPr="00BA4C62" w:rsidRDefault="00BA4C62" w:rsidP="00BA4C62"/>
    <w:p w14:paraId="3332DAB3" w14:textId="53ACA5DE" w:rsidR="00AD55C9" w:rsidRDefault="00AD55C9" w:rsidP="00AD55C9"/>
    <w:p w14:paraId="33A45904" w14:textId="77777777" w:rsidR="00AD55C9" w:rsidRPr="00AD55C9" w:rsidRDefault="00AD55C9" w:rsidP="00AD55C9"/>
    <w:p w14:paraId="09A3BEBE" w14:textId="77777777" w:rsidR="00C04031" w:rsidRPr="00C04031" w:rsidRDefault="00C04031" w:rsidP="00C04031"/>
    <w:p w14:paraId="64F9D976" w14:textId="24856E16" w:rsidR="005A5BC2" w:rsidRPr="005A5BC2" w:rsidRDefault="005A5BC2" w:rsidP="005A5BC2"/>
    <w:p w14:paraId="50A74281" w14:textId="77777777" w:rsidR="00E473DD" w:rsidRPr="00E473DD" w:rsidRDefault="00E473DD" w:rsidP="00E473DD"/>
    <w:p w14:paraId="30224BDB" w14:textId="3CBDDA10" w:rsidR="008C10E9" w:rsidRPr="008C10E9" w:rsidRDefault="008C10E9" w:rsidP="008C10E9"/>
    <w:p w14:paraId="37FB6C54" w14:textId="2EC4EE85" w:rsidR="00D220C0" w:rsidRPr="00D220C0" w:rsidRDefault="00D220C0" w:rsidP="00D220C0"/>
    <w:p w14:paraId="2E8EC584" w14:textId="77777777" w:rsidR="0036266E" w:rsidRPr="0036266E" w:rsidRDefault="0036266E" w:rsidP="0036266E"/>
    <w:p w14:paraId="2717CC6A" w14:textId="77777777" w:rsidR="0036266E" w:rsidRPr="0036266E" w:rsidRDefault="0036266E" w:rsidP="0036266E"/>
    <w:p w14:paraId="3775156A" w14:textId="77777777" w:rsidR="00484BC1" w:rsidRPr="00484BC1" w:rsidRDefault="00484BC1" w:rsidP="00484BC1"/>
    <w:p w14:paraId="351594C9" w14:textId="77777777" w:rsidR="006F4CEA" w:rsidRPr="006F4CEA" w:rsidRDefault="006F4CEA" w:rsidP="006F4CEA"/>
    <w:p w14:paraId="286138A7" w14:textId="328E49B2" w:rsidR="000D0BD3" w:rsidRPr="000D0BD3" w:rsidRDefault="000D0BD3" w:rsidP="000D0BD3"/>
    <w:p w14:paraId="2A174462" w14:textId="77777777" w:rsidR="00302B94" w:rsidRPr="00302B94" w:rsidRDefault="00302B94" w:rsidP="00302B94"/>
    <w:sectPr w:rsidR="00302B94" w:rsidRPr="00302B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B8C"/>
    <w:rsid w:val="0002241A"/>
    <w:rsid w:val="000925EA"/>
    <w:rsid w:val="000A4C83"/>
    <w:rsid w:val="000D0BD3"/>
    <w:rsid w:val="000D2753"/>
    <w:rsid w:val="000E36D4"/>
    <w:rsid w:val="00146257"/>
    <w:rsid w:val="001C4F23"/>
    <w:rsid w:val="002373D4"/>
    <w:rsid w:val="00271CAF"/>
    <w:rsid w:val="00302B94"/>
    <w:rsid w:val="00356B8C"/>
    <w:rsid w:val="0036266E"/>
    <w:rsid w:val="00377797"/>
    <w:rsid w:val="004078BA"/>
    <w:rsid w:val="00484BC1"/>
    <w:rsid w:val="004B28C7"/>
    <w:rsid w:val="005A5BC2"/>
    <w:rsid w:val="005D0611"/>
    <w:rsid w:val="006076DE"/>
    <w:rsid w:val="006F4CEA"/>
    <w:rsid w:val="00715044"/>
    <w:rsid w:val="007F0E63"/>
    <w:rsid w:val="007F2306"/>
    <w:rsid w:val="00835C52"/>
    <w:rsid w:val="008C10E9"/>
    <w:rsid w:val="00902231"/>
    <w:rsid w:val="00952FA9"/>
    <w:rsid w:val="009B532B"/>
    <w:rsid w:val="00A65984"/>
    <w:rsid w:val="00AB2377"/>
    <w:rsid w:val="00AD55C9"/>
    <w:rsid w:val="00B4752F"/>
    <w:rsid w:val="00B55BDD"/>
    <w:rsid w:val="00BA4C62"/>
    <w:rsid w:val="00BF31D8"/>
    <w:rsid w:val="00C04031"/>
    <w:rsid w:val="00C45863"/>
    <w:rsid w:val="00C50C9B"/>
    <w:rsid w:val="00CD2E78"/>
    <w:rsid w:val="00D220C0"/>
    <w:rsid w:val="00D323F7"/>
    <w:rsid w:val="00DC04BE"/>
    <w:rsid w:val="00E13EC5"/>
    <w:rsid w:val="00E473DD"/>
    <w:rsid w:val="00EC0374"/>
    <w:rsid w:val="00EC64BC"/>
    <w:rsid w:val="00F04EE7"/>
    <w:rsid w:val="00F23E96"/>
    <w:rsid w:val="00FC7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59267"/>
  <w15:chartTrackingRefBased/>
  <w15:docId w15:val="{92EAFBA9-7507-4E74-A671-D55501B32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B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6B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B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B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B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B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B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B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B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B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6B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B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B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B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B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B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B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B8C"/>
    <w:rPr>
      <w:rFonts w:eastAsiaTheme="majorEastAsia" w:cstheme="majorBidi"/>
      <w:color w:val="272727" w:themeColor="text1" w:themeTint="D8"/>
    </w:rPr>
  </w:style>
  <w:style w:type="paragraph" w:styleId="Title">
    <w:name w:val="Title"/>
    <w:basedOn w:val="Normal"/>
    <w:next w:val="Normal"/>
    <w:link w:val="TitleChar"/>
    <w:uiPriority w:val="10"/>
    <w:qFormat/>
    <w:rsid w:val="00356B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B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B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B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B8C"/>
    <w:pPr>
      <w:spacing w:before="160"/>
      <w:jc w:val="center"/>
    </w:pPr>
    <w:rPr>
      <w:i/>
      <w:iCs/>
      <w:color w:val="404040" w:themeColor="text1" w:themeTint="BF"/>
    </w:rPr>
  </w:style>
  <w:style w:type="character" w:customStyle="1" w:styleId="QuoteChar">
    <w:name w:val="Quote Char"/>
    <w:basedOn w:val="DefaultParagraphFont"/>
    <w:link w:val="Quote"/>
    <w:uiPriority w:val="29"/>
    <w:rsid w:val="00356B8C"/>
    <w:rPr>
      <w:i/>
      <w:iCs/>
      <w:color w:val="404040" w:themeColor="text1" w:themeTint="BF"/>
    </w:rPr>
  </w:style>
  <w:style w:type="paragraph" w:styleId="ListParagraph">
    <w:name w:val="List Paragraph"/>
    <w:basedOn w:val="Normal"/>
    <w:uiPriority w:val="34"/>
    <w:qFormat/>
    <w:rsid w:val="00356B8C"/>
    <w:pPr>
      <w:ind w:left="720"/>
      <w:contextualSpacing/>
    </w:pPr>
  </w:style>
  <w:style w:type="character" w:styleId="IntenseEmphasis">
    <w:name w:val="Intense Emphasis"/>
    <w:basedOn w:val="DefaultParagraphFont"/>
    <w:uiPriority w:val="21"/>
    <w:qFormat/>
    <w:rsid w:val="00356B8C"/>
    <w:rPr>
      <w:i/>
      <w:iCs/>
      <w:color w:val="0F4761" w:themeColor="accent1" w:themeShade="BF"/>
    </w:rPr>
  </w:style>
  <w:style w:type="paragraph" w:styleId="IntenseQuote">
    <w:name w:val="Intense Quote"/>
    <w:basedOn w:val="Normal"/>
    <w:next w:val="Normal"/>
    <w:link w:val="IntenseQuoteChar"/>
    <w:uiPriority w:val="30"/>
    <w:qFormat/>
    <w:rsid w:val="00356B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B8C"/>
    <w:rPr>
      <w:i/>
      <w:iCs/>
      <w:color w:val="0F4761" w:themeColor="accent1" w:themeShade="BF"/>
    </w:rPr>
  </w:style>
  <w:style w:type="character" w:styleId="IntenseReference">
    <w:name w:val="Intense Reference"/>
    <w:basedOn w:val="DefaultParagraphFont"/>
    <w:uiPriority w:val="32"/>
    <w:qFormat/>
    <w:rsid w:val="00356B8C"/>
    <w:rPr>
      <w:b/>
      <w:bCs/>
      <w:smallCaps/>
      <w:color w:val="0F4761" w:themeColor="accent1" w:themeShade="BF"/>
      <w:spacing w:val="5"/>
    </w:rPr>
  </w:style>
  <w:style w:type="paragraph" w:styleId="TOCHeading">
    <w:name w:val="TOC Heading"/>
    <w:basedOn w:val="Heading1"/>
    <w:next w:val="Normal"/>
    <w:uiPriority w:val="39"/>
    <w:unhideWhenUsed/>
    <w:qFormat/>
    <w:rsid w:val="00EC64B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15044"/>
    <w:pPr>
      <w:spacing w:after="100"/>
    </w:pPr>
  </w:style>
  <w:style w:type="character" w:styleId="Hyperlink">
    <w:name w:val="Hyperlink"/>
    <w:basedOn w:val="DefaultParagraphFont"/>
    <w:uiPriority w:val="99"/>
    <w:unhideWhenUsed/>
    <w:rsid w:val="0071504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06648-D3C3-4A8B-9AA0-607CFC208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Pages>
  <Words>2595</Words>
  <Characters>14795</Characters>
  <Application>Microsoft Office Word</Application>
  <DocSecurity>0</DocSecurity>
  <Lines>123</Lines>
  <Paragraphs>34</Paragraphs>
  <ScaleCrop>false</ScaleCrop>
  <Company/>
  <LinksUpToDate>false</LinksUpToDate>
  <CharactersWithSpaces>17356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alisa mercar</dc:creator>
  <cp:keywords/>
  <dc:description/>
  <cp:lastModifiedBy>alisa mercar</cp:lastModifiedBy>
  <cp:revision>59</cp:revision>
  <dcterms:created xsi:type="dcterms:W3CDTF">2025-11-16T15:13:00Z</dcterms:created>
  <dcterms:modified xsi:type="dcterms:W3CDTF">2025-11-22T15:28:00Z</dcterms:modified>
</cp:coreProperties>
</file>