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From outsiders to heirs: The shifting perception of ‘Barbarians’ in Late Antiquity (4th–6th century CE)</w:t>
      </w:r>
    </w:p>
    <w:p w:rsidR="00000000" w:rsidDel="00000000" w:rsidP="00000000" w:rsidRDefault="00000000" w:rsidRPr="00000000" w14:paraId="00000002">
      <w:pPr>
        <w:spacing w:after="240" w:before="240" w:line="360" w:lineRule="auto"/>
        <w:jc w:val="center"/>
        <w:rPr>
          <w:rFonts w:ascii="Times New Roman" w:cs="Times New Roman" w:eastAsia="Times New Roman" w:hAnsi="Times New Roman"/>
          <w:i w:val="1"/>
          <w:sz w:val="26"/>
          <w:szCs w:val="26"/>
        </w:rPr>
      </w:pPr>
      <w:r w:rsidDel="00000000" w:rsidR="00000000" w:rsidRPr="00000000">
        <w:rPr>
          <w:rFonts w:ascii="Times New Roman" w:cs="Times New Roman" w:eastAsia="Times New Roman" w:hAnsi="Times New Roman"/>
          <w:i w:val="1"/>
          <w:sz w:val="26"/>
          <w:szCs w:val="26"/>
          <w:rtl w:val="0"/>
        </w:rPr>
        <w:t xml:space="preserve">"Wild nations are pressing upon the Roman empire and howling round about it everywhere, and treacherous barbarians, covered by natural positions, are assailing every frontier</w:t>
      </w:r>
      <w:r w:rsidDel="00000000" w:rsidR="00000000" w:rsidRPr="00000000">
        <w:rPr>
          <w:rFonts w:ascii="Times New Roman" w:cs="Times New Roman" w:eastAsia="Times New Roman" w:hAnsi="Times New Roman"/>
          <w:i w:val="1"/>
          <w:sz w:val="26"/>
          <w:szCs w:val="26"/>
          <w:vertAlign w:val="superscript"/>
        </w:rPr>
        <w:footnoteReference w:customMarkFollows="0" w:id="0"/>
      </w:r>
      <w:r w:rsidDel="00000000" w:rsidR="00000000" w:rsidRPr="00000000">
        <w:rPr>
          <w:rFonts w:ascii="Times New Roman" w:cs="Times New Roman" w:eastAsia="Times New Roman" w:hAnsi="Times New Roman"/>
          <w:i w:val="1"/>
          <w:sz w:val="26"/>
          <w:szCs w:val="26"/>
          <w:rtl w:val="0"/>
        </w:rPr>
        <w:t xml:space="preserve">" </w:t>
      </w:r>
    </w:p>
    <w:p w:rsidR="00000000" w:rsidDel="00000000" w:rsidP="00000000" w:rsidRDefault="00000000" w:rsidRPr="00000000" w14:paraId="00000003">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late fourth-century CE image of barbarians howling at the gates encapsulated Roman anxieties about the empire’s external pressures. Yet late antique representations of the "barbarian" were neither fixed nor monolithic.</w:t>
      </w:r>
    </w:p>
    <w:p w:rsidR="00000000" w:rsidDel="00000000" w:rsidP="00000000" w:rsidRDefault="00000000" w:rsidRPr="00000000" w14:paraId="00000004">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essay explores how Roman discourse on "barbarians" evolved between the fourth and sixth centuries CE. </w:t>
      </w:r>
      <w:r w:rsidDel="00000000" w:rsidR="00000000" w:rsidRPr="00000000">
        <w:rPr>
          <w:rFonts w:ascii="Times New Roman" w:cs="Times New Roman" w:eastAsia="Times New Roman" w:hAnsi="Times New Roman"/>
          <w:sz w:val="26"/>
          <w:szCs w:val="26"/>
          <w:rtl w:val="0"/>
        </w:rPr>
        <w:t xml:space="preserve">Focusing on Ammianus Marcellinus’ portrayal of the Goths,</w:t>
      </w:r>
      <w:r w:rsidDel="00000000" w:rsidR="00000000" w:rsidRPr="00000000">
        <w:rPr>
          <w:rFonts w:ascii="Times New Roman" w:cs="Times New Roman" w:eastAsia="Times New Roman" w:hAnsi="Times New Roman"/>
          <w:sz w:val="26"/>
          <w:szCs w:val="26"/>
          <w:vertAlign w:val="superscript"/>
        </w:rPr>
        <w:footnoteReference w:customMarkFollows="0" w:id="1"/>
      </w:r>
      <w:r w:rsidDel="00000000" w:rsidR="00000000" w:rsidRPr="00000000">
        <w:rPr>
          <w:rFonts w:ascii="Times New Roman" w:cs="Times New Roman" w:eastAsia="Times New Roman" w:hAnsi="Times New Roman"/>
          <w:sz w:val="26"/>
          <w:szCs w:val="26"/>
          <w:rtl w:val="0"/>
        </w:rPr>
        <w:t xml:space="preserve"> Alans</w:t>
      </w:r>
      <w:r w:rsidDel="00000000" w:rsidR="00000000" w:rsidRPr="00000000">
        <w:rPr>
          <w:rFonts w:ascii="Times New Roman" w:cs="Times New Roman" w:eastAsia="Times New Roman" w:hAnsi="Times New Roman"/>
          <w:sz w:val="26"/>
          <w:szCs w:val="26"/>
          <w:vertAlign w:val="superscript"/>
        </w:rPr>
        <w:footnoteReference w:customMarkFollows="0" w:id="2"/>
      </w:r>
      <w:r w:rsidDel="00000000" w:rsidR="00000000" w:rsidRPr="00000000">
        <w:rPr>
          <w:rFonts w:ascii="Times New Roman" w:cs="Times New Roman" w:eastAsia="Times New Roman" w:hAnsi="Times New Roman"/>
          <w:sz w:val="26"/>
          <w:szCs w:val="26"/>
          <w:rtl w:val="0"/>
        </w:rPr>
        <w:t xml:space="preserve"> and Huns,</w:t>
      </w:r>
      <w:r w:rsidDel="00000000" w:rsidR="00000000" w:rsidRPr="00000000">
        <w:rPr>
          <w:rFonts w:ascii="Times New Roman" w:cs="Times New Roman" w:eastAsia="Times New Roman" w:hAnsi="Times New Roman"/>
          <w:sz w:val="26"/>
          <w:szCs w:val="26"/>
          <w:vertAlign w:val="superscript"/>
        </w:rPr>
        <w:footnoteReference w:customMarkFollows="0" w:id="3"/>
      </w:r>
      <w:r w:rsidDel="00000000" w:rsidR="00000000" w:rsidRPr="00000000">
        <w:rPr>
          <w:rFonts w:ascii="Times New Roman" w:cs="Times New Roman" w:eastAsia="Times New Roman" w:hAnsi="Times New Roman"/>
          <w:sz w:val="26"/>
          <w:szCs w:val="26"/>
          <w:rtl w:val="0"/>
        </w:rPr>
        <w:t xml:space="preserve"> as well as fragments of Priscus</w:t>
      </w:r>
      <w:r w:rsidDel="00000000" w:rsidR="00000000" w:rsidRPr="00000000">
        <w:rPr>
          <w:rFonts w:ascii="Times New Roman" w:cs="Times New Roman" w:eastAsia="Times New Roman" w:hAnsi="Times New Roman"/>
          <w:sz w:val="26"/>
          <w:szCs w:val="26"/>
          <w:vertAlign w:val="superscript"/>
        </w:rPr>
        <w:footnoteReference w:customMarkFollows="0" w:id="4"/>
      </w:r>
      <w:r w:rsidDel="00000000" w:rsidR="00000000" w:rsidRPr="00000000">
        <w:rPr>
          <w:rFonts w:ascii="Times New Roman" w:cs="Times New Roman" w:eastAsia="Times New Roman" w:hAnsi="Times New Roman"/>
          <w:sz w:val="26"/>
          <w:szCs w:val="26"/>
          <w:rtl w:val="0"/>
        </w:rPr>
        <w:t xml:space="preserve"> and Jordanes’ Getica.</w:t>
      </w:r>
      <w:r w:rsidDel="00000000" w:rsidR="00000000" w:rsidRPr="00000000">
        <w:rPr>
          <w:rFonts w:ascii="Times New Roman" w:cs="Times New Roman" w:eastAsia="Times New Roman" w:hAnsi="Times New Roman"/>
          <w:sz w:val="26"/>
          <w:szCs w:val="26"/>
          <w:vertAlign w:val="superscript"/>
        </w:rPr>
        <w:footnoteReference w:customMarkFollows="0" w:id="5"/>
      </w:r>
      <w:r w:rsidDel="00000000" w:rsidR="00000000" w:rsidRPr="00000000">
        <w:rPr>
          <w:rFonts w:ascii="Times New Roman" w:cs="Times New Roman" w:eastAsia="Times New Roman" w:hAnsi="Times New Roman"/>
          <w:sz w:val="26"/>
          <w:szCs w:val="26"/>
          <w:rtl w:val="0"/>
        </w:rPr>
        <w:t xml:space="preserve"> It argues that while stereotypes persisted, late antique representations became increasingly complex due to the pressures of political accommodation and integration.</w:t>
      </w:r>
    </w:p>
    <w:p w:rsidR="00000000" w:rsidDel="00000000" w:rsidP="00000000" w:rsidRDefault="00000000" w:rsidRPr="00000000" w14:paraId="00000005">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Roman–barbarian dichotomy was continually reshaped by military alliances, ideological needs, and shifting cultural boundaries, undermining earlier models of stark opposition and contributing to a ‘barbaro-Roman’ culture (Mathisen and Shanzer 2016, p. 4). Following measures such as the Constitutio Antoniniana under Caracalla in the third century, the boundary between citizen and outsider became increasingly permeable. By the late fourth century, "barbarians" could serve Rome, attain citizenship, and, by the sixth century, be reimagined as heirs to Roman traditions. As Bjornlie (2018) emphasises, identity in Late Antiquity was shaped as much by political necessity and military service as by cultural origin.</w:t>
      </w:r>
    </w:p>
    <w:p w:rsidR="00000000" w:rsidDel="00000000" w:rsidP="00000000" w:rsidRDefault="00000000" w:rsidRPr="00000000" w14:paraId="0000000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To contextualise these arguments, key terms must first be defined. The "barbarian" in Roman thought was never a neutral label but a political and symbolic category, shaped by literary tradition and ideological needs. Roman identity, too, was performative and flexible—not solely based on ethnicity or law, but on the capacity to embody Roman norms and live under Roman law (Halsall 2007, p. 54; Bjornlie 2018, p. 73, pp. 82–83).</w:t>
      </w:r>
    </w:p>
    <w:p w:rsidR="00000000" w:rsidDel="00000000" w:rsidP="00000000" w:rsidRDefault="00000000" w:rsidRPr="00000000" w14:paraId="00000007">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Latin terms such as ‘barbaria’ and ‘barbaricum’—Latinised offshoots of the Greek βᾰ́ρβᾰρος / βᾰ́ρβᾰροι (Gillett 2009, pp. 397–398)—frequently appear in Roman sources, yet no evidence suggests non-Roman peoples used comparable terms for themselves. Such language reflects deeply embedded Graeco-Roman assumptions about centre and periphery, civilisation and otherness (Gillett 2009, pp. 396–397; Halsall 2007, pp. 44–45). These binaries were not only features of ancient literature but also anticipate modern critical frameworks, notably Edward Said’s </w:t>
      </w:r>
      <w:r w:rsidDel="00000000" w:rsidR="00000000" w:rsidRPr="00000000">
        <w:rPr>
          <w:rFonts w:ascii="Times New Roman" w:cs="Times New Roman" w:eastAsia="Times New Roman" w:hAnsi="Times New Roman"/>
          <w:i w:val="1"/>
          <w:sz w:val="26"/>
          <w:szCs w:val="26"/>
          <w:rtl w:val="0"/>
        </w:rPr>
        <w:t xml:space="preserve">Orientalism</w:t>
      </w:r>
      <w:r w:rsidDel="00000000" w:rsidR="00000000" w:rsidRPr="00000000">
        <w:rPr>
          <w:rFonts w:ascii="Times New Roman" w:cs="Times New Roman" w:eastAsia="Times New Roman" w:hAnsi="Times New Roman"/>
          <w:sz w:val="26"/>
          <w:szCs w:val="26"/>
          <w:rtl w:val="0"/>
        </w:rPr>
        <w:t xml:space="preserve"> (2003 [1978]). Although developed in a modern imperial context, Said’s concept of "othering" is already evident in Roman ethnographic writing. Syed (2010, p. 177) shows how Roman portrayals of figures like Cleopatra link gender and ethnicity to construct Roman identity through the exotic “other”. She draws on Said’s observation that: “One of the fundamental components of the discourse of Orientalism is the power and the prerogative of the West to articulate the East.”</w:t>
      </w:r>
    </w:p>
    <w:p w:rsidR="00000000" w:rsidDel="00000000" w:rsidP="00000000" w:rsidRDefault="00000000" w:rsidRPr="00000000" w14:paraId="0000000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Similarly, Roman authors positioned barbarian peoples as ideological opposites, irrational, savage and decadent compared to Roman rationality, virtue and order. This is visible in Virgil’s Aeneid (8.675-8) where Antony’s Eastern allies are described as having “barbarous wealth and strange weapons” and are subdued by Roman power. Poets such as Propertius and Horace likewise celebrated Augustus’ victories over foreign peoples, casting them morally inferior and destined to “bow their neck” to Rome’s imperium (Elegies 2.10). This justified imperial domination and projected Roman fears of moral decline onto the outside “other”.</w:t>
      </w:r>
    </w:p>
    <w:p w:rsidR="00000000" w:rsidDel="00000000" w:rsidP="00000000" w:rsidRDefault="00000000" w:rsidRPr="00000000" w14:paraId="00000009">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Understanding these portrayals requires a Reception Studies approach. As Hardwick and Stray (2008, p. 1) note, texts’ meanings are shaped by both their original contexts and later receptions. Ancient depictions of "barbarians" were continually reinterpreted and adapted to changing political and cultural needs. The portrayals of Ammianus, Priscus, and Jordanes should therefore be viewed not only as products of their time but as part of an evolving literary tradition.</w:t>
      </w:r>
    </w:p>
    <w:p w:rsidR="00000000" w:rsidDel="00000000" w:rsidP="00000000" w:rsidRDefault="00000000" w:rsidRPr="00000000" w14:paraId="0000000A">
      <w:pPr>
        <w:spacing w:after="240" w:before="240"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The authors: Ammianus, Priscus and Jordanes </w:t>
      </w:r>
    </w:p>
    <w:p w:rsidR="00000000" w:rsidDel="00000000" w:rsidP="00000000" w:rsidRDefault="00000000" w:rsidRPr="00000000" w14:paraId="0000000B">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Rather than treating these sources as factual records, this essay examines how each author uses recurring tropes in Roman ethnographic discourse to trace evolving perceptions of "barbarians."</w:t>
      </w:r>
    </w:p>
    <w:p w:rsidR="00000000" w:rsidDel="00000000" w:rsidP="00000000" w:rsidRDefault="00000000" w:rsidRPr="00000000" w14:paraId="0000000C">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Marcellinus, a Roman military officer and historian writing in the late fourth century CE, served under Constantius II and Julian, completing his </w:t>
      </w:r>
      <w:r w:rsidDel="00000000" w:rsidR="00000000" w:rsidRPr="00000000">
        <w:rPr>
          <w:rFonts w:ascii="Times New Roman" w:cs="Times New Roman" w:eastAsia="Times New Roman" w:hAnsi="Times New Roman"/>
          <w:i w:val="1"/>
          <w:sz w:val="26"/>
          <w:szCs w:val="26"/>
          <w:rtl w:val="0"/>
        </w:rPr>
        <w:t xml:space="preserve">Res Gestae</w:t>
      </w:r>
      <w:r w:rsidDel="00000000" w:rsidR="00000000" w:rsidRPr="00000000">
        <w:rPr>
          <w:rFonts w:ascii="Times New Roman" w:cs="Times New Roman" w:eastAsia="Times New Roman" w:hAnsi="Times New Roman"/>
          <w:sz w:val="26"/>
          <w:szCs w:val="26"/>
          <w:rtl w:val="0"/>
        </w:rPr>
        <w:t xml:space="preserve"> around 390–392 CE. By then, “eastern warriors, presented as hordes of savage horse-riding barbarians, were feared as the ultimate threat to the empire’s stability or even existence” (Burgersdijk 2016, p. 111). In his final book, Ammianus portrays nomadic steppe peoples, especially Huns and Alans, as existential dangers to an empire in crisis (Burgersdijk 2016, p. 112), weaving classical literary models with vivid ethnographic digressions.</w:t>
      </w:r>
    </w:p>
    <w:p w:rsidR="00000000" w:rsidDel="00000000" w:rsidP="00000000" w:rsidRDefault="00000000" w:rsidRPr="00000000" w14:paraId="0000000D">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Priscus of Panium, a fifth-century Greek-speaking Roman historian, survives only in fragments. The </w:t>
      </w:r>
      <w:r w:rsidDel="00000000" w:rsidR="00000000" w:rsidRPr="00000000">
        <w:rPr>
          <w:rFonts w:ascii="Times New Roman" w:cs="Times New Roman" w:eastAsia="Times New Roman" w:hAnsi="Times New Roman"/>
          <w:i w:val="1"/>
          <w:sz w:val="26"/>
          <w:szCs w:val="26"/>
          <w:rtl w:val="0"/>
        </w:rPr>
        <w:t xml:space="preserve">Suda</w:t>
      </w:r>
      <w:r w:rsidDel="00000000" w:rsidR="00000000" w:rsidRPr="00000000">
        <w:rPr>
          <w:rFonts w:ascii="Times New Roman" w:cs="Times New Roman" w:eastAsia="Times New Roman" w:hAnsi="Times New Roman"/>
          <w:sz w:val="26"/>
          <w:szCs w:val="26"/>
          <w:rtl w:val="0"/>
        </w:rPr>
        <w:t xml:space="preserve"> records that he authored a history of Byzantium and Attila. Unlike predecessors, Priscus had direct contact with the Huns, joining an imperial embassy to Attila’s court and speaking with a Roman who had lived among them. His narrative on the Hunnic invasion of the Western Roman Empire (451–452 CE) shows deeper engagement with Hunnic society (Kim 2015, p. 135).</w:t>
      </w:r>
    </w:p>
    <w:p w:rsidR="00000000" w:rsidDel="00000000" w:rsidP="00000000" w:rsidRDefault="00000000" w:rsidRPr="00000000" w14:paraId="0000000E">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Jordanes, a sixth-century Romanised Gothic historian in Constantinople, wrote the </w:t>
      </w:r>
      <w:r w:rsidDel="00000000" w:rsidR="00000000" w:rsidRPr="00000000">
        <w:rPr>
          <w:rFonts w:ascii="Times New Roman" w:cs="Times New Roman" w:eastAsia="Times New Roman" w:hAnsi="Times New Roman"/>
          <w:i w:val="1"/>
          <w:sz w:val="26"/>
          <w:szCs w:val="26"/>
          <w:rtl w:val="0"/>
        </w:rPr>
        <w:t xml:space="preserve">Getica</w:t>
      </w:r>
      <w:r w:rsidDel="00000000" w:rsidR="00000000" w:rsidRPr="00000000">
        <w:rPr>
          <w:rFonts w:ascii="Times New Roman" w:cs="Times New Roman" w:eastAsia="Times New Roman" w:hAnsi="Times New Roman"/>
          <w:sz w:val="26"/>
          <w:szCs w:val="26"/>
          <w:rtl w:val="0"/>
        </w:rPr>
        <w:t xml:space="preserve"> (c. 551 CE), an abridged version of Cassiodorus’ now-lost history. Although focused on Gothic origins, he also addresses the Huns. Kim describes him as “a slightly more informed Ammianus but certainly no Priscus,” noting the </w:t>
      </w:r>
      <w:r w:rsidDel="00000000" w:rsidR="00000000" w:rsidRPr="00000000">
        <w:rPr>
          <w:rFonts w:ascii="Times New Roman" w:cs="Times New Roman" w:eastAsia="Times New Roman" w:hAnsi="Times New Roman"/>
          <w:i w:val="1"/>
          <w:sz w:val="26"/>
          <w:szCs w:val="26"/>
          <w:rtl w:val="0"/>
        </w:rPr>
        <w:t xml:space="preserve">Getica</w:t>
      </w:r>
      <w:r w:rsidDel="00000000" w:rsidR="00000000" w:rsidRPr="00000000">
        <w:rPr>
          <w:rFonts w:ascii="Times New Roman" w:cs="Times New Roman" w:eastAsia="Times New Roman" w:hAnsi="Times New Roman"/>
          <w:sz w:val="26"/>
          <w:szCs w:val="26"/>
          <w:rtl w:val="0"/>
        </w:rPr>
        <w:t xml:space="preserve"> is “replete with stories aimed at glorifying the Goths and full of fictitious victories” (Kim 2015, p. 133). McDonald observes that Jordanes blends folklore (e.g., Amazons) with historical material (e.g., Catalaunian Plains), portraying the Goths as divine agents (McDonald 2021, p. 209). Gillett argues Jordanes adapts Roman historiography to create a hybrid Gothic-Roman identity (Gillett 2009, pp. 404–406).</w:t>
      </w:r>
    </w:p>
    <w:p w:rsidR="00000000" w:rsidDel="00000000" w:rsidP="00000000" w:rsidRDefault="00000000" w:rsidRPr="00000000" w14:paraId="0000000F">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Though separated by time, genre, and perspective, these three writers together illuminate the evolving Roman discourse on barbarian identity between the fourth and sixth centuries.</w:t>
      </w:r>
    </w:p>
    <w:p w:rsidR="00000000" w:rsidDel="00000000" w:rsidP="00000000" w:rsidRDefault="00000000" w:rsidRPr="00000000" w14:paraId="00000010">
      <w:pPr>
        <w:spacing w:after="240" w:before="240" w:lineRule="auto"/>
        <w:ind w:left="0" w:firstLine="0"/>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Constructing the Barbarian "Other": Fear, Savagery, and Chaos</w:t>
      </w:r>
    </w:p>
    <w:p w:rsidR="00000000" w:rsidDel="00000000" w:rsidP="00000000" w:rsidRDefault="00000000" w:rsidRPr="00000000" w14:paraId="00000011">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his Res Gestae, Ammianus Marcellinus constructs the barbarian 'other' by portraying nomadic peoples such as the Goths, Alans, and Huns as existential threats to Roman order, reinforcing longstanding ethnographic stereotypes. In Res Gestae 31.4.5–6, he describes how the Romans, under pressure from the Huns, allowed the Goths, with their “stormy eagerness,” to cross the Danube and settle as foederati in Thrace. The event is depicted as the start of the “ruin of the Roman world” (Ammianus, Res Gestae 31.4.6). This narrative of administrative failure reflects wider anxieties about porous borders and the accompanying erosion of Roman identity  (Burgersdijk 2016, pp. 119–124; Gillett 2009, pp. 395–396).</w:t>
      </w:r>
    </w:p>
    <w:p w:rsidR="00000000" w:rsidDel="00000000" w:rsidP="00000000" w:rsidRDefault="00000000" w:rsidRPr="00000000" w14:paraId="00000012">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ethnographic portrayal of the Alans (Res Gestae 31.2.21–23) further amplifies this threat. He describes them as “less savage” than the Huns, yet still glorifying violence, delighting in danger, and scorning peaceful death. According to Ammianus, they worship a naked sword as a war god, having “no temple or sacred place… not even a hut thatched with straw” (Ammianus Marcellinus, Res Gestae 31.2.21–23, trans. Rolfe 1939).</w:t>
      </w:r>
    </w:p>
    <w:p w:rsidR="00000000" w:rsidDel="00000000" w:rsidP="00000000" w:rsidRDefault="00000000" w:rsidRPr="00000000" w14:paraId="00000013">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Such tropes—spiritualisation of nature, reverence for violence, and rejection of Roman civility—echo earlier ethnographic descriptions, notably Tacitus’ Germania (9, 14). Tacitus had depicted northern peoples as martial, exotic, and primitive, revering sacred groves and valuing bravery in battle:</w:t>
      </w:r>
    </w:p>
    <w:p w:rsidR="00000000" w:rsidDel="00000000" w:rsidP="00000000" w:rsidRDefault="00000000" w:rsidRPr="00000000" w14:paraId="00000014">
      <w:pPr>
        <w:spacing w:after="240" w:before="240" w:line="360" w:lineRule="auto"/>
        <w:ind w:left="600" w:right="60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Germans…do not consider it consistent with the grandeur of celestial beings to confine the gods within walls…They consecrate woods and groves” (Germania 9, trans. Church, Brodribb, Cerrato 1942).</w:t>
      </w:r>
    </w:p>
    <w:p w:rsidR="00000000" w:rsidDel="00000000" w:rsidP="00000000" w:rsidRDefault="00000000" w:rsidRPr="00000000" w14:paraId="00000015">
      <w:pPr>
        <w:spacing w:after="240" w:before="240" w:line="360" w:lineRule="auto"/>
        <w:ind w:left="600" w:right="60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“It is a disgrace for the chief to be surpassed in valour, a disgrace for his followers not to equal the valour of the chief…many noble youths voluntarily seek those tribes which are waging war” (Germania 14).</w:t>
      </w:r>
    </w:p>
    <w:p w:rsidR="00000000" w:rsidDel="00000000" w:rsidP="00000000" w:rsidRDefault="00000000" w:rsidRPr="00000000" w14:paraId="0000001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descriptions thus belong to a Roman literary tradition that linked nomadism, lack of agriculture, and spiritual primitivism with barbarism—his descriptions are not carbon copies, but variations on well-established ethnographic models that he repurposes for new ideological goals (Burgersdijk 2016, pp. 119–124). Unlike Tacitus’ more ambivalent portrayal of primitive virtue compared to decadent Rome, Ammianus turns the idea on its head: primitivism, for him, signals not purity but savagery, terror, and existential threat (Burgersdijk 2016, p. 124). Both authors ultimately reinforce the difference between Romans and barbarians, but Ammianus strips away any positive connotations.</w:t>
      </w:r>
    </w:p>
    <w:p w:rsidR="00000000" w:rsidDel="00000000" w:rsidP="00000000" w:rsidRDefault="00000000" w:rsidRPr="00000000" w14:paraId="00000017">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While Burgersdijk persuasively shows how Ammianus employs tropes of savagery and fear, it is important, as Gillett reminds us, not to dismiss all ethnographic content as fiction. Roman ethnographic writing routinely followed literary conventions (Gillett 2009, pp. 393–395), yet recurring motifs do not automatically negate traces of cultural reality. Tropes such as nature-worship or sacred weapons may reflect genuine aspects of non-Roman practice, filtered through Roman interpretive lenses. Indeed, spiritual reverence for groves or natural landmarks was familiar even within Greco-Roman traditions (Beard, North, Price 1998, pp. 30–32).</w:t>
      </w:r>
    </w:p>
    <w:p w:rsidR="00000000" w:rsidDel="00000000" w:rsidP="00000000" w:rsidRDefault="00000000" w:rsidRPr="00000000" w14:paraId="0000001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idea that groups like the Alans worshipped groves, swords, or natural forces may therefore stem from both Roman stereotyping and authentic observation. Likewise, Ammianus’ physical descriptions of the Alans—tall, fair-haired, fierce—closely echo Tacitus’ depiction of the Germans as a “distinct, unmixed race…with fierce blue eyes, red hair, huge frames” (Germania 4). These shared tropes reinforced perceptions of barbarian otherness while echoing familiar ethnographic patterns.</w:t>
      </w:r>
    </w:p>
    <w:p w:rsidR="00000000" w:rsidDel="00000000" w:rsidP="00000000" w:rsidRDefault="00000000" w:rsidRPr="00000000" w14:paraId="00000019">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At the same time, Ammianus’ feral, chaotic, spiritually alien barbarians serve a rhetorical purpose: to bolster Roman moral and political superiority and make the barbarians seem more of a threat. Some of this may be based on genuine observation, but the framing is literary and makes the barbarians foils to a besieged civilisation (Burgersdijk 2016, pp 124-125).</w:t>
      </w:r>
    </w:p>
    <w:p w:rsidR="00000000" w:rsidDel="00000000" w:rsidP="00000000" w:rsidRDefault="00000000" w:rsidRPr="00000000" w14:paraId="0000001A">
      <w:pPr>
        <w:pStyle w:val="Heading3"/>
        <w:keepNext w:val="0"/>
        <w:keepLines w:val="0"/>
        <w:spacing w:before="280" w:line="360" w:lineRule="auto"/>
        <w:rPr>
          <w:rFonts w:ascii="Times New Roman" w:cs="Times New Roman" w:eastAsia="Times New Roman" w:hAnsi="Times New Roman"/>
          <w:b w:val="1"/>
          <w:color w:val="000000"/>
          <w:sz w:val="26"/>
          <w:szCs w:val="26"/>
        </w:rPr>
      </w:pPr>
      <w:bookmarkStart w:colFirst="0" w:colLast="0" w:name="_gpbfi68qknz0" w:id="0"/>
      <w:bookmarkEnd w:id="0"/>
      <w:r w:rsidDel="00000000" w:rsidR="00000000" w:rsidRPr="00000000">
        <w:rPr>
          <w:rFonts w:ascii="Times New Roman" w:cs="Times New Roman" w:eastAsia="Times New Roman" w:hAnsi="Times New Roman"/>
          <w:b w:val="1"/>
          <w:color w:val="000000"/>
          <w:sz w:val="26"/>
          <w:szCs w:val="26"/>
          <w:rtl w:val="0"/>
        </w:rPr>
        <w:t xml:space="preserve">Ammianus and the Huns – Monstrous Nomads or Political Actors?</w:t>
      </w:r>
    </w:p>
    <w:p w:rsidR="00000000" w:rsidDel="00000000" w:rsidP="00000000" w:rsidRDefault="00000000" w:rsidRPr="00000000" w14:paraId="0000001B">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Compared to his portrayal of the Goths and Alans, Ammianus’ depiction of the Huns is even more extreme. In Res Gestae 31.2, he paints a striking and dehumanising picture of them as the ultimate “other”: deformed, godless, nomadic and bestial. He writes:</w:t>
      </w:r>
    </w:p>
    <w:p w:rsidR="00000000" w:rsidDel="00000000" w:rsidP="00000000" w:rsidRDefault="00000000" w:rsidRPr="00000000" w14:paraId="0000001C">
      <w:pPr>
        <w:spacing w:after="240" w:before="240" w:line="360" w:lineRule="auto"/>
        <w:ind w:left="600" w:right="60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“They grow old without beards and without any beauty, like eunuchs. They all have compact, strong limbs and thick necks, and are so monstrously ugly and misshapen, that one might take them for two-legged beasts or for the stumps, rough-hewn into images, that are used in putting sides to bridges” (Res Gestae 31.2.2, trans. Rolfe 1939).</w:t>
      </w:r>
    </w:p>
    <w:p w:rsidR="00000000" w:rsidDel="00000000" w:rsidP="00000000" w:rsidRDefault="00000000" w:rsidRPr="00000000" w14:paraId="0000001D">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McDonald notes that Ammianus links the Huns to the animal kingdom, using physiognomy to signal their moral and physical otherness. Their “disagreeable” appearance is the antithesis of Roman-ness and reinforces the idea of the Huns as misshapen threats to civilisation (McDonald 2021, pp. 217–221).</w:t>
      </w:r>
    </w:p>
    <w:p w:rsidR="00000000" w:rsidDel="00000000" w:rsidP="00000000" w:rsidRDefault="00000000" w:rsidRPr="00000000" w14:paraId="0000001E">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construction of Hunnic ‘alterity’ rests on a ‘triad’ of ugliness, strangeness, and bestiality (McDonald 2021, p. 218). Yet, as Kim (cited in McDonald 2021, p. 218) notes, Ammianus would have known the Huns were politically sophisticated and organised. The function of his portrayal, therefore, was not ethnographic accuracy but rhetorical: to craft a terrifying ideological enemy (King 1987; Jarić 2012, both cited in McDonald 2021, p. 218). Burgersdijk similarly argues that Ammianus’ digression on the Huns—the longest ethnographic passage in the Res Gestae—served to explain the “catastrophe at Hadrianople” (Burgersdijk 2016, pp. 119, 128). Minimal historical content is embedded within a narrative driven by literary tradition and ideological motives.</w:t>
      </w:r>
    </w:p>
    <w:p w:rsidR="00000000" w:rsidDel="00000000" w:rsidP="00000000" w:rsidRDefault="00000000" w:rsidRPr="00000000" w14:paraId="0000001F">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Describing himself as a “once a soldier and a Greek” (Res Gestae 31.16.9), Ammianus writes from within the world of Greek paideia and Roman imperial values. Like his contemporary, Libanius, he laments the erosion of the Roman boundaries under Valens and sees the barbarian incursions as both military and cultural crises (Liebeschuetz 2015, p. 47). Through the lens of alterity he constructs a sharp contrast between the educated, lawful oikoumenê and the chaotic Barbaricum beyond (Burgersdijk 2016, p. 113). His Huns serve as a dire ideological warning: the collapse of Roman military order is the collapse of cultural and moral superiority itself (Burgersdijk 2016, p. 129).</w:t>
      </w:r>
    </w:p>
    <w:p w:rsidR="00000000" w:rsidDel="00000000" w:rsidP="00000000" w:rsidRDefault="00000000" w:rsidRPr="00000000" w14:paraId="00000020">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exaggeration of Hunnic monstrosity also reflects a broader literary pattern. As Burgersdijk notes, the further a people were imagined from the Roman world, the more fantastical and savage their depiction (Burgersdijk 2016, p. 118). Thus, the geographically closer Alans are described as “tall and handsome” and “less savage” (Res Gestae 31.2.21–23), while the distant Huns are presented as grotesque and deformed,  with “the cheeks of the children…deeply furrowed with the steel from their very birth”. (Res Gestae 31.2.2). This literary gradient of barbarism mirrors a broader ethnographic trope—observed by both Gillett (2009, pp. 397–398) and Burgersdijk (2016, p. 118) whereby physical or cultural distance amplified perceptions of otherness. Herodotus similarly amplifies the strangeness of the Scythians in proportion to their remoteness (Burgersdijk 2016, pp. 117-124). Yet for Ammianus, the aim is no longer detached curiosity but ideological alarm: distance equates not to purity but heightened monstrosity, reinforcing a sense of imperial crisis (Burgersdijk 2016, p. 129).</w:t>
      </w:r>
    </w:p>
    <w:p w:rsidR="00000000" w:rsidDel="00000000" w:rsidP="00000000" w:rsidRDefault="00000000" w:rsidRPr="00000000" w14:paraId="00000021">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reversal is even more striking when compared to ethnographic traditions where peripheral societies were idealised. Pliny the Elder’s account of Taprobane (modern Sri Lanka) describes a peaceful, just society with no litigation—a utopian image based on long-standing Greco-Roman fantasies of harmony at the edge of the world (Natural History 6.24.81–91). Yet, as Halsall notes, Roman depictions of barbarians could oscillate between noble and savage depending on rhetorical needs, with moralised portrayals used to critique Roman corruption rather than to praise foreigners (Halsall 2007, pp. 56–57). By the 4th century, however, as threats mounted, these idealisations were being replaced by more aggressive depictions. As Burgersdijk says, Ammianus deliberately subverts the trope of the “noble barbarian”: distance no longer means innocence or simplicity but intensifies monstrosity and threat (Burgersdijk 2016, 118, 124). Ethnographic discourse adjusts to the empire’s growing weakness and turns peripheral others into existential enemies.</w:t>
      </w:r>
    </w:p>
    <w:p w:rsidR="00000000" w:rsidDel="00000000" w:rsidP="00000000" w:rsidRDefault="00000000" w:rsidRPr="00000000" w14:paraId="00000022">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Ultimately, Ammianus’ portrayal of the Huns is less an attempt at ethnographic documentation than a reflection of Roman fears of infiltration, collapse, and moral decline. Shaped by literary tradition and narrative needs rather than observation, his Huns function as symbolic avatars of imperial crisis. As Burgersdijk aptly concludes, Ammianus uses the barbarian “other” as a mirror for the waning power and moral fragility of Rome itself (Burgersdijk 2016, p. 125).</w:t>
      </w:r>
    </w:p>
    <w:p w:rsidR="00000000" w:rsidDel="00000000" w:rsidP="00000000" w:rsidRDefault="00000000" w:rsidRPr="00000000" w14:paraId="00000023">
      <w:pPr>
        <w:spacing w:after="240" w:before="240"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Barbarian Authority and the Blurring of Cultural Boundaries: Priscus and the Huns</w:t>
      </w:r>
    </w:p>
    <w:p w:rsidR="00000000" w:rsidDel="00000000" w:rsidP="00000000" w:rsidRDefault="00000000" w:rsidRPr="00000000" w14:paraId="00000024">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Unlike Ammianus’ monstrous nomads, Priscus of Panium, writing in the mid-fifth century, gives us a more nuanced and realistic view of Hun life. His fragments, drawn from his own experience as a member of an Eastern Roman embassy to Attila’s court, are a significant shift in Roman literary representation of barbarian societies.</w:t>
      </w:r>
    </w:p>
    <w:p w:rsidR="00000000" w:rsidDel="00000000" w:rsidP="00000000" w:rsidRDefault="00000000" w:rsidRPr="00000000" w14:paraId="00000025">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While Ammianus portrays the Huns as bestial, godless, and devoid of culture (Ammianus, Res Gestae 31.2.1–11), Priscus’ account highlights diplomatic sophistication, ceremonial rituals, and active participation in Mediterranean trade networks. His observations challenge earlier ethnographic stereotypes and complicate the binary opposition between Romans and barbarians.</w:t>
      </w:r>
    </w:p>
    <w:p w:rsidR="00000000" w:rsidDel="00000000" w:rsidP="00000000" w:rsidRDefault="00000000" w:rsidRPr="00000000" w14:paraId="0000002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Priscus describes Attila’s palace in terms that emphasise refinement rather than savagery:</w:t>
      </w:r>
    </w:p>
    <w:p w:rsidR="00000000" w:rsidDel="00000000" w:rsidP="00000000" w:rsidRDefault="00000000" w:rsidRPr="00000000" w14:paraId="00000027">
      <w:pPr>
        <w:spacing w:after="240" w:before="240" w:line="360" w:lineRule="auto"/>
        <w:ind w:left="600" w:right="60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“It was constructed of timbers and smoothly planed boards and was surrounded by a wooden wall that was built with an eye not to security but to elegance” (Priscus, Fragment 11.2.358–361).</w:t>
      </w:r>
    </w:p>
    <w:p w:rsidR="00000000" w:rsidDel="00000000" w:rsidP="00000000" w:rsidRDefault="00000000" w:rsidRPr="00000000" w14:paraId="0000002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portrayal of architectural sophistication directly contradicts Ammianus’ claim that the Huns “avoid buildings like tombs” and prefer a life entirely in wagons (Ammianus, Res Gestae 31.2.1–2). Likewise, Priscus’ descriptions of diplomatic rituals and the exchange of exotic goods, such as “red skins, pepper from India, dates and other dried fruits which the barbarians value because they are not native products” (Priscus, Fragment 11.2.309–311), reveal openness to wider trade networks and a selective appropriation of luxury goods.</w:t>
      </w:r>
    </w:p>
    <w:p w:rsidR="00000000" w:rsidDel="00000000" w:rsidP="00000000" w:rsidRDefault="00000000" w:rsidRPr="00000000" w14:paraId="00000029">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diplomatic sophistication is further highlighted in Priscus’ account of a Roman embassy led by Anatolius and Nomus, during which Attila initially negotiated arrogantly but was eventually “overwhelmed by the number of their gifts and mollified by their words of appeasement,” agreeing to peace terms and freeing the Roman agent Vigilas (Priscus, Fragment 15.4, cited in Elton 2018, p. 239). As Elton observes, these negotiations resembled Roman dealings with Persia more than earlier dynamics with Danubian tribes, reflecting a relationship “closer to that between equals” (Elton 2018, p. 239). This episode underscores how Hunnic-Roman interactions, while framed by older ethnographic and imperial models, increasingly operated within a framework of political parity.</w:t>
      </w:r>
    </w:p>
    <w:p w:rsidR="00000000" w:rsidDel="00000000" w:rsidP="00000000" w:rsidRDefault="00000000" w:rsidRPr="00000000" w14:paraId="0000002A">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Importantly, while Attila’s court adopts material and diplomatic forms associated with Roman culture, it does so selectively. Rather than slavishly imitating Roman practices, the Huns adapt and reconfigure elements to serve their political aims, blending steppe traditions with Mediterranean imperial forms. This suggests a process of cultural negotiation rather than Romanisation. Indeed, as Mathisen and Shanzer (2016, p. 4) argue, such adoption of Roman cultural models by barbarian elites was not necessarily a deliberate reinvention of identity, but a natural outcome of prolonged interaction with Roman political and intellectual frameworks.</w:t>
      </w:r>
    </w:p>
    <w:p w:rsidR="00000000" w:rsidDel="00000000" w:rsidP="00000000" w:rsidRDefault="00000000" w:rsidRPr="00000000" w14:paraId="0000002B">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Hyun Jin Kim’s recent work also supports this nuanced interpretation. While acknowledging that Priscus can’t fully escape being pulled into the orbit of Roman ethnographic tradition, particularly Herodotus, Kim argues that Priscus’ allusions do not really compromise the accuracy of his account (Kim 2015, 129-132). Priscus uses classical language, occasionally calling the Huns “Scythians” (Kim 2015, p. 127) and includes anecdotes like the discovery of the Sword of Mars (Kim 2015, p. 129), but this does not distort the ethnographic content (Kim 2015, p. 133), even if, as Elton (2018, p. 238) argues, some episodes—like the staged debate between Priscus and a Roman defector—reflect rhetorical convention rather than literal transcription. Priscus is largely reporting what he witnessed, unlike later authors such as Jordanes. </w:t>
      </w:r>
    </w:p>
    <w:p w:rsidR="00000000" w:rsidDel="00000000" w:rsidP="00000000" w:rsidRDefault="00000000" w:rsidRPr="00000000" w14:paraId="0000002C">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Nevertheless, it is important to recognise that staged debates and speeches in his account reflect the tradition of declamation in classical historiography. As Marincola (2007, pp. 128–131) explains, such speeches were not intended as literal transcripts but functioned as rhetorical constructs, allowing historians to dramatise encounters, present competing viewpoints, and shape the reader’s moral interpretation. Priscus’ dialogue thus operates both as ethnographic observation and as a literary device shaped by the conventions of declamation, reinforcing the complexity and hybridity of Roman–barbarian relations.</w:t>
      </w:r>
    </w:p>
    <w:p w:rsidR="00000000" w:rsidDel="00000000" w:rsidP="00000000" w:rsidRDefault="00000000" w:rsidRPr="00000000" w14:paraId="0000002D">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comparison between Ammianus and Priscus thus reveals an important evolution in late antique Roman historiography. Whereas Ammianus amplifies the terror and alterity of the Huns through inherited literary tropes, Priscus’ first-hand experiences demonstrate that barbarian societies could be politically astute, diplomatically sophisticated, and culturally hybrid. His work undermines fixed binaries between civilisation and barbarism, revealing a frontier world where cultural boundaries were increasingly blurred and identities were negotiated rather than imposed. Priscus, then, shows how direct experience could puncture—though not entirely dismantle—inherited tropes.</w:t>
      </w:r>
    </w:p>
    <w:p w:rsidR="00000000" w:rsidDel="00000000" w:rsidP="00000000" w:rsidRDefault="00000000" w:rsidRPr="00000000" w14:paraId="0000002E">
      <w:pPr>
        <w:pStyle w:val="Heading3"/>
        <w:keepNext w:val="0"/>
        <w:keepLines w:val="0"/>
        <w:spacing w:before="280" w:line="360" w:lineRule="auto"/>
        <w:rPr>
          <w:rFonts w:ascii="Times New Roman" w:cs="Times New Roman" w:eastAsia="Times New Roman" w:hAnsi="Times New Roman"/>
          <w:b w:val="1"/>
          <w:color w:val="000000"/>
          <w:sz w:val="26"/>
          <w:szCs w:val="26"/>
        </w:rPr>
      </w:pPr>
      <w:bookmarkStart w:colFirst="0" w:colLast="0" w:name="_t38lawlp4gt7" w:id="1"/>
      <w:bookmarkEnd w:id="1"/>
      <w:r w:rsidDel="00000000" w:rsidR="00000000" w:rsidRPr="00000000">
        <w:rPr>
          <w:rFonts w:ascii="Times New Roman" w:cs="Times New Roman" w:eastAsia="Times New Roman" w:hAnsi="Times New Roman"/>
          <w:b w:val="1"/>
          <w:color w:val="000000"/>
          <w:sz w:val="26"/>
          <w:szCs w:val="26"/>
          <w:rtl w:val="0"/>
        </w:rPr>
        <w:t xml:space="preserve">Jordanes, the Huns: the Gothic Reimagining of the Past</w:t>
      </w:r>
    </w:p>
    <w:p w:rsidR="00000000" w:rsidDel="00000000" w:rsidP="00000000" w:rsidRDefault="00000000" w:rsidRPr="00000000" w14:paraId="0000002F">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While Priscus complicates Roman visions of the barbarian, Jordanes reintroduces and reworks older ethnographic tropes in his depiction of the Huns, blending myth, fear, and political narrative to serve new ideological aims.</w:t>
      </w:r>
    </w:p>
    <w:p w:rsidR="00000000" w:rsidDel="00000000" w:rsidP="00000000" w:rsidRDefault="00000000" w:rsidRPr="00000000" w14:paraId="00000030">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the Getica, Jordanes reframes Gothic history not as a tale of barbarian violence but as one of noble lineage, Christian virtue, and civilised empire-building. His overarching project is to present the Goths as legitimate heirs to the Roman tradition rather than external threats.</w:t>
      </w:r>
    </w:p>
    <w:p w:rsidR="00000000" w:rsidDel="00000000" w:rsidP="00000000" w:rsidRDefault="00000000" w:rsidRPr="00000000" w14:paraId="00000031">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Drawing heavily on Cassiodorus’ now-lost Gothic history (Liebeschuetz 2015, p. 103) and writing for a Byzantine audience after the fall of the Ostrogothic kingdom (Liebeschuetz 2015, pp. 136–137), Jordanes navigates a delicate cultural landscape. His Getica simultaneously mirrors Roman historiographical models and preserves traces of Gothic tradition. This duality reflects what Gillett (2009, p. 406) calls the "mirror" effect: Jordanes appropriates Roman literary forms — origin myths, moralised history, Christian providentialism — to elevate the Goths within Roman frameworks of legitimacy.</w:t>
      </w:r>
    </w:p>
    <w:p w:rsidR="00000000" w:rsidDel="00000000" w:rsidP="00000000" w:rsidRDefault="00000000" w:rsidRPr="00000000" w14:paraId="00000032">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He roots Gothic origins in the noble island of Scandza, “the womb of nations” (Getica 4), and links them to the Getae of Homer, aligning Gothic beginnings with the classical past (Getica 5–6). His portrayal of Theoderic the Great furthers this agenda: Theoderic appears not as a barbarian warlord but as a Roman-style ruler under whom “the Goths had such peace and plenty during his reign as they had never known before” (Getica 56). Jordanes concludes triumphantly that “they who once desolated the world now protect the Empire” (Getica 59), reversing the traditional barbarian stereotype.</w:t>
      </w:r>
    </w:p>
    <w:p w:rsidR="00000000" w:rsidDel="00000000" w:rsidP="00000000" w:rsidRDefault="00000000" w:rsidRPr="00000000" w14:paraId="00000033">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One of the key strategies in Jordanes’ reconstruction is to redefine Gothic identity by opposing it to Hunnic monstrosity (Kim 2015, pp. 135–138). Having depicted the Huns as the spawn of witches and unclean spirits (Getica 24.121–125), Jordanes reinforces their image as irredeemably alien, using myth to sever Gothic ties to their former overlords. This ideological separation reflects the complex historical memory of the fourth and fifth centuries: while the Goths had once been subordinate to the Huns, by the sixth century, it became politically necessary to portray them not as former allies, but as natural heirs to Roman civilisation (Liebeschuetz 2015, pp. 145–147).</w:t>
      </w:r>
    </w:p>
    <w:p w:rsidR="00000000" w:rsidDel="00000000" w:rsidP="00000000" w:rsidRDefault="00000000" w:rsidRPr="00000000" w14:paraId="00000034">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Jordanes’ monstrous Hun endures into the sixth century through vivid genealogical myth. In Getica 24.121–125, he recounts that witches expelled from the Goths were impregnated by demonic spirits, producing a “stunted, foul and puny tribe, scarcely human” (Getica 24.122–124). Whether drawn from Gothic oral tradition or Roman stereotypes remains debated, but the function is clear: the Huns are cast as a moral and physical antithesis to the Goths. As McDonald (2021, pp. 208–212) argues, this monstrous genealogy links deformity to moral corruption, reinforcing Gothic separation from barbarian otherness.</w:t>
      </w:r>
    </w:p>
    <w:p w:rsidR="00000000" w:rsidDel="00000000" w:rsidP="00000000" w:rsidRDefault="00000000" w:rsidRPr="00000000" w14:paraId="00000035">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Jordanes elevates the Goths further by making them the heroic defenders of civilisation. As Kim (2015, 135) notes, he models battles like Chalons on Herodotean patterns, recasting the Goths as a bulwark against chaos, like the Greeks against the Persians. This literary reshaping raises questions about historical accuracy: Jordanes is not just preserving memory but remodelling it for ideological purposes. Through myth, selective storytelling and Roman literary forms, he turns Gothic history into a story of cultural legitimacy and political succession.</w:t>
      </w:r>
    </w:p>
    <w:p w:rsidR="00000000" w:rsidDel="00000000" w:rsidP="00000000" w:rsidRDefault="00000000" w:rsidRPr="00000000" w14:paraId="0000003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But Jordanes' project is more than just propaganda. As Gillett (2009, 404-406) argues, he is mirroring Roman historiography while speaking in a distinctive Gothic voice. And as Liebeschuetz (2015, 124-126) notes, Jordanes filters Gothic tradition through Roman lenses but preserves traces of Gothic memory, offering an insight into how the Goths saw their past.</w:t>
      </w:r>
    </w:p>
    <w:p w:rsidR="00000000" w:rsidDel="00000000" w:rsidP="00000000" w:rsidRDefault="00000000" w:rsidRPr="00000000" w14:paraId="00000037">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Ultimately, the Getica exemplifies the hybrid nature of late antique identity formation. Jordanes’ adaptation of Roman literary models to construct a noble Gothic past reflects a world where cultural legitimacy emerged through blending, not mere opposition. This aligns with recent critiques of ethnogenesis models, such as Mathisen and Shanzer’s (2016, pp. 3–4) argument that barbarian identity formation was not necessarily an intentional project but rather a process shaped by prolonged interactions with Roman political and cultural frameworks. As Kim (2015, pp. 135–138) concludes, Jordanes’ use of classical forms shows how historical writing in Late Antiquity was less about factual record than about reinterpreting the past for contemporary political needs.</w:t>
      </w:r>
    </w:p>
    <w:p w:rsidR="00000000" w:rsidDel="00000000" w:rsidP="00000000" w:rsidRDefault="00000000" w:rsidRPr="00000000" w14:paraId="0000003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the final analysis, the Getica performs what Homi Bhabha (1994) calls a “hybrid act”</w:t>
      </w:r>
      <w:r w:rsidDel="00000000" w:rsidR="00000000" w:rsidRPr="00000000">
        <w:rPr>
          <w:rFonts w:ascii="Times New Roman" w:cs="Times New Roman" w:eastAsia="Times New Roman" w:hAnsi="Times New Roman"/>
          <w:sz w:val="26"/>
          <w:szCs w:val="26"/>
          <w:vertAlign w:val="superscript"/>
        </w:rPr>
        <w:footnoteReference w:customMarkFollows="0" w:id="6"/>
      </w:r>
      <w:r w:rsidDel="00000000" w:rsidR="00000000" w:rsidRPr="00000000">
        <w:rPr>
          <w:rFonts w:ascii="Times New Roman" w:cs="Times New Roman" w:eastAsia="Times New Roman" w:hAnsi="Times New Roman"/>
          <w:sz w:val="26"/>
          <w:szCs w:val="26"/>
          <w:rtl w:val="0"/>
        </w:rPr>
        <w:t xml:space="preserve">: a Gothic voice cloaked in Roman form, reshaping cultural legitimacy in Late Antiquity. Through myth, literary mimicry, and political reframing, Jordanes offers a powerful reimagining of what it meant to be Roman and barbarian in a transformed post-imperial world.</w:t>
      </w:r>
    </w:p>
    <w:p w:rsidR="00000000" w:rsidDel="00000000" w:rsidP="00000000" w:rsidRDefault="00000000" w:rsidRPr="00000000" w14:paraId="00000039">
      <w:pPr>
        <w:spacing w:after="240" w:before="240"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Conclusion</w:t>
      </w:r>
    </w:p>
    <w:p w:rsidR="00000000" w:rsidDel="00000000" w:rsidP="00000000" w:rsidRDefault="00000000" w:rsidRPr="00000000" w14:paraId="0000003A">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essay has demonstrated that Roman representations of "barbarians" between the fourth and sixth centuries were far from fixed; rather, they shifted in response to changing political realities, cultural anxieties, and literary traditions. Ammianus Marcellinus' hostile portrayal of the Huns and Alans, steeped in earlier ethnographic models, reinforces the image of barbarians as savage, lawless, and existential threats to Roman order. In contrast, Priscus' observations at Attila’s court reveal a more nuanced and pragmatic vision of barbarian political life, where diplomacy, ceremony, and selective cultural adaptation coexisted with military power. His account destabilises the binary between Roman civility and barbarian savagery, showing that cultural boundaries were far more porous than earlier narratives suggested. As Mathisen and Shanzer (2016, p. 4) observe, this permeability reflects a wider process of cultural entanglement in which Roman and barbarian identities were co-constructed rather than mutually exclusive.</w:t>
      </w:r>
    </w:p>
    <w:p w:rsidR="00000000" w:rsidDel="00000000" w:rsidP="00000000" w:rsidRDefault="00000000" w:rsidRPr="00000000" w14:paraId="0000003B">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Jordanes, writing in the sixth century, reworks these traditions yet again. While he retains the monstrous mythologies surrounding the Huns, he casts the Goths as civilised heirs to the Roman world, blending Gothic pride with Roman historiographical forms to legitimise Gothic rule. Through references to Scandza, Homeric lineage, Christian piety, and Roman political ideals, Jordanes transforms the narrative of barbarianism into one of cultural succession. As Liebeschuetz and Gillett have shown, Getica not only mirrors Roman literary conventions but also preserves elements of genuine Gothic oral tradition, such as migration stories and ancestral memory, reflecting a hybrid identity shaped by the collapse of Roman imperial structures (Liebeschuetz 1999, pp. 395–400; Gillett 2009, pp. 404–405).</w:t>
      </w:r>
    </w:p>
    <w:p w:rsidR="00000000" w:rsidDel="00000000" w:rsidP="00000000" w:rsidRDefault="00000000" w:rsidRPr="00000000" w14:paraId="0000003C">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By the sixth century, then, "barbarian" identity had not been erased but reimagined. Barbarians were no longer perceived solely as external enemies; they had, to varying degrees, been incorporated into the Roman imagination as imperial actors in their own right. Whether through polemic, myth, or first-hand observation, the sources examined reveal that Roman attitudes towards the so-called barbarians were dynamic, rhetorical, and contingent on the evolving ideological needs of Late Antiquity.</w:t>
      </w:r>
    </w:p>
    <w:p w:rsidR="00000000" w:rsidDel="00000000" w:rsidP="00000000" w:rsidRDefault="00000000" w:rsidRPr="00000000" w14:paraId="0000003D">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Ultimately, these shifting perceptions remind us that “barbarian” and “Roman” were never immutable categories. They were constructed identities—fluid, contested, and continually redefined through confrontation, negotiation, and adaptation. This process not only reshaped Roman self-understanding in Late Antiquity but also laid the foundations for the complex cultural inheritances of the post-Roman world.</w:t>
      </w:r>
    </w:p>
    <w:p w:rsidR="00000000" w:rsidDel="00000000" w:rsidP="00000000" w:rsidRDefault="00000000" w:rsidRPr="00000000" w14:paraId="0000003E">
      <w:pPr>
        <w:spacing w:after="240" w:before="240" w:line="36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F">
      <w:pPr>
        <w:spacing w:after="240" w:before="240"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Bibliography</w:t>
      </w:r>
    </w:p>
    <w:p w:rsidR="00000000" w:rsidDel="00000000" w:rsidP="00000000" w:rsidRDefault="00000000" w:rsidRPr="00000000" w14:paraId="00000040">
      <w:pPr>
        <w:pStyle w:val="Heading3"/>
        <w:keepNext w:val="0"/>
        <w:keepLines w:val="0"/>
        <w:spacing w:before="280" w:line="360" w:lineRule="auto"/>
        <w:rPr>
          <w:rFonts w:ascii="Times New Roman" w:cs="Times New Roman" w:eastAsia="Times New Roman" w:hAnsi="Times New Roman"/>
          <w:color w:val="000000"/>
          <w:sz w:val="26"/>
          <w:szCs w:val="26"/>
          <w:u w:val="single"/>
        </w:rPr>
      </w:pPr>
      <w:bookmarkStart w:colFirst="0" w:colLast="0" w:name="_n9nx3irqhhtq" w:id="2"/>
      <w:bookmarkEnd w:id="2"/>
      <w:r w:rsidDel="00000000" w:rsidR="00000000" w:rsidRPr="00000000">
        <w:rPr>
          <w:rFonts w:ascii="Times New Roman" w:cs="Times New Roman" w:eastAsia="Times New Roman" w:hAnsi="Times New Roman"/>
          <w:color w:val="000000"/>
          <w:sz w:val="26"/>
          <w:szCs w:val="26"/>
          <w:u w:val="single"/>
          <w:rtl w:val="0"/>
        </w:rPr>
        <w:t xml:space="preserve">Primary Sources</w:t>
      </w:r>
    </w:p>
    <w:p w:rsidR="00000000" w:rsidDel="00000000" w:rsidP="00000000" w:rsidRDefault="00000000" w:rsidRPr="00000000" w14:paraId="00000041">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Ammianus Marcellinus, </w:t>
      </w:r>
      <w:r w:rsidDel="00000000" w:rsidR="00000000" w:rsidRPr="00000000">
        <w:rPr>
          <w:rFonts w:ascii="Times New Roman" w:cs="Times New Roman" w:eastAsia="Times New Roman" w:hAnsi="Times New Roman"/>
          <w:i w:val="1"/>
          <w:sz w:val="26"/>
          <w:szCs w:val="26"/>
          <w:rtl w:val="0"/>
        </w:rPr>
        <w:t xml:space="preserve">Res Gestae</w:t>
      </w:r>
      <w:r w:rsidDel="00000000" w:rsidR="00000000" w:rsidRPr="00000000">
        <w:rPr>
          <w:rFonts w:ascii="Times New Roman" w:cs="Times New Roman" w:eastAsia="Times New Roman" w:hAnsi="Times New Roman"/>
          <w:sz w:val="26"/>
          <w:szCs w:val="26"/>
          <w:rtl w:val="0"/>
        </w:rPr>
        <w:t xml:space="preserve">. Translated by J.C. Rolfe, 1939. Loeb Classical Library. Cambridge, MA: Harvard University Press.</w:t>
      </w:r>
    </w:p>
    <w:p w:rsidR="00000000" w:rsidDel="00000000" w:rsidP="00000000" w:rsidRDefault="00000000" w:rsidRPr="00000000" w14:paraId="00000042">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Jordanes, </w:t>
      </w:r>
      <w:r w:rsidDel="00000000" w:rsidR="00000000" w:rsidRPr="00000000">
        <w:rPr>
          <w:rFonts w:ascii="Times New Roman" w:cs="Times New Roman" w:eastAsia="Times New Roman" w:hAnsi="Times New Roman"/>
          <w:i w:val="1"/>
          <w:sz w:val="26"/>
          <w:szCs w:val="26"/>
          <w:rtl w:val="0"/>
        </w:rPr>
        <w:t xml:space="preserve">Getica (The Origin and Deeds of the Goths)</w:t>
      </w:r>
      <w:r w:rsidDel="00000000" w:rsidR="00000000" w:rsidRPr="00000000">
        <w:rPr>
          <w:rFonts w:ascii="Times New Roman" w:cs="Times New Roman" w:eastAsia="Times New Roman" w:hAnsi="Times New Roman"/>
          <w:sz w:val="26"/>
          <w:szCs w:val="26"/>
          <w:rtl w:val="0"/>
        </w:rPr>
        <w:t xml:space="preserve">. Translated by C.C. Mierow, 1915. Princeton: Princeton University Press.</w:t>
      </w:r>
    </w:p>
    <w:p w:rsidR="00000000" w:rsidDel="00000000" w:rsidP="00000000" w:rsidRDefault="00000000" w:rsidRPr="00000000" w14:paraId="00000043">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Priscus, </w:t>
      </w:r>
      <w:r w:rsidDel="00000000" w:rsidR="00000000" w:rsidRPr="00000000">
        <w:rPr>
          <w:rFonts w:ascii="Times New Roman" w:cs="Times New Roman" w:eastAsia="Times New Roman" w:hAnsi="Times New Roman"/>
          <w:i w:val="1"/>
          <w:sz w:val="26"/>
          <w:szCs w:val="26"/>
          <w:rtl w:val="0"/>
        </w:rPr>
        <w:t xml:space="preserve">Fragments</w:t>
      </w:r>
      <w:r w:rsidDel="00000000" w:rsidR="00000000" w:rsidRPr="00000000">
        <w:rPr>
          <w:rFonts w:ascii="Times New Roman" w:cs="Times New Roman" w:eastAsia="Times New Roman" w:hAnsi="Times New Roman"/>
          <w:sz w:val="26"/>
          <w:szCs w:val="26"/>
          <w:rtl w:val="0"/>
        </w:rPr>
        <w:t xml:space="preserve">. In Blockley, R.C., ed. and trans., 1983. </w:t>
      </w:r>
      <w:r w:rsidDel="00000000" w:rsidR="00000000" w:rsidRPr="00000000">
        <w:rPr>
          <w:rFonts w:ascii="Times New Roman" w:cs="Times New Roman" w:eastAsia="Times New Roman" w:hAnsi="Times New Roman"/>
          <w:i w:val="1"/>
          <w:sz w:val="26"/>
          <w:szCs w:val="26"/>
          <w:rtl w:val="0"/>
        </w:rPr>
        <w:t xml:space="preserve">The Fragmentary Classicising Historians of the Later Roman Empire</w:t>
      </w:r>
      <w:r w:rsidDel="00000000" w:rsidR="00000000" w:rsidRPr="00000000">
        <w:rPr>
          <w:rFonts w:ascii="Times New Roman" w:cs="Times New Roman" w:eastAsia="Times New Roman" w:hAnsi="Times New Roman"/>
          <w:sz w:val="26"/>
          <w:szCs w:val="26"/>
          <w:rtl w:val="0"/>
        </w:rPr>
        <w:t xml:space="preserve">. Liverpool: Liverpool University Press.</w:t>
      </w:r>
    </w:p>
    <w:p w:rsidR="00000000" w:rsidDel="00000000" w:rsidP="00000000" w:rsidRDefault="00000000" w:rsidRPr="00000000" w14:paraId="00000044">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Tacitus, </w:t>
      </w:r>
      <w:r w:rsidDel="00000000" w:rsidR="00000000" w:rsidRPr="00000000">
        <w:rPr>
          <w:rFonts w:ascii="Times New Roman" w:cs="Times New Roman" w:eastAsia="Times New Roman" w:hAnsi="Times New Roman"/>
          <w:i w:val="1"/>
          <w:sz w:val="26"/>
          <w:szCs w:val="26"/>
          <w:rtl w:val="0"/>
        </w:rPr>
        <w:t xml:space="preserve">Germania</w:t>
      </w:r>
      <w:r w:rsidDel="00000000" w:rsidR="00000000" w:rsidRPr="00000000">
        <w:rPr>
          <w:rFonts w:ascii="Times New Roman" w:cs="Times New Roman" w:eastAsia="Times New Roman" w:hAnsi="Times New Roman"/>
          <w:sz w:val="26"/>
          <w:szCs w:val="26"/>
          <w:rtl w:val="0"/>
        </w:rPr>
        <w:t xml:space="preserve">. Translated by A.J. Church, W.J. Brodribb, and L. Cerrato, 1942. London: Macmillan.</w:t>
      </w:r>
    </w:p>
    <w:p w:rsidR="00000000" w:rsidDel="00000000" w:rsidP="00000000" w:rsidRDefault="00000000" w:rsidRPr="00000000" w14:paraId="00000045">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Pliny the Elder, </w:t>
      </w:r>
      <w:r w:rsidDel="00000000" w:rsidR="00000000" w:rsidRPr="00000000">
        <w:rPr>
          <w:rFonts w:ascii="Times New Roman" w:cs="Times New Roman" w:eastAsia="Times New Roman" w:hAnsi="Times New Roman"/>
          <w:i w:val="1"/>
          <w:sz w:val="26"/>
          <w:szCs w:val="26"/>
          <w:rtl w:val="0"/>
        </w:rPr>
        <w:t xml:space="preserve">Natural History</w:t>
      </w:r>
      <w:r w:rsidDel="00000000" w:rsidR="00000000" w:rsidRPr="00000000">
        <w:rPr>
          <w:rFonts w:ascii="Times New Roman" w:cs="Times New Roman" w:eastAsia="Times New Roman" w:hAnsi="Times New Roman"/>
          <w:sz w:val="26"/>
          <w:szCs w:val="26"/>
          <w:rtl w:val="0"/>
        </w:rPr>
        <w:t xml:space="preserve">. Translated by H. Rackham, 1938. Loeb Classical Library. Cambridge, MA: Harvard University Press.</w:t>
      </w:r>
    </w:p>
    <w:p w:rsidR="00000000" w:rsidDel="00000000" w:rsidP="00000000" w:rsidRDefault="00000000" w:rsidRPr="00000000" w14:paraId="0000004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Virgil, </w:t>
      </w:r>
      <w:r w:rsidDel="00000000" w:rsidR="00000000" w:rsidRPr="00000000">
        <w:rPr>
          <w:rFonts w:ascii="Times New Roman" w:cs="Times New Roman" w:eastAsia="Times New Roman" w:hAnsi="Times New Roman"/>
          <w:i w:val="1"/>
          <w:sz w:val="26"/>
          <w:szCs w:val="26"/>
          <w:rtl w:val="0"/>
        </w:rPr>
        <w:t xml:space="preserve">Aeneid</w:t>
      </w:r>
      <w:r w:rsidDel="00000000" w:rsidR="00000000" w:rsidRPr="00000000">
        <w:rPr>
          <w:rFonts w:ascii="Times New Roman" w:cs="Times New Roman" w:eastAsia="Times New Roman" w:hAnsi="Times New Roman"/>
          <w:sz w:val="26"/>
          <w:szCs w:val="26"/>
          <w:rtl w:val="0"/>
        </w:rPr>
        <w:t xml:space="preserve">. Translated by H. Rushton Fairclough, 1918. Loeb Classical Library. Cambridge, MA: Harvard University Press.</w:t>
      </w:r>
    </w:p>
    <w:p w:rsidR="00000000" w:rsidDel="00000000" w:rsidP="00000000" w:rsidRDefault="00000000" w:rsidRPr="00000000" w14:paraId="00000047">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Propertius, </w:t>
      </w:r>
      <w:r w:rsidDel="00000000" w:rsidR="00000000" w:rsidRPr="00000000">
        <w:rPr>
          <w:rFonts w:ascii="Times New Roman" w:cs="Times New Roman" w:eastAsia="Times New Roman" w:hAnsi="Times New Roman"/>
          <w:i w:val="1"/>
          <w:sz w:val="26"/>
          <w:szCs w:val="26"/>
          <w:rtl w:val="0"/>
        </w:rPr>
        <w:t xml:space="preserve">Elegies</w:t>
      </w:r>
      <w:r w:rsidDel="00000000" w:rsidR="00000000" w:rsidRPr="00000000">
        <w:rPr>
          <w:rFonts w:ascii="Times New Roman" w:cs="Times New Roman" w:eastAsia="Times New Roman" w:hAnsi="Times New Roman"/>
          <w:sz w:val="26"/>
          <w:szCs w:val="26"/>
          <w:rtl w:val="0"/>
        </w:rPr>
        <w:t xml:space="preserve">. Translated by H.E. Butler, 1927. Loeb Classical Library. Cambridge, MA: Harvard University Press.</w:t>
      </w:r>
    </w:p>
    <w:p w:rsidR="00000000" w:rsidDel="00000000" w:rsidP="00000000" w:rsidRDefault="00000000" w:rsidRPr="00000000" w14:paraId="0000004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Horace, </w:t>
      </w:r>
      <w:r w:rsidDel="00000000" w:rsidR="00000000" w:rsidRPr="00000000">
        <w:rPr>
          <w:rFonts w:ascii="Times New Roman" w:cs="Times New Roman" w:eastAsia="Times New Roman" w:hAnsi="Times New Roman"/>
          <w:i w:val="1"/>
          <w:sz w:val="26"/>
          <w:szCs w:val="26"/>
          <w:rtl w:val="0"/>
        </w:rPr>
        <w:t xml:space="preserve">Odes and Epodes</w:t>
      </w:r>
      <w:r w:rsidDel="00000000" w:rsidR="00000000" w:rsidRPr="00000000">
        <w:rPr>
          <w:rFonts w:ascii="Times New Roman" w:cs="Times New Roman" w:eastAsia="Times New Roman" w:hAnsi="Times New Roman"/>
          <w:sz w:val="26"/>
          <w:szCs w:val="26"/>
          <w:rtl w:val="0"/>
        </w:rPr>
        <w:t xml:space="preserve">. Translated by C.E. Bennett, 1914. Loeb Classical Library. Cambridge, MA: Harvard University Press.</w:t>
      </w:r>
    </w:p>
    <w:p w:rsidR="00000000" w:rsidDel="00000000" w:rsidP="00000000" w:rsidRDefault="00000000" w:rsidRPr="00000000" w14:paraId="00000049">
      <w:pPr>
        <w:pStyle w:val="Heading3"/>
        <w:keepNext w:val="0"/>
        <w:keepLines w:val="0"/>
        <w:spacing w:before="280" w:line="360" w:lineRule="auto"/>
        <w:rPr>
          <w:rFonts w:ascii="Times New Roman" w:cs="Times New Roman" w:eastAsia="Times New Roman" w:hAnsi="Times New Roman"/>
          <w:color w:val="000000"/>
          <w:sz w:val="26"/>
          <w:szCs w:val="26"/>
          <w:u w:val="single"/>
        </w:rPr>
      </w:pPr>
      <w:bookmarkStart w:colFirst="0" w:colLast="0" w:name="_su8ua0mbpz2t" w:id="3"/>
      <w:bookmarkEnd w:id="3"/>
      <w:r w:rsidDel="00000000" w:rsidR="00000000" w:rsidRPr="00000000">
        <w:rPr>
          <w:rFonts w:ascii="Times New Roman" w:cs="Times New Roman" w:eastAsia="Times New Roman" w:hAnsi="Times New Roman"/>
          <w:color w:val="000000"/>
          <w:sz w:val="26"/>
          <w:szCs w:val="26"/>
          <w:u w:val="single"/>
          <w:rtl w:val="0"/>
        </w:rPr>
        <w:t xml:space="preserve">Secondary Sources</w:t>
      </w:r>
    </w:p>
    <w:p w:rsidR="00000000" w:rsidDel="00000000" w:rsidP="00000000" w:rsidRDefault="00000000" w:rsidRPr="00000000" w14:paraId="0000004A">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Beard, M., North, J. and Price, S., 1998. </w:t>
      </w:r>
      <w:r w:rsidDel="00000000" w:rsidR="00000000" w:rsidRPr="00000000">
        <w:rPr>
          <w:rFonts w:ascii="Times New Roman" w:cs="Times New Roman" w:eastAsia="Times New Roman" w:hAnsi="Times New Roman"/>
          <w:i w:val="1"/>
          <w:sz w:val="26"/>
          <w:szCs w:val="26"/>
          <w:rtl w:val="0"/>
        </w:rPr>
        <w:t xml:space="preserve">Religions of Rome: Volume 1, A History</w:t>
      </w:r>
      <w:r w:rsidDel="00000000" w:rsidR="00000000" w:rsidRPr="00000000">
        <w:rPr>
          <w:rFonts w:ascii="Times New Roman" w:cs="Times New Roman" w:eastAsia="Times New Roman" w:hAnsi="Times New Roman"/>
          <w:sz w:val="26"/>
          <w:szCs w:val="26"/>
          <w:rtl w:val="0"/>
        </w:rPr>
        <w:t xml:space="preserve">. Cambridge: Cambridge University Press.</w:t>
      </w:r>
    </w:p>
    <w:p w:rsidR="00000000" w:rsidDel="00000000" w:rsidP="00000000" w:rsidRDefault="00000000" w:rsidRPr="00000000" w14:paraId="0000004B">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Bjornlie, M.S., 2018. Romans, barbarians and provincials in the </w:t>
      </w:r>
      <w:r w:rsidDel="00000000" w:rsidR="00000000" w:rsidRPr="00000000">
        <w:rPr>
          <w:rFonts w:ascii="Times New Roman" w:cs="Times New Roman" w:eastAsia="Times New Roman" w:hAnsi="Times New Roman"/>
          <w:i w:val="1"/>
          <w:sz w:val="26"/>
          <w:szCs w:val="26"/>
          <w:rtl w:val="0"/>
        </w:rPr>
        <w:t xml:space="preserve">Res Gestae</w:t>
      </w:r>
      <w:r w:rsidDel="00000000" w:rsidR="00000000" w:rsidRPr="00000000">
        <w:rPr>
          <w:rFonts w:ascii="Times New Roman" w:cs="Times New Roman" w:eastAsia="Times New Roman" w:hAnsi="Times New Roman"/>
          <w:sz w:val="26"/>
          <w:szCs w:val="26"/>
          <w:rtl w:val="0"/>
        </w:rPr>
        <w:t xml:space="preserve"> of Ammianus Marcellinus. In: W. Pohl, C. Gantner, C. Grifoni and M. Pollheimer-Mohaupt, eds. </w:t>
      </w:r>
      <w:r w:rsidDel="00000000" w:rsidR="00000000" w:rsidRPr="00000000">
        <w:rPr>
          <w:rFonts w:ascii="Times New Roman" w:cs="Times New Roman" w:eastAsia="Times New Roman" w:hAnsi="Times New Roman"/>
          <w:i w:val="1"/>
          <w:sz w:val="26"/>
          <w:szCs w:val="26"/>
          <w:rtl w:val="0"/>
        </w:rPr>
        <w:t xml:space="preserve">Transformations of Romanness</w:t>
      </w:r>
      <w:r w:rsidDel="00000000" w:rsidR="00000000" w:rsidRPr="00000000">
        <w:rPr>
          <w:rFonts w:ascii="Times New Roman" w:cs="Times New Roman" w:eastAsia="Times New Roman" w:hAnsi="Times New Roman"/>
          <w:sz w:val="26"/>
          <w:szCs w:val="26"/>
          <w:rtl w:val="0"/>
        </w:rPr>
        <w:t xml:space="preserve">. Berlin: De Gruyter, pp.71–90. doi:10.1515/9783110598384-007.</w:t>
      </w:r>
    </w:p>
    <w:p w:rsidR="00000000" w:rsidDel="00000000" w:rsidP="00000000" w:rsidRDefault="00000000" w:rsidRPr="00000000" w14:paraId="0000004C">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Bhabha, H.K., 1994. </w:t>
      </w:r>
      <w:r w:rsidDel="00000000" w:rsidR="00000000" w:rsidRPr="00000000">
        <w:rPr>
          <w:rFonts w:ascii="Times New Roman" w:cs="Times New Roman" w:eastAsia="Times New Roman" w:hAnsi="Times New Roman"/>
          <w:i w:val="1"/>
          <w:sz w:val="26"/>
          <w:szCs w:val="26"/>
          <w:rtl w:val="0"/>
        </w:rPr>
        <w:t xml:space="preserve">The Location of Culture</w:t>
      </w:r>
      <w:r w:rsidDel="00000000" w:rsidR="00000000" w:rsidRPr="00000000">
        <w:rPr>
          <w:rFonts w:ascii="Times New Roman" w:cs="Times New Roman" w:eastAsia="Times New Roman" w:hAnsi="Times New Roman"/>
          <w:sz w:val="26"/>
          <w:szCs w:val="26"/>
          <w:rtl w:val="0"/>
        </w:rPr>
        <w:t xml:space="preserve">. London: Routledge.</w:t>
      </w:r>
    </w:p>
    <w:p w:rsidR="00000000" w:rsidDel="00000000" w:rsidP="00000000" w:rsidRDefault="00000000" w:rsidRPr="00000000" w14:paraId="0000004D">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Burgersdijk, D., 2016. Creating the enemy: Ammianus Marcellinus' double digression on Huns and Alans (Res Gestae 31.2). </w:t>
      </w:r>
      <w:r w:rsidDel="00000000" w:rsidR="00000000" w:rsidRPr="00000000">
        <w:rPr>
          <w:rFonts w:ascii="Times New Roman" w:cs="Times New Roman" w:eastAsia="Times New Roman" w:hAnsi="Times New Roman"/>
          <w:i w:val="1"/>
          <w:sz w:val="26"/>
          <w:szCs w:val="26"/>
          <w:rtl w:val="0"/>
        </w:rPr>
        <w:t xml:space="preserve">Bulletin of the Institute of Classical Studies</w:t>
      </w:r>
      <w:r w:rsidDel="00000000" w:rsidR="00000000" w:rsidRPr="00000000">
        <w:rPr>
          <w:rFonts w:ascii="Times New Roman" w:cs="Times New Roman" w:eastAsia="Times New Roman" w:hAnsi="Times New Roman"/>
          <w:sz w:val="26"/>
          <w:szCs w:val="26"/>
          <w:rtl w:val="0"/>
        </w:rPr>
        <w:t xml:space="preserve">, 59(1), pp.111–132.</w:t>
      </w:r>
    </w:p>
    <w:p w:rsidR="00000000" w:rsidDel="00000000" w:rsidP="00000000" w:rsidRDefault="00000000" w:rsidRPr="00000000" w14:paraId="0000004E">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Elton, H., 2018. The military situation, 395–493. In: </w:t>
      </w:r>
      <w:r w:rsidDel="00000000" w:rsidR="00000000" w:rsidRPr="00000000">
        <w:rPr>
          <w:rFonts w:ascii="Times New Roman" w:cs="Times New Roman" w:eastAsia="Times New Roman" w:hAnsi="Times New Roman"/>
          <w:i w:val="1"/>
          <w:sz w:val="26"/>
          <w:szCs w:val="26"/>
          <w:rtl w:val="0"/>
        </w:rPr>
        <w:t xml:space="preserve">The Roman Empire in Late Antiquity: A Political and Military History</w:t>
      </w:r>
      <w:r w:rsidDel="00000000" w:rsidR="00000000" w:rsidRPr="00000000">
        <w:rPr>
          <w:rFonts w:ascii="Times New Roman" w:cs="Times New Roman" w:eastAsia="Times New Roman" w:hAnsi="Times New Roman"/>
          <w:sz w:val="26"/>
          <w:szCs w:val="26"/>
          <w:rtl w:val="0"/>
        </w:rPr>
        <w:t xml:space="preserve">. Cambridge: Cambridge University Press, pp.224–242.</w:t>
      </w:r>
    </w:p>
    <w:p w:rsidR="00000000" w:rsidDel="00000000" w:rsidP="00000000" w:rsidRDefault="00000000" w:rsidRPr="00000000" w14:paraId="0000004F">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Gillett, A., 2009. The mirror of Jordanes: Concepts of the barbarian, then and now. In: P. Rousseau and J. Raithel, eds. A companion to Late Antiquity. Chichester: Wiley-Blackwell, pp. 392–408.</w:t>
      </w:r>
    </w:p>
    <w:p w:rsidR="00000000" w:rsidDel="00000000" w:rsidP="00000000" w:rsidRDefault="00000000" w:rsidRPr="00000000" w14:paraId="00000050">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Halsall, G., 2007. Barbarian Migrations and the Roman West, 376–568. Cambridge: Cambridge University Press.</w:t>
      </w:r>
    </w:p>
    <w:p w:rsidR="00000000" w:rsidDel="00000000" w:rsidP="00000000" w:rsidRDefault="00000000" w:rsidRPr="00000000" w14:paraId="00000051">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Hardwick, L. and Stray, C., 2008. </w:t>
      </w:r>
      <w:r w:rsidDel="00000000" w:rsidR="00000000" w:rsidRPr="00000000">
        <w:rPr>
          <w:rFonts w:ascii="Times New Roman" w:cs="Times New Roman" w:eastAsia="Times New Roman" w:hAnsi="Times New Roman"/>
          <w:i w:val="1"/>
          <w:sz w:val="26"/>
          <w:szCs w:val="26"/>
          <w:rtl w:val="0"/>
        </w:rPr>
        <w:t xml:space="preserve">A Companion to Classical Receptions</w:t>
      </w:r>
      <w:r w:rsidDel="00000000" w:rsidR="00000000" w:rsidRPr="00000000">
        <w:rPr>
          <w:rFonts w:ascii="Times New Roman" w:cs="Times New Roman" w:eastAsia="Times New Roman" w:hAnsi="Times New Roman"/>
          <w:sz w:val="26"/>
          <w:szCs w:val="26"/>
          <w:rtl w:val="0"/>
        </w:rPr>
        <w:t xml:space="preserve">. Malden, MA: Wiley-Blackwell.</w:t>
      </w:r>
    </w:p>
    <w:p w:rsidR="00000000" w:rsidDel="00000000" w:rsidP="00000000" w:rsidRDefault="00000000" w:rsidRPr="00000000" w14:paraId="00000052">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Kim, H.J., 2015. </w:t>
      </w:r>
      <w:r w:rsidDel="00000000" w:rsidR="00000000" w:rsidRPr="00000000">
        <w:rPr>
          <w:rFonts w:ascii="Times New Roman" w:cs="Times New Roman" w:eastAsia="Times New Roman" w:hAnsi="Times New Roman"/>
          <w:i w:val="1"/>
          <w:sz w:val="26"/>
          <w:szCs w:val="26"/>
          <w:rtl w:val="0"/>
        </w:rPr>
        <w:t xml:space="preserve">The Huns, Rome and the Birth of Europe</w:t>
      </w:r>
      <w:r w:rsidDel="00000000" w:rsidR="00000000" w:rsidRPr="00000000">
        <w:rPr>
          <w:rFonts w:ascii="Times New Roman" w:cs="Times New Roman" w:eastAsia="Times New Roman" w:hAnsi="Times New Roman"/>
          <w:sz w:val="26"/>
          <w:szCs w:val="26"/>
          <w:rtl w:val="0"/>
        </w:rPr>
        <w:t xml:space="preserve">. Cambridge: Cambridge University Press.</w:t>
      </w:r>
    </w:p>
    <w:p w:rsidR="00000000" w:rsidDel="00000000" w:rsidP="00000000" w:rsidRDefault="00000000" w:rsidRPr="00000000" w14:paraId="00000053">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Liebeschuetz, J.H.W.G., 2015. </w:t>
      </w:r>
      <w:r w:rsidDel="00000000" w:rsidR="00000000" w:rsidRPr="00000000">
        <w:rPr>
          <w:rFonts w:ascii="Times New Roman" w:cs="Times New Roman" w:eastAsia="Times New Roman" w:hAnsi="Times New Roman"/>
          <w:i w:val="1"/>
          <w:sz w:val="26"/>
          <w:szCs w:val="26"/>
          <w:rtl w:val="0"/>
        </w:rPr>
        <w:t xml:space="preserve">East and West in Late Antiquity: Invasion, Settlement, Ethnogenesis and Conflicts of Religion</w:t>
      </w:r>
      <w:r w:rsidDel="00000000" w:rsidR="00000000" w:rsidRPr="00000000">
        <w:rPr>
          <w:rFonts w:ascii="Times New Roman" w:cs="Times New Roman" w:eastAsia="Times New Roman" w:hAnsi="Times New Roman"/>
          <w:sz w:val="26"/>
          <w:szCs w:val="26"/>
          <w:rtl w:val="0"/>
        </w:rPr>
        <w:t xml:space="preserve">. Leiden: Brill.</w:t>
      </w:r>
    </w:p>
    <w:p w:rsidR="00000000" w:rsidDel="00000000" w:rsidP="00000000" w:rsidRDefault="00000000" w:rsidRPr="00000000" w14:paraId="00000054">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Marincola, J. (2007). </w:t>
      </w:r>
      <w:r w:rsidDel="00000000" w:rsidR="00000000" w:rsidRPr="00000000">
        <w:rPr>
          <w:rFonts w:ascii="Times New Roman" w:cs="Times New Roman" w:eastAsia="Times New Roman" w:hAnsi="Times New Roman"/>
          <w:i w:val="1"/>
          <w:sz w:val="26"/>
          <w:szCs w:val="26"/>
          <w:rtl w:val="0"/>
        </w:rPr>
        <w:t xml:space="preserve">Speeches in classical historiography.</w:t>
      </w:r>
      <w:r w:rsidDel="00000000" w:rsidR="00000000" w:rsidRPr="00000000">
        <w:rPr>
          <w:rFonts w:ascii="Times New Roman" w:cs="Times New Roman" w:eastAsia="Times New Roman" w:hAnsi="Times New Roman"/>
          <w:sz w:val="26"/>
          <w:szCs w:val="26"/>
          <w:rtl w:val="0"/>
        </w:rPr>
        <w:t xml:space="preserve"> In: J. Marincola, ed. A companion to Greek and Roman historiography. Malden, MA: Blackwell, pp. 118–132.</w:t>
      </w:r>
    </w:p>
    <w:p w:rsidR="00000000" w:rsidDel="00000000" w:rsidP="00000000" w:rsidRDefault="00000000" w:rsidRPr="00000000" w14:paraId="00000055">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Mathisen, R.W. and Shanzer, D. (eds.) (2016). </w:t>
      </w:r>
      <w:r w:rsidDel="00000000" w:rsidR="00000000" w:rsidRPr="00000000">
        <w:rPr>
          <w:rFonts w:ascii="Times New Roman" w:cs="Times New Roman" w:eastAsia="Times New Roman" w:hAnsi="Times New Roman"/>
          <w:i w:val="1"/>
          <w:sz w:val="26"/>
          <w:szCs w:val="26"/>
          <w:rtl w:val="0"/>
        </w:rPr>
        <w:t xml:space="preserve">Romans, Barbarians, and the Transformation of the Roman World: Cultural Interaction and the Creation of Identity in Late Antiquity</w:t>
      </w:r>
      <w:r w:rsidDel="00000000" w:rsidR="00000000" w:rsidRPr="00000000">
        <w:rPr>
          <w:rFonts w:ascii="Times New Roman" w:cs="Times New Roman" w:eastAsia="Times New Roman" w:hAnsi="Times New Roman"/>
          <w:sz w:val="26"/>
          <w:szCs w:val="26"/>
          <w:rtl w:val="0"/>
        </w:rPr>
        <w:t xml:space="preserve">. Farnham: Ashgate.</w:t>
      </w:r>
    </w:p>
    <w:p w:rsidR="00000000" w:rsidDel="00000000" w:rsidP="00000000" w:rsidRDefault="00000000" w:rsidRPr="00000000" w14:paraId="00000056">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Said, E.W., 2003 [1978]. </w:t>
      </w:r>
      <w:r w:rsidDel="00000000" w:rsidR="00000000" w:rsidRPr="00000000">
        <w:rPr>
          <w:rFonts w:ascii="Times New Roman" w:cs="Times New Roman" w:eastAsia="Times New Roman" w:hAnsi="Times New Roman"/>
          <w:i w:val="1"/>
          <w:sz w:val="26"/>
          <w:szCs w:val="26"/>
          <w:rtl w:val="0"/>
        </w:rPr>
        <w:t xml:space="preserve">Orientalism</w:t>
      </w:r>
      <w:r w:rsidDel="00000000" w:rsidR="00000000" w:rsidRPr="00000000">
        <w:rPr>
          <w:rFonts w:ascii="Times New Roman" w:cs="Times New Roman" w:eastAsia="Times New Roman" w:hAnsi="Times New Roman"/>
          <w:sz w:val="26"/>
          <w:szCs w:val="26"/>
          <w:rtl w:val="0"/>
        </w:rPr>
        <w:t xml:space="preserve">. London: Penguin.</w:t>
      </w:r>
    </w:p>
    <w:p w:rsidR="00000000" w:rsidDel="00000000" w:rsidP="00000000" w:rsidRDefault="00000000" w:rsidRPr="00000000" w14:paraId="00000057">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Syed, Y., 2010. </w:t>
      </w:r>
      <w:r w:rsidDel="00000000" w:rsidR="00000000" w:rsidRPr="00000000">
        <w:rPr>
          <w:rFonts w:ascii="Times New Roman" w:cs="Times New Roman" w:eastAsia="Times New Roman" w:hAnsi="Times New Roman"/>
          <w:i w:val="1"/>
          <w:sz w:val="26"/>
          <w:szCs w:val="26"/>
          <w:rtl w:val="0"/>
        </w:rPr>
        <w:t xml:space="preserve">Vergil’s Aeneid and the Roman Self: Subject and Nation in Literary Discourse</w:t>
      </w:r>
      <w:r w:rsidDel="00000000" w:rsidR="00000000" w:rsidRPr="00000000">
        <w:rPr>
          <w:rFonts w:ascii="Times New Roman" w:cs="Times New Roman" w:eastAsia="Times New Roman" w:hAnsi="Times New Roman"/>
          <w:sz w:val="26"/>
          <w:szCs w:val="26"/>
          <w:rtl w:val="0"/>
        </w:rPr>
        <w:t xml:space="preserve">. Ann Arbor: University of Michigan Press.</w:t>
      </w:r>
    </w:p>
    <w:p w:rsidR="00000000" w:rsidDel="00000000" w:rsidP="00000000" w:rsidRDefault="00000000" w:rsidRPr="00000000" w14:paraId="00000058">
      <w:pPr>
        <w:spacing w:after="240" w:before="240" w:line="36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McDonald, W.C., 2021. ‘The Dimensions of Attila the Hun: Concerning Adaptations of Jordanes, especially in German Chronicles of the Early Modern Period’. </w:t>
      </w:r>
      <w:r w:rsidDel="00000000" w:rsidR="00000000" w:rsidRPr="00000000">
        <w:rPr>
          <w:rFonts w:ascii="Times New Roman" w:cs="Times New Roman" w:eastAsia="Times New Roman" w:hAnsi="Times New Roman"/>
          <w:i w:val="1"/>
          <w:sz w:val="26"/>
          <w:szCs w:val="26"/>
          <w:rtl w:val="0"/>
        </w:rPr>
        <w:t xml:space="preserve">The Medieval Chronicle</w:t>
      </w:r>
      <w:r w:rsidDel="00000000" w:rsidR="00000000" w:rsidRPr="00000000">
        <w:rPr>
          <w:rFonts w:ascii="Times New Roman" w:cs="Times New Roman" w:eastAsia="Times New Roman" w:hAnsi="Times New Roman"/>
          <w:sz w:val="26"/>
          <w:szCs w:val="26"/>
          <w:rtl w:val="0"/>
        </w:rPr>
        <w:t xml:space="preserve">, 16, pp.317–336. doi:10.1163/18756719-12340222.</w:t>
      </w:r>
    </w:p>
    <w:p w:rsidR="00000000" w:rsidDel="00000000" w:rsidP="00000000" w:rsidRDefault="00000000" w:rsidRPr="00000000" w14:paraId="00000059">
      <w:pPr>
        <w:spacing w:after="240" w:before="240" w:line="36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A">
      <w:pPr>
        <w:spacing w:after="240" w:before="240" w:line="360" w:lineRule="auto"/>
        <w:rPr>
          <w:rFonts w:ascii="Times New Roman" w:cs="Times New Roman" w:eastAsia="Times New Roman" w:hAnsi="Times New Roman"/>
          <w:sz w:val="26"/>
          <w:szCs w:val="26"/>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Ammianus Marcellinus, Roman History, Book 31, Chapters 4.5–6, trans. J.C. Rolfe (Cambridge, MA: Harvard University Press, 1939).</w:t>
      </w:r>
    </w:p>
  </w:footnote>
  <w:footnote w:id="2">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Ammianus Marcellinus, </w:t>
      </w:r>
      <w:r w:rsidDel="00000000" w:rsidR="00000000" w:rsidRPr="00000000">
        <w:rPr>
          <w:i w:val="1"/>
          <w:sz w:val="20"/>
          <w:szCs w:val="20"/>
          <w:rtl w:val="0"/>
        </w:rPr>
        <w:t xml:space="preserve">Roman History</w:t>
      </w:r>
      <w:r w:rsidDel="00000000" w:rsidR="00000000" w:rsidRPr="00000000">
        <w:rPr>
          <w:sz w:val="20"/>
          <w:szCs w:val="20"/>
          <w:rtl w:val="0"/>
        </w:rPr>
        <w:t xml:space="preserve">, Book 31, Chapters 2.21–23, trans. J.C. Rolfe (Cambridge, MA: Harvard University Press, 1939).</w:t>
      </w:r>
    </w:p>
  </w:footnote>
  <w:footnote w:id="3">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Ammianus Marcellinus, </w:t>
      </w:r>
      <w:r w:rsidDel="00000000" w:rsidR="00000000" w:rsidRPr="00000000">
        <w:rPr>
          <w:i w:val="1"/>
          <w:sz w:val="20"/>
          <w:szCs w:val="20"/>
          <w:rtl w:val="0"/>
        </w:rPr>
        <w:t xml:space="preserve">Roman History</w:t>
      </w:r>
      <w:r w:rsidDel="00000000" w:rsidR="00000000" w:rsidRPr="00000000">
        <w:rPr>
          <w:sz w:val="20"/>
          <w:szCs w:val="20"/>
          <w:rtl w:val="0"/>
        </w:rPr>
        <w:t xml:space="preserve">, Book 31, Chapters 2.1–11, trans. J.C. Rolfe (Cambridge, MA: Harvard University Press, 1939)</w:t>
      </w:r>
    </w:p>
  </w:footnote>
  <w:footnote w:id="4">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Priscus, </w:t>
      </w:r>
      <w:r w:rsidDel="00000000" w:rsidR="00000000" w:rsidRPr="00000000">
        <w:rPr>
          <w:i w:val="1"/>
          <w:sz w:val="20"/>
          <w:szCs w:val="20"/>
          <w:rtl w:val="0"/>
        </w:rPr>
        <w:t xml:space="preserve">Fragments</w:t>
      </w:r>
      <w:r w:rsidDel="00000000" w:rsidR="00000000" w:rsidRPr="00000000">
        <w:rPr>
          <w:sz w:val="20"/>
          <w:szCs w:val="20"/>
          <w:rtl w:val="0"/>
        </w:rPr>
        <w:t xml:space="preserve"> 11.2.171–178, 11.2.309–311, 11.2.358–361, and 15.4, trans. H. Elton (Liverpool: Liverpool University Press, 2018).</w:t>
      </w:r>
    </w:p>
  </w:footnote>
  <w:footnote w:id="5">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Jordanes, </w:t>
      </w:r>
      <w:r w:rsidDel="00000000" w:rsidR="00000000" w:rsidRPr="00000000">
        <w:rPr>
          <w:i w:val="1"/>
          <w:sz w:val="20"/>
          <w:szCs w:val="20"/>
          <w:rtl w:val="0"/>
        </w:rPr>
        <w:t xml:space="preserve">Getica</w:t>
      </w:r>
      <w:r w:rsidDel="00000000" w:rsidR="00000000" w:rsidRPr="00000000">
        <w:rPr>
          <w:sz w:val="20"/>
          <w:szCs w:val="20"/>
          <w:rtl w:val="0"/>
        </w:rPr>
        <w:t xml:space="preserve"> 24.121–125 and 35.182, trans. C. Mierow, available at:</w:t>
      </w:r>
      <w:hyperlink r:id="rId1">
        <w:r w:rsidDel="00000000" w:rsidR="00000000" w:rsidRPr="00000000">
          <w:rPr>
            <w:sz w:val="20"/>
            <w:szCs w:val="20"/>
            <w:rtl w:val="0"/>
          </w:rPr>
          <w:t xml:space="preserve"> </w:t>
        </w:r>
      </w:hyperlink>
      <w:hyperlink r:id="rId2">
        <w:r w:rsidDel="00000000" w:rsidR="00000000" w:rsidRPr="00000000">
          <w:rPr>
            <w:color w:val="1155cc"/>
            <w:sz w:val="20"/>
            <w:szCs w:val="20"/>
            <w:u w:val="single"/>
            <w:rtl w:val="0"/>
          </w:rPr>
          <w:t xml:space="preserve">http://people.ucalgary.ca/~vandersp/Courses/texts/jordgeti.html</w:t>
        </w:r>
      </w:hyperlink>
      <w:r w:rsidDel="00000000" w:rsidR="00000000" w:rsidRPr="00000000">
        <w:rPr>
          <w:sz w:val="20"/>
          <w:szCs w:val="20"/>
          <w:rtl w:val="0"/>
        </w:rPr>
        <w:t xml:space="preserve"> (Accessed 28 April 2025).</w:t>
      </w:r>
    </w:p>
  </w:footnote>
  <w:footnote w:id="0">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 Rebus Bellicis 6.1, cited in Gillett 2009, p. 396</w:t>
      </w:r>
    </w:p>
  </w:footnote>
  <w:footnote w:id="6">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 K. Bhabha, </w:t>
      </w:r>
      <w:r w:rsidDel="00000000" w:rsidR="00000000" w:rsidRPr="00000000">
        <w:rPr>
          <w:i w:val="1"/>
          <w:sz w:val="20"/>
          <w:szCs w:val="20"/>
          <w:rtl w:val="0"/>
        </w:rPr>
        <w:t xml:space="preserve">The Location of Culture</w:t>
      </w:r>
      <w:r w:rsidDel="00000000" w:rsidR="00000000" w:rsidRPr="00000000">
        <w:rPr>
          <w:sz w:val="20"/>
          <w:szCs w:val="20"/>
          <w:rtl w:val="0"/>
        </w:rPr>
        <w:t xml:space="preserve"> (London: Routledge, 1994), p. 37 Homi K. Bhabha describes as a “hybrid act,” operating within a “Third Space” where cultural meanings are not fixed but are continuously rearticulated.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people.ucalgary.ca/~vandersp/Courses/texts/jordgeti.html" TargetMode="External"/><Relationship Id="rId2" Type="http://schemas.openxmlformats.org/officeDocument/2006/relationships/hyperlink" Target="http://people.ucalgary.ca/~vandersp/Courses/texts/jordget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