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693D21" w14:textId="77777777" w:rsidR="00C558B0" w:rsidRDefault="00C558B0" w:rsidP="00C558B0">
      <w:pPr>
        <w:spacing w:line="360" w:lineRule="auto"/>
        <w:rPr>
          <w:rFonts w:ascii="Arial" w:hAnsi="Arial" w:cs="Arial"/>
          <w:szCs w:val="24"/>
        </w:rPr>
      </w:pPr>
      <w:r>
        <w:rPr>
          <w:noProof/>
          <w:lang w:eastAsia="en-GB"/>
        </w:rPr>
        <w:drawing>
          <wp:anchor distT="0" distB="0" distL="114300" distR="114300" simplePos="0" relativeHeight="251659264" behindDoc="0" locked="0" layoutInCell="1" allowOverlap="1" wp14:anchorId="4FCFE9CF" wp14:editId="76497BF1">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085B0025" w14:textId="77777777" w:rsidR="00C558B0" w:rsidRDefault="00C558B0" w:rsidP="00C558B0">
      <w:pPr>
        <w:spacing w:line="360" w:lineRule="auto"/>
        <w:rPr>
          <w:rFonts w:ascii="Arial" w:hAnsi="Arial" w:cs="Arial"/>
          <w:szCs w:val="24"/>
        </w:rPr>
      </w:pPr>
    </w:p>
    <w:p w14:paraId="26214729" w14:textId="77777777" w:rsidR="00C558B0" w:rsidRDefault="00C558B0" w:rsidP="00C558B0">
      <w:pPr>
        <w:spacing w:line="360" w:lineRule="auto"/>
        <w:rPr>
          <w:rFonts w:ascii="Arial" w:hAnsi="Arial" w:cs="Arial"/>
          <w:szCs w:val="24"/>
        </w:rPr>
      </w:pPr>
    </w:p>
    <w:p w14:paraId="65B3C0D1" w14:textId="77777777" w:rsidR="00C558B0" w:rsidRDefault="00C558B0" w:rsidP="00C558B0">
      <w:pPr>
        <w:spacing w:line="360" w:lineRule="auto"/>
        <w:rPr>
          <w:rFonts w:ascii="Arial" w:hAnsi="Arial" w:cs="Arial"/>
          <w:szCs w:val="24"/>
        </w:rPr>
      </w:pPr>
    </w:p>
    <w:p w14:paraId="3BF8F25C" w14:textId="77777777" w:rsidR="00C558B0" w:rsidRDefault="00C558B0" w:rsidP="00C558B0">
      <w:pPr>
        <w:tabs>
          <w:tab w:val="left" w:pos="6540"/>
        </w:tabs>
        <w:spacing w:line="360" w:lineRule="auto"/>
        <w:rPr>
          <w:rFonts w:ascii="Arial" w:hAnsi="Arial" w:cs="Arial"/>
          <w:sz w:val="28"/>
          <w:szCs w:val="28"/>
        </w:rPr>
      </w:pPr>
    </w:p>
    <w:p w14:paraId="268FF0E6" w14:textId="7B19769A" w:rsidR="00A86EE0" w:rsidRPr="00A86EE0" w:rsidRDefault="00000000" w:rsidP="00A86EE0">
      <w:pPr>
        <w:rPr>
          <w:rFonts w:eastAsia="Times New Roman" w:cs="Times New Roman"/>
          <w:szCs w:val="24"/>
          <w:lang w:eastAsia="en-GB"/>
        </w:rPr>
      </w:pPr>
      <w:r>
        <w:rPr>
          <w:rFonts w:ascii="Arial" w:hAnsi="Arial" w:cs="Arial"/>
          <w:b/>
          <w:bCs/>
          <w:szCs w:val="24"/>
        </w:rPr>
        <w:t>Student name:</w:t>
      </w:r>
      <w:r>
        <w:rPr>
          <w:rFonts w:ascii="Arial" w:hAnsi="Arial" w:cs="Arial"/>
          <w:szCs w:val="24"/>
        </w:rPr>
        <w:t xml:space="preserve"> </w:t>
      </w:r>
      <w:r w:rsidR="00A86EE0" w:rsidRPr="00A86EE0">
        <w:rPr>
          <w:rFonts w:eastAsia="Times New Roman" w:cs="Times New Roman"/>
          <w:szCs w:val="24"/>
          <w:lang w:eastAsia="en-GB"/>
        </w:rPr>
        <w:t>Stephane Laurette</w:t>
      </w:r>
      <w:r w:rsidR="00A86EE0">
        <w:rPr>
          <w:rFonts w:eastAsia="Times New Roman" w:cs="Times New Roman"/>
          <w:szCs w:val="24"/>
          <w:lang w:eastAsia="en-GB"/>
        </w:rPr>
        <w:t xml:space="preserve"> </w:t>
      </w:r>
      <w:proofErr w:type="spellStart"/>
      <w:r w:rsidR="00A86EE0" w:rsidRPr="00A86EE0">
        <w:rPr>
          <w:rFonts w:eastAsia="Times New Roman" w:cs="Times New Roman"/>
          <w:szCs w:val="24"/>
          <w:lang w:eastAsia="en-GB"/>
        </w:rPr>
        <w:t>Magbi</w:t>
      </w:r>
      <w:proofErr w:type="spellEnd"/>
    </w:p>
    <w:p w14:paraId="3EC1D03F" w14:textId="542A365F" w:rsidR="00A86EE0" w:rsidRPr="00A86EE0" w:rsidRDefault="00A86EE0" w:rsidP="00A86EE0">
      <w:pPr>
        <w:rPr>
          <w:rFonts w:eastAsia="Times New Roman" w:cs="Times New Roman"/>
          <w:szCs w:val="24"/>
          <w:lang w:eastAsia="en-GB"/>
        </w:rPr>
      </w:pPr>
    </w:p>
    <w:p w14:paraId="5AB3D7B6" w14:textId="315C46EE" w:rsidR="00A86EE0" w:rsidRPr="00A86EE0" w:rsidRDefault="00A86EE0" w:rsidP="00A86EE0">
      <w:pPr>
        <w:rPr>
          <w:rFonts w:eastAsia="Times New Roman" w:cs="Times New Roman"/>
          <w:szCs w:val="24"/>
          <w:lang w:eastAsia="en-GB"/>
        </w:rPr>
      </w:pPr>
    </w:p>
    <w:p w14:paraId="5876847E" w14:textId="2F8A6D15" w:rsidR="001B71F2" w:rsidRDefault="001B71F2">
      <w:pPr>
        <w:spacing w:after="60" w:line="360" w:lineRule="auto"/>
      </w:pPr>
    </w:p>
    <w:p w14:paraId="19D7DD3D" w14:textId="094F304D" w:rsidR="00A86EE0" w:rsidRPr="00A86EE0" w:rsidRDefault="00000000" w:rsidP="00A86EE0">
      <w:pPr>
        <w:rPr>
          <w:rFonts w:eastAsia="Times New Roman" w:cs="Times New Roman"/>
          <w:szCs w:val="24"/>
          <w:lang w:eastAsia="en-GB"/>
        </w:rPr>
      </w:pPr>
      <w:r>
        <w:rPr>
          <w:rFonts w:ascii="Arial" w:hAnsi="Arial" w:cs="Arial"/>
          <w:b/>
          <w:bCs/>
          <w:szCs w:val="24"/>
        </w:rPr>
        <w:t>Student ID:</w:t>
      </w:r>
      <w:r w:rsidR="00A86EE0">
        <w:rPr>
          <w:rFonts w:ascii="Arial" w:hAnsi="Arial" w:cs="Arial"/>
          <w:b/>
          <w:bCs/>
          <w:szCs w:val="24"/>
        </w:rPr>
        <w:t xml:space="preserve"> </w:t>
      </w:r>
      <w:r w:rsidR="00A86EE0" w:rsidRPr="00A86EE0">
        <w:rPr>
          <w:rFonts w:eastAsia="Times New Roman" w:cs="Times New Roman"/>
          <w:szCs w:val="24"/>
          <w:lang w:eastAsia="en-GB"/>
        </w:rPr>
        <w:t>2413325</w:t>
      </w:r>
    </w:p>
    <w:p w14:paraId="55C5C424" w14:textId="036B2996" w:rsidR="001B71F2" w:rsidRDefault="001B71F2">
      <w:pPr>
        <w:spacing w:after="60" w:line="360" w:lineRule="auto"/>
      </w:pPr>
    </w:p>
    <w:p w14:paraId="1F028846" w14:textId="77777777" w:rsidR="001B71F2" w:rsidRDefault="00000000">
      <w:pPr>
        <w:spacing w:after="60" w:line="360" w:lineRule="auto"/>
      </w:pPr>
      <w:r>
        <w:rPr>
          <w:rFonts w:ascii="Arial" w:hAnsi="Arial" w:cs="Arial"/>
          <w:b/>
          <w:bCs/>
          <w:szCs w:val="24"/>
        </w:rPr>
        <w:t>Module name:</w:t>
      </w:r>
      <w:r>
        <w:rPr>
          <w:rFonts w:ascii="Arial" w:hAnsi="Arial" w:cs="Arial"/>
          <w:szCs w:val="24"/>
        </w:rPr>
        <w:t xml:space="preserve"> Principles of Health and Social Care Practice</w:t>
      </w:r>
    </w:p>
    <w:p w14:paraId="3F32AE2F" w14:textId="77777777" w:rsidR="001B71F2" w:rsidRDefault="00000000">
      <w:pPr>
        <w:spacing w:after="60" w:line="360" w:lineRule="auto"/>
      </w:pPr>
      <w:r>
        <w:rPr>
          <w:rFonts w:ascii="Arial" w:hAnsi="Arial" w:cs="Arial"/>
          <w:b/>
          <w:bCs/>
          <w:szCs w:val="24"/>
        </w:rPr>
        <w:t>Module code:</w:t>
      </w:r>
      <w:r>
        <w:rPr>
          <w:rFonts w:ascii="Arial" w:hAnsi="Arial" w:cs="Arial"/>
          <w:szCs w:val="24"/>
        </w:rPr>
        <w:t xml:space="preserve"> BMHP5016</w:t>
      </w:r>
    </w:p>
    <w:p w14:paraId="1651293A" w14:textId="77777777" w:rsidR="001B71F2" w:rsidRDefault="00000000">
      <w:pPr>
        <w:spacing w:after="60" w:line="360" w:lineRule="auto"/>
      </w:pPr>
      <w:r>
        <w:rPr>
          <w:rFonts w:ascii="Arial" w:hAnsi="Arial" w:cs="Arial"/>
          <w:b/>
          <w:bCs/>
          <w:szCs w:val="24"/>
        </w:rPr>
        <w:t>Lecturer name:</w:t>
      </w:r>
      <w:r>
        <w:rPr>
          <w:rFonts w:ascii="Arial" w:hAnsi="Arial" w:cs="Arial"/>
          <w:szCs w:val="24"/>
        </w:rPr>
        <w:t xml:space="preserve"> Bianca Sanfilippo</w:t>
      </w:r>
    </w:p>
    <w:p w14:paraId="3F9768E6" w14:textId="055FE8A9" w:rsidR="001B71F2" w:rsidRDefault="00000000" w:rsidP="00A86EE0">
      <w:pPr>
        <w:spacing w:before="360" w:after="240" w:line="360" w:lineRule="auto"/>
        <w:rPr>
          <w:rFonts w:ascii="Arial" w:hAnsi="Arial" w:cs="Arial"/>
          <w:sz w:val="20"/>
          <w:szCs w:val="20"/>
        </w:rPr>
      </w:pPr>
      <w:r>
        <w:rPr>
          <w:rFonts w:ascii="Arial" w:hAnsi="Arial" w:cs="Arial"/>
          <w:b/>
          <w:bCs/>
          <w:sz w:val="28"/>
          <w:szCs w:val="28"/>
        </w:rPr>
        <w:t>Component 2</w:t>
      </w:r>
    </w:p>
    <w:p w14:paraId="38B7525F" w14:textId="77777777" w:rsidR="00A86EE0" w:rsidRDefault="00A86EE0" w:rsidP="00A86EE0">
      <w:pPr>
        <w:spacing w:before="360" w:after="240" w:line="360" w:lineRule="auto"/>
        <w:rPr>
          <w:rFonts w:ascii="Arial" w:hAnsi="Arial" w:cs="Arial"/>
          <w:sz w:val="20"/>
          <w:szCs w:val="20"/>
        </w:rPr>
      </w:pPr>
    </w:p>
    <w:p w14:paraId="02B23C48" w14:textId="77777777" w:rsidR="00A86EE0" w:rsidRDefault="00A86EE0" w:rsidP="00A86EE0">
      <w:pPr>
        <w:spacing w:before="360" w:after="240" w:line="360" w:lineRule="auto"/>
      </w:pPr>
    </w:p>
    <w:p w14:paraId="2EA01D37" w14:textId="77777777" w:rsidR="001B71F2" w:rsidRDefault="00000000">
      <w:pPr>
        <w:pageBreakBefore/>
        <w:spacing w:after="240" w:line="360" w:lineRule="auto"/>
      </w:pPr>
      <w:r>
        <w:rPr>
          <w:rFonts w:ascii="Arial" w:hAnsi="Arial" w:cs="Arial"/>
          <w:b/>
          <w:bCs/>
          <w:sz w:val="28"/>
          <w:szCs w:val="28"/>
        </w:rPr>
        <w:lastRenderedPageBreak/>
        <w:t>Table of contents</w:t>
      </w:r>
    </w:p>
    <w:p w14:paraId="4F8DA2C4" w14:textId="77777777" w:rsidR="001B71F2" w:rsidRDefault="00000000">
      <w:pPr>
        <w:spacing w:after="60" w:line="300" w:lineRule="auto"/>
      </w:pPr>
      <w:r>
        <w:rPr>
          <w:rFonts w:ascii="Arial" w:hAnsi="Arial" w:cs="Arial"/>
          <w:sz w:val="22"/>
        </w:rPr>
        <w:t>Introduction</w:t>
      </w:r>
    </w:p>
    <w:p w14:paraId="07AA269A" w14:textId="77777777" w:rsidR="001B71F2" w:rsidRDefault="00000000">
      <w:pPr>
        <w:spacing w:after="60" w:line="300" w:lineRule="auto"/>
      </w:pPr>
      <w:r>
        <w:rPr>
          <w:rFonts w:ascii="Arial" w:hAnsi="Arial" w:cs="Arial"/>
          <w:sz w:val="22"/>
        </w:rPr>
        <w:t>The Development of the Social Model of Disability</w:t>
      </w:r>
    </w:p>
    <w:p w14:paraId="25979CEA" w14:textId="77777777" w:rsidR="001B71F2" w:rsidRDefault="00000000">
      <w:pPr>
        <w:spacing w:after="40" w:line="300" w:lineRule="auto"/>
        <w:ind w:left="360"/>
      </w:pPr>
      <w:r>
        <w:rPr>
          <w:rFonts w:ascii="Arial" w:hAnsi="Arial" w:cs="Arial"/>
          <w:sz w:val="22"/>
        </w:rPr>
        <w:t>Emergence</w:t>
      </w:r>
    </w:p>
    <w:p w14:paraId="446B94F9" w14:textId="77777777" w:rsidR="001B71F2" w:rsidRDefault="00000000">
      <w:pPr>
        <w:spacing w:after="40" w:line="300" w:lineRule="auto"/>
        <w:ind w:left="360"/>
      </w:pPr>
      <w:r>
        <w:rPr>
          <w:rFonts w:ascii="Arial" w:hAnsi="Arial" w:cs="Arial"/>
          <w:sz w:val="22"/>
        </w:rPr>
        <w:t>Development</w:t>
      </w:r>
    </w:p>
    <w:p w14:paraId="6E3EF7BC" w14:textId="77777777" w:rsidR="001B71F2" w:rsidRDefault="00000000">
      <w:pPr>
        <w:spacing w:after="40" w:line="300" w:lineRule="auto"/>
        <w:ind w:left="360"/>
      </w:pPr>
      <w:r>
        <w:rPr>
          <w:rFonts w:ascii="Arial" w:hAnsi="Arial" w:cs="Arial"/>
          <w:sz w:val="22"/>
        </w:rPr>
        <w:t>Critiques</w:t>
      </w:r>
    </w:p>
    <w:p w14:paraId="00B2DAFE" w14:textId="77777777" w:rsidR="001B71F2" w:rsidRDefault="00000000">
      <w:pPr>
        <w:spacing w:after="40" w:line="300" w:lineRule="auto"/>
        <w:ind w:left="360"/>
      </w:pPr>
      <w:r>
        <w:rPr>
          <w:rFonts w:ascii="Arial" w:hAnsi="Arial" w:cs="Arial"/>
          <w:sz w:val="22"/>
        </w:rPr>
        <w:t>Responses to the critiques</w:t>
      </w:r>
    </w:p>
    <w:p w14:paraId="6887E0C4" w14:textId="77777777" w:rsidR="001B71F2" w:rsidRDefault="00000000">
      <w:pPr>
        <w:spacing w:after="60" w:line="300" w:lineRule="auto"/>
      </w:pPr>
      <w:r>
        <w:rPr>
          <w:rFonts w:ascii="Arial" w:hAnsi="Arial" w:cs="Arial"/>
          <w:sz w:val="22"/>
        </w:rPr>
        <w:t>Application of the Social Model in Practice</w:t>
      </w:r>
    </w:p>
    <w:p w14:paraId="3FC6BCA2" w14:textId="77777777" w:rsidR="001B71F2" w:rsidRDefault="00000000">
      <w:pPr>
        <w:spacing w:after="40" w:line="300" w:lineRule="auto"/>
        <w:ind w:left="360"/>
      </w:pPr>
      <w:r>
        <w:rPr>
          <w:rFonts w:ascii="Arial" w:hAnsi="Arial" w:cs="Arial"/>
          <w:sz w:val="22"/>
        </w:rPr>
        <w:t>Policy</w:t>
      </w:r>
    </w:p>
    <w:p w14:paraId="463F7AB4" w14:textId="77777777" w:rsidR="001B71F2" w:rsidRDefault="00000000">
      <w:pPr>
        <w:spacing w:after="40" w:line="300" w:lineRule="auto"/>
        <w:ind w:left="360"/>
      </w:pPr>
      <w:r>
        <w:rPr>
          <w:rFonts w:ascii="Arial" w:hAnsi="Arial" w:cs="Arial"/>
          <w:sz w:val="22"/>
        </w:rPr>
        <w:t>Practice: the four barriers and reasonable adjustments</w:t>
      </w:r>
    </w:p>
    <w:p w14:paraId="0C531BCB" w14:textId="77777777" w:rsidR="001B71F2" w:rsidRDefault="00000000">
      <w:pPr>
        <w:spacing w:after="40" w:line="300" w:lineRule="auto"/>
        <w:ind w:left="360"/>
      </w:pPr>
      <w:r>
        <w:rPr>
          <w:rFonts w:ascii="Arial" w:hAnsi="Arial" w:cs="Arial"/>
          <w:sz w:val="22"/>
        </w:rPr>
        <w:t>Problems in application</w:t>
      </w:r>
    </w:p>
    <w:p w14:paraId="6B5DEA66" w14:textId="77777777" w:rsidR="001B71F2" w:rsidRDefault="00000000">
      <w:pPr>
        <w:spacing w:after="60" w:line="300" w:lineRule="auto"/>
      </w:pPr>
      <w:r>
        <w:rPr>
          <w:rFonts w:ascii="Arial" w:hAnsi="Arial" w:cs="Arial"/>
          <w:sz w:val="22"/>
        </w:rPr>
        <w:t>Recommendations for Policy and Practice</w:t>
      </w:r>
    </w:p>
    <w:p w14:paraId="0CF638FA" w14:textId="77777777" w:rsidR="001B71F2" w:rsidRDefault="00000000">
      <w:pPr>
        <w:spacing w:after="60" w:line="300" w:lineRule="auto"/>
      </w:pPr>
      <w:r>
        <w:rPr>
          <w:rFonts w:ascii="Arial" w:hAnsi="Arial" w:cs="Arial"/>
          <w:sz w:val="22"/>
        </w:rPr>
        <w:t>Conclusion</w:t>
      </w:r>
    </w:p>
    <w:p w14:paraId="5CF49447" w14:textId="77777777" w:rsidR="001B71F2" w:rsidRDefault="00000000">
      <w:pPr>
        <w:spacing w:after="60" w:line="300" w:lineRule="auto"/>
      </w:pPr>
      <w:r>
        <w:rPr>
          <w:rFonts w:ascii="Arial" w:hAnsi="Arial" w:cs="Arial"/>
          <w:sz w:val="22"/>
        </w:rPr>
        <w:t>References</w:t>
      </w:r>
    </w:p>
    <w:p w14:paraId="2DE9503F" w14:textId="77777777" w:rsidR="001B71F2" w:rsidRDefault="00000000">
      <w:pPr>
        <w:keepNext/>
        <w:pageBreakBefore/>
        <w:spacing w:before="240" w:after="120" w:line="360" w:lineRule="auto"/>
      </w:pPr>
      <w:r>
        <w:rPr>
          <w:rFonts w:ascii="Arial" w:hAnsi="Arial" w:cs="Arial"/>
          <w:b/>
          <w:bCs/>
          <w:sz w:val="26"/>
          <w:szCs w:val="26"/>
        </w:rPr>
        <w:lastRenderedPageBreak/>
        <w:t>Introduction</w:t>
      </w:r>
    </w:p>
    <w:p w14:paraId="6AB83C4D" w14:textId="77777777" w:rsidR="001B71F2" w:rsidRDefault="00000000">
      <w:pPr>
        <w:spacing w:line="360" w:lineRule="auto"/>
        <w:jc w:val="both"/>
      </w:pPr>
      <w:r>
        <w:rPr>
          <w:rFonts w:ascii="Arial" w:hAnsi="Arial" w:cs="Arial"/>
          <w:sz w:val="22"/>
        </w:rPr>
        <w:t xml:space="preserve">Person-centred care asks practitioners to see the whole person and to shape support around what matters to them. One of the most influential ideas behind this approach is the social model of disability. Rather than locating disability in a person’s body or mind, the social model argues that people with impairments are disabled by barriers in society. This essay critically discusses the model. It first outlines how the model emerged from the disabled people’s movement, how it developed, the main critiques and the responses to them. It then examines how the model has been applied to UK health and social care policy and practice, focusing on four types of </w:t>
      </w:r>
      <w:proofErr w:type="gramStart"/>
      <w:r>
        <w:rPr>
          <w:rFonts w:ascii="Arial" w:hAnsi="Arial" w:cs="Arial"/>
          <w:sz w:val="22"/>
        </w:rPr>
        <w:t>barrier</w:t>
      </w:r>
      <w:proofErr w:type="gramEnd"/>
      <w:r>
        <w:rPr>
          <w:rFonts w:ascii="Arial" w:hAnsi="Arial" w:cs="Arial"/>
          <w:sz w:val="22"/>
        </w:rPr>
        <w:t>, environmental, organisational, attitudinal and communication, and on the duty to make reasonable adjustments under the Equality Act 2010. Finally, it makes recommendations for policy and practice and considers their limitations. In health and social care, the model is important because it changes the question practitioners ask from ‘what is wrong with this person?’ to ‘what is stopping this person from taking part?’, which is the starting point of person-centred practice. The model also matters because disabled people still experience unequal outcomes. For example, adults with a learning disability whose deaths were reviewed in 2023 died on average about 19.5 years younger than the general population (White et al., 2024).</w:t>
      </w:r>
    </w:p>
    <w:p w14:paraId="38EE57C0" w14:textId="77777777" w:rsidR="001B71F2" w:rsidRDefault="00000000">
      <w:pPr>
        <w:keepNext/>
        <w:spacing w:before="240" w:after="120" w:line="360" w:lineRule="auto"/>
      </w:pPr>
      <w:r>
        <w:rPr>
          <w:rFonts w:ascii="Arial" w:hAnsi="Arial" w:cs="Arial"/>
          <w:b/>
          <w:bCs/>
          <w:sz w:val="26"/>
          <w:szCs w:val="26"/>
        </w:rPr>
        <w:t>The Development of the Social Model of Disability</w:t>
      </w:r>
    </w:p>
    <w:p w14:paraId="2AA92B4E" w14:textId="77777777" w:rsidR="001B71F2" w:rsidRDefault="00000000">
      <w:pPr>
        <w:keepNext/>
        <w:spacing w:before="120" w:after="80" w:line="360" w:lineRule="auto"/>
      </w:pPr>
      <w:r>
        <w:rPr>
          <w:rFonts w:ascii="Arial" w:hAnsi="Arial" w:cs="Arial"/>
          <w:b/>
          <w:bCs/>
          <w:sz w:val="22"/>
        </w:rPr>
        <w:t>Emergence</w:t>
      </w:r>
    </w:p>
    <w:p w14:paraId="36EF1EE9" w14:textId="77777777" w:rsidR="001B71F2" w:rsidRDefault="00000000">
      <w:pPr>
        <w:spacing w:line="360" w:lineRule="auto"/>
        <w:jc w:val="both"/>
      </w:pPr>
      <w:r>
        <w:rPr>
          <w:rFonts w:ascii="Arial" w:hAnsi="Arial" w:cs="Arial"/>
          <w:sz w:val="22"/>
        </w:rPr>
        <w:t xml:space="preserve">The social model grew out of disabled people’s own activism rather than from professionals. In its booklet </w:t>
      </w:r>
      <w:r>
        <w:rPr>
          <w:rFonts w:ascii="Arial" w:hAnsi="Arial" w:cs="Arial"/>
          <w:i/>
          <w:iCs/>
          <w:sz w:val="22"/>
        </w:rPr>
        <w:t>Fundamental Principles of Disability</w:t>
      </w:r>
      <w:r>
        <w:rPr>
          <w:rFonts w:ascii="Arial" w:hAnsi="Arial" w:cs="Arial"/>
          <w:sz w:val="22"/>
        </w:rPr>
        <w:t>, the Union of the Physically Impaired Against Segregation [hereafter UPIAS] distinguished impairment, a limitation of the body, from disability, which it defined as ‘the disadvantage or restriction of activity caused by a contemporary social organisation which takes no or little account of people who have physical impairments’ (UPIAS and Disability Alliance, 1976, p. 14). Its central claim was that ‘it is society which disables physically impaired people’ (UPIAS and Disability Alliance, 1976, p. 3). This reversed the dominant medical, or individual, model, which treats disability as a personal tragedy to be cured or managed by professionals. Under the medical model, many disabled people lived in segregated institutions where professionals made decisions for them, which is why UPIAS placed segregation at the centre of its name and argued that disabled people themselves should lead change.</w:t>
      </w:r>
    </w:p>
    <w:p w14:paraId="0E81A6BE" w14:textId="77777777" w:rsidR="001B71F2" w:rsidRDefault="00000000">
      <w:pPr>
        <w:keepNext/>
        <w:spacing w:before="120" w:after="80" w:line="360" w:lineRule="auto"/>
      </w:pPr>
      <w:r>
        <w:rPr>
          <w:rFonts w:ascii="Arial" w:hAnsi="Arial" w:cs="Arial"/>
          <w:b/>
          <w:bCs/>
          <w:sz w:val="22"/>
        </w:rPr>
        <w:t>Development</w:t>
      </w:r>
    </w:p>
    <w:p w14:paraId="1EE66F30" w14:textId="77777777" w:rsidR="001B71F2" w:rsidRDefault="00000000">
      <w:pPr>
        <w:spacing w:line="360" w:lineRule="auto"/>
        <w:jc w:val="both"/>
      </w:pPr>
      <w:r>
        <w:rPr>
          <w:rFonts w:ascii="Arial" w:hAnsi="Arial" w:cs="Arial"/>
          <w:sz w:val="22"/>
        </w:rPr>
        <w:t xml:space="preserve">Oliver (1990) turned these ideas into a sociological account, arguing that disability is produced by the way society is organised, including work, welfare and professional power. Oliver (2013) </w:t>
      </w:r>
      <w:r>
        <w:rPr>
          <w:rFonts w:ascii="Arial" w:hAnsi="Arial" w:cs="Arial"/>
          <w:sz w:val="22"/>
        </w:rPr>
        <w:lastRenderedPageBreak/>
        <w:t>later explained that he introduced the term ‘social model of disability’ some thirty years earlier as a practical tool for professionals and activists. The model proved politically powerful. By identifying barriers that could be removed, it gave disabled people’s organisations a clear agenda, and its influence can be seen internationally in the United Nations [hereafter UN] Convention on the Rights of Persons with Disabilities, which recognises that disability ‘results from the interaction between persons with impairments and attitudinal and environmental barriers’ (UN, 2006, preamble para. (e)).</w:t>
      </w:r>
    </w:p>
    <w:p w14:paraId="094445B4" w14:textId="77777777" w:rsidR="001B71F2" w:rsidRDefault="00000000">
      <w:pPr>
        <w:keepNext/>
        <w:spacing w:before="120" w:after="80" w:line="360" w:lineRule="auto"/>
      </w:pPr>
      <w:r>
        <w:rPr>
          <w:rFonts w:ascii="Arial" w:hAnsi="Arial" w:cs="Arial"/>
          <w:b/>
          <w:bCs/>
          <w:sz w:val="22"/>
        </w:rPr>
        <w:t>Critiques</w:t>
      </w:r>
    </w:p>
    <w:p w14:paraId="1B32C5E3" w14:textId="77777777" w:rsidR="001B71F2" w:rsidRDefault="00000000">
      <w:pPr>
        <w:spacing w:line="360" w:lineRule="auto"/>
        <w:jc w:val="both"/>
      </w:pPr>
      <w:r>
        <w:rPr>
          <w:rFonts w:ascii="Arial" w:hAnsi="Arial" w:cs="Arial"/>
          <w:sz w:val="22"/>
        </w:rPr>
        <w:t>The model has faced several critiques. Crow (1996), writing as a disabled feminist, argued that by focusing only on barriers, the model silenced discussion of pain, fatigue and illness, which affect people’s lives whatever the environment, and called for impairment to be brought back into the analysis. Shakespeare and Watson (2001) went further, describing the strong social model as an outdated ideology. Shakespeare (2014) argues that the sharp division between impairment and disability is untenable, because disability results from an interaction between individual and contextual factors. Thomas (2004) adds that the social model overshadowed an earlier social relational understanding of disability developed by Finkelstein and Hunt. Internationally, the World Health Organization [hereafter WHO] (2001) adopted a biopsychosocial framework, the International Classification of Functioning, Disability and Health, which combines medical and social perspectives.</w:t>
      </w:r>
    </w:p>
    <w:p w14:paraId="05DE517C" w14:textId="77777777" w:rsidR="001B71F2" w:rsidRDefault="00000000">
      <w:pPr>
        <w:keepNext/>
        <w:spacing w:before="120" w:after="80" w:line="360" w:lineRule="auto"/>
      </w:pPr>
      <w:r>
        <w:rPr>
          <w:rFonts w:ascii="Arial" w:hAnsi="Arial" w:cs="Arial"/>
          <w:b/>
          <w:bCs/>
          <w:sz w:val="22"/>
        </w:rPr>
        <w:t>Responses to the critiques</w:t>
      </w:r>
    </w:p>
    <w:p w14:paraId="3CE8C87B" w14:textId="77777777" w:rsidR="001B71F2" w:rsidRDefault="00000000">
      <w:pPr>
        <w:spacing w:line="360" w:lineRule="auto"/>
        <w:jc w:val="both"/>
      </w:pPr>
      <w:r>
        <w:rPr>
          <w:rFonts w:ascii="Arial" w:hAnsi="Arial" w:cs="Arial"/>
          <w:sz w:val="22"/>
        </w:rPr>
        <w:t>Defenders reply that the model was never intended to explain everything. Oliver (2013) argued that it was a tool for change, and that energy spent debating it had distracted from defending disabled people’s rights at a time of welfare cuts. Owens (2015) suggests a middle way: the critiques can be addressed by recognising different forms of power and giving a fuller account of the body, without abandoning the model’s political strength. In practice, therefore, the social model remains the foundation of disability rights in the UK, but it is most useful when combined with attention to impairment and to the person’s own experience.</w:t>
      </w:r>
    </w:p>
    <w:p w14:paraId="495FE6A2" w14:textId="77777777" w:rsidR="001B71F2" w:rsidRDefault="00000000">
      <w:pPr>
        <w:keepNext/>
        <w:spacing w:before="240" w:after="120" w:line="360" w:lineRule="auto"/>
      </w:pPr>
      <w:r>
        <w:rPr>
          <w:rFonts w:ascii="Arial" w:hAnsi="Arial" w:cs="Arial"/>
          <w:b/>
          <w:bCs/>
          <w:sz w:val="26"/>
          <w:szCs w:val="26"/>
        </w:rPr>
        <w:t>Application of the Social Model in Practice</w:t>
      </w:r>
    </w:p>
    <w:p w14:paraId="7F1FA76B" w14:textId="77777777" w:rsidR="001B71F2" w:rsidRDefault="00000000">
      <w:pPr>
        <w:keepNext/>
        <w:spacing w:before="120" w:after="80" w:line="360" w:lineRule="auto"/>
      </w:pPr>
      <w:r>
        <w:rPr>
          <w:rFonts w:ascii="Arial" w:hAnsi="Arial" w:cs="Arial"/>
          <w:b/>
          <w:bCs/>
          <w:sz w:val="22"/>
        </w:rPr>
        <w:t>Policy</w:t>
      </w:r>
    </w:p>
    <w:p w14:paraId="7C66BA84" w14:textId="77777777" w:rsidR="001B71F2" w:rsidRDefault="00000000">
      <w:pPr>
        <w:spacing w:line="360" w:lineRule="auto"/>
        <w:jc w:val="both"/>
      </w:pPr>
      <w:r>
        <w:rPr>
          <w:rFonts w:ascii="Arial" w:hAnsi="Arial" w:cs="Arial"/>
          <w:sz w:val="22"/>
        </w:rPr>
        <w:t xml:space="preserve">The social model has shaped UK policy, but unevenly. The Equality Act 2010 defines disability in individual terms, as a physical or mental impairment with a substantial and long-term adverse effect on normal day-to-day activities, usually lasting 12 months or more (GOV.UK, 2025). However, its duty to make reasonable adjustments reflects </w:t>
      </w:r>
      <w:proofErr w:type="gramStart"/>
      <w:r>
        <w:rPr>
          <w:rFonts w:ascii="Arial" w:hAnsi="Arial" w:cs="Arial"/>
          <w:sz w:val="22"/>
        </w:rPr>
        <w:t>social-model</w:t>
      </w:r>
      <w:proofErr w:type="gramEnd"/>
      <w:r>
        <w:rPr>
          <w:rFonts w:ascii="Arial" w:hAnsi="Arial" w:cs="Arial"/>
          <w:sz w:val="22"/>
        </w:rPr>
        <w:t xml:space="preserve"> thinking. Section 20 of the Equality Act 2010 requires service providers to take reasonable steps where </w:t>
      </w:r>
      <w:r>
        <w:rPr>
          <w:rFonts w:ascii="Arial" w:hAnsi="Arial" w:cs="Arial"/>
          <w:sz w:val="22"/>
        </w:rPr>
        <w:lastRenderedPageBreak/>
        <w:t>a provision, criterion or practice, or a physical feature, puts disabled people at a substantial disadvantage, and to provide auxiliary aids, and the provider cannot charge the disabled person for the cost. The Equality and Human Rights Commission [hereafter EHRC] (2026) explains that this duty is anticipatory: providers must consider barriers before a disabled person arrives. Health and social care policy builds on this. The Care Act 2014 requires local authorities to promote wellbeing, including control over daily life, and the Accessible Information Standard requires NHS and adult social care providers to identify, record, flag, share, meet and review people’s communication needs (NHS England, 2025).</w:t>
      </w:r>
    </w:p>
    <w:p w14:paraId="0C0E4388" w14:textId="77777777" w:rsidR="001B71F2" w:rsidRDefault="00000000">
      <w:pPr>
        <w:keepNext/>
        <w:spacing w:before="120" w:after="80" w:line="360" w:lineRule="auto"/>
      </w:pPr>
      <w:r>
        <w:rPr>
          <w:rFonts w:ascii="Arial" w:hAnsi="Arial" w:cs="Arial"/>
          <w:b/>
          <w:bCs/>
          <w:sz w:val="22"/>
        </w:rPr>
        <w:t>Practice: the four barriers and reasonable adjustments</w:t>
      </w:r>
    </w:p>
    <w:p w14:paraId="1A416956" w14:textId="77777777" w:rsidR="001B71F2" w:rsidRDefault="00000000">
      <w:pPr>
        <w:spacing w:line="360" w:lineRule="auto"/>
        <w:jc w:val="both"/>
      </w:pPr>
      <w:r>
        <w:rPr>
          <w:rFonts w:ascii="Arial" w:hAnsi="Arial" w:cs="Arial"/>
          <w:sz w:val="22"/>
        </w:rPr>
        <w:t>Disability Wales (no date) groups disabling barriers into environmental, organisational, attitudinal and communication barriers. Table 1 applies these to a GP practice and shows how reasonable adjustments can remove them.</w:t>
      </w:r>
    </w:p>
    <w:p w14:paraId="5A72D32B" w14:textId="77777777" w:rsidR="001B71F2" w:rsidRDefault="00000000">
      <w:pPr>
        <w:keepNext/>
        <w:spacing w:after="80" w:line="276" w:lineRule="auto"/>
      </w:pPr>
      <w:r>
        <w:rPr>
          <w:rFonts w:ascii="Arial" w:hAnsi="Arial" w:cs="Arial"/>
          <w:b/>
          <w:bCs/>
          <w:sz w:val="20"/>
          <w:szCs w:val="20"/>
        </w:rPr>
        <w:t>Table 1: Barriers to using a GP practice and examples of reasonable adjustments</w:t>
      </w:r>
    </w:p>
    <w:tbl>
      <w:tblPr>
        <w:tblW w:w="9026"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top w:w="60" w:type="dxa"/>
          <w:left w:w="100" w:type="dxa"/>
          <w:bottom w:w="60" w:type="dxa"/>
          <w:right w:w="100" w:type="dxa"/>
        </w:tblCellMar>
        <w:tblLook w:val="04A0" w:firstRow="1" w:lastRow="0" w:firstColumn="1" w:lastColumn="0" w:noHBand="0" w:noVBand="1"/>
      </w:tblPr>
      <w:tblGrid>
        <w:gridCol w:w="1950"/>
        <w:gridCol w:w="3250"/>
        <w:gridCol w:w="3826"/>
      </w:tblGrid>
      <w:tr w:rsidR="001B71F2" w14:paraId="4F2E0168" w14:textId="77777777">
        <w:trPr>
          <w:cantSplit/>
          <w:tblHeader/>
        </w:trPr>
        <w:tc>
          <w:tcPr>
            <w:tcW w:w="1950" w:type="dxa"/>
            <w:shd w:val="clear" w:color="auto" w:fill="DCE6F2"/>
          </w:tcPr>
          <w:p w14:paraId="021C0B0A" w14:textId="77777777" w:rsidR="001B71F2" w:rsidRDefault="00000000">
            <w:pPr>
              <w:spacing w:after="0" w:line="276" w:lineRule="auto"/>
            </w:pPr>
            <w:r>
              <w:rPr>
                <w:rFonts w:ascii="Arial" w:hAnsi="Arial" w:cs="Arial"/>
                <w:b/>
                <w:bCs/>
                <w:sz w:val="20"/>
                <w:szCs w:val="20"/>
              </w:rPr>
              <w:t>Barrier</w:t>
            </w:r>
          </w:p>
        </w:tc>
        <w:tc>
          <w:tcPr>
            <w:tcW w:w="3250" w:type="dxa"/>
            <w:shd w:val="clear" w:color="auto" w:fill="DCE6F2"/>
          </w:tcPr>
          <w:p w14:paraId="08E04020" w14:textId="77777777" w:rsidR="001B71F2" w:rsidRDefault="00000000">
            <w:pPr>
              <w:spacing w:after="0" w:line="276" w:lineRule="auto"/>
            </w:pPr>
            <w:r>
              <w:rPr>
                <w:rFonts w:ascii="Arial" w:hAnsi="Arial" w:cs="Arial"/>
                <w:b/>
                <w:bCs/>
                <w:sz w:val="20"/>
                <w:szCs w:val="20"/>
              </w:rPr>
              <w:t>Example in a GP practice</w:t>
            </w:r>
          </w:p>
        </w:tc>
        <w:tc>
          <w:tcPr>
            <w:tcW w:w="3826" w:type="dxa"/>
            <w:shd w:val="clear" w:color="auto" w:fill="DCE6F2"/>
          </w:tcPr>
          <w:p w14:paraId="1E08B5AA" w14:textId="77777777" w:rsidR="001B71F2" w:rsidRDefault="00000000">
            <w:pPr>
              <w:spacing w:after="0" w:line="276" w:lineRule="auto"/>
            </w:pPr>
            <w:r>
              <w:rPr>
                <w:rFonts w:ascii="Arial" w:hAnsi="Arial" w:cs="Arial"/>
                <w:b/>
                <w:bCs/>
                <w:sz w:val="20"/>
                <w:szCs w:val="20"/>
              </w:rPr>
              <w:t>Reasonable adjustment</w:t>
            </w:r>
          </w:p>
        </w:tc>
      </w:tr>
      <w:tr w:rsidR="001B71F2" w14:paraId="0CBDF433" w14:textId="77777777">
        <w:trPr>
          <w:cantSplit/>
        </w:trPr>
        <w:tc>
          <w:tcPr>
            <w:tcW w:w="1950" w:type="dxa"/>
          </w:tcPr>
          <w:p w14:paraId="32F8C863" w14:textId="77777777" w:rsidR="001B71F2" w:rsidRDefault="00000000">
            <w:pPr>
              <w:spacing w:after="0" w:line="276" w:lineRule="auto"/>
            </w:pPr>
            <w:r>
              <w:rPr>
                <w:rFonts w:ascii="Arial" w:hAnsi="Arial" w:cs="Arial"/>
                <w:b/>
                <w:bCs/>
                <w:sz w:val="20"/>
                <w:szCs w:val="20"/>
              </w:rPr>
              <w:t>Environmental</w:t>
            </w:r>
          </w:p>
        </w:tc>
        <w:tc>
          <w:tcPr>
            <w:tcW w:w="3250" w:type="dxa"/>
          </w:tcPr>
          <w:p w14:paraId="0D2C58C8" w14:textId="77777777" w:rsidR="001B71F2" w:rsidRDefault="00000000">
            <w:pPr>
              <w:spacing w:after="0" w:line="276" w:lineRule="auto"/>
            </w:pPr>
            <w:r>
              <w:rPr>
                <w:rFonts w:ascii="Arial" w:hAnsi="Arial" w:cs="Arial"/>
                <w:sz w:val="20"/>
                <w:szCs w:val="20"/>
              </w:rPr>
              <w:t>Steps at the entrance, no accessible toilet, a crowded and noisy waiting room</w:t>
            </w:r>
          </w:p>
        </w:tc>
        <w:tc>
          <w:tcPr>
            <w:tcW w:w="3826" w:type="dxa"/>
          </w:tcPr>
          <w:p w14:paraId="7956A9D3" w14:textId="77777777" w:rsidR="001B71F2" w:rsidRDefault="00000000">
            <w:pPr>
              <w:spacing w:after="0" w:line="276" w:lineRule="auto"/>
            </w:pPr>
            <w:r>
              <w:rPr>
                <w:rFonts w:ascii="Arial" w:hAnsi="Arial" w:cs="Arial"/>
                <w:sz w:val="20"/>
                <w:szCs w:val="20"/>
              </w:rPr>
              <w:t>Ramp or level access, accessible toilet, height-adjustable couch, a quiet waiting space (NHS England, no date)</w:t>
            </w:r>
          </w:p>
        </w:tc>
      </w:tr>
      <w:tr w:rsidR="001B71F2" w14:paraId="0292BD60" w14:textId="77777777">
        <w:trPr>
          <w:cantSplit/>
        </w:trPr>
        <w:tc>
          <w:tcPr>
            <w:tcW w:w="1950" w:type="dxa"/>
          </w:tcPr>
          <w:p w14:paraId="6E4DF542" w14:textId="77777777" w:rsidR="001B71F2" w:rsidRDefault="00000000">
            <w:pPr>
              <w:spacing w:after="0" w:line="276" w:lineRule="auto"/>
            </w:pPr>
            <w:r>
              <w:rPr>
                <w:rFonts w:ascii="Arial" w:hAnsi="Arial" w:cs="Arial"/>
                <w:b/>
                <w:bCs/>
                <w:sz w:val="20"/>
                <w:szCs w:val="20"/>
              </w:rPr>
              <w:t>Organisational</w:t>
            </w:r>
          </w:p>
        </w:tc>
        <w:tc>
          <w:tcPr>
            <w:tcW w:w="3250" w:type="dxa"/>
          </w:tcPr>
          <w:p w14:paraId="3FC6CFAD" w14:textId="77777777" w:rsidR="001B71F2" w:rsidRDefault="00000000">
            <w:pPr>
              <w:spacing w:after="0" w:line="276" w:lineRule="auto"/>
            </w:pPr>
            <w:r>
              <w:rPr>
                <w:rFonts w:ascii="Arial" w:hAnsi="Arial" w:cs="Arial"/>
                <w:sz w:val="20"/>
                <w:szCs w:val="20"/>
              </w:rPr>
              <w:t>Telephone-only booking at 8am, fixed 10-minute appointments, standard letters</w:t>
            </w:r>
          </w:p>
        </w:tc>
        <w:tc>
          <w:tcPr>
            <w:tcW w:w="3826" w:type="dxa"/>
          </w:tcPr>
          <w:p w14:paraId="4919EC80" w14:textId="77777777" w:rsidR="001B71F2" w:rsidRDefault="00000000">
            <w:pPr>
              <w:spacing w:after="0" w:line="276" w:lineRule="auto"/>
            </w:pPr>
            <w:r>
              <w:rPr>
                <w:rFonts w:ascii="Arial" w:hAnsi="Arial" w:cs="Arial"/>
                <w:sz w:val="20"/>
                <w:szCs w:val="20"/>
              </w:rPr>
              <w:t>Several ways to book, longer or first appointments of the day, adjustments recorded on a Reasonable Adjustment Flag (NHS England, no date)</w:t>
            </w:r>
          </w:p>
        </w:tc>
      </w:tr>
      <w:tr w:rsidR="001B71F2" w14:paraId="4089D5B5" w14:textId="77777777">
        <w:trPr>
          <w:cantSplit/>
        </w:trPr>
        <w:tc>
          <w:tcPr>
            <w:tcW w:w="1950" w:type="dxa"/>
          </w:tcPr>
          <w:p w14:paraId="5277BB4E" w14:textId="77777777" w:rsidR="001B71F2" w:rsidRDefault="00000000">
            <w:pPr>
              <w:spacing w:after="0" w:line="276" w:lineRule="auto"/>
            </w:pPr>
            <w:r>
              <w:rPr>
                <w:rFonts w:ascii="Arial" w:hAnsi="Arial" w:cs="Arial"/>
                <w:b/>
                <w:bCs/>
                <w:sz w:val="20"/>
                <w:szCs w:val="20"/>
              </w:rPr>
              <w:t>Attitudinal</w:t>
            </w:r>
          </w:p>
        </w:tc>
        <w:tc>
          <w:tcPr>
            <w:tcW w:w="3250" w:type="dxa"/>
          </w:tcPr>
          <w:p w14:paraId="5659785A" w14:textId="77777777" w:rsidR="001B71F2" w:rsidRDefault="00000000">
            <w:pPr>
              <w:spacing w:after="0" w:line="276" w:lineRule="auto"/>
            </w:pPr>
            <w:r>
              <w:rPr>
                <w:rFonts w:ascii="Arial" w:hAnsi="Arial" w:cs="Arial"/>
                <w:sz w:val="20"/>
                <w:szCs w:val="20"/>
              </w:rPr>
              <w:t>Assuming the person cannot decide, speaking to their carer instead of them</w:t>
            </w:r>
          </w:p>
        </w:tc>
        <w:tc>
          <w:tcPr>
            <w:tcW w:w="3826" w:type="dxa"/>
          </w:tcPr>
          <w:p w14:paraId="416AFD72" w14:textId="77777777" w:rsidR="001B71F2" w:rsidRDefault="00000000">
            <w:pPr>
              <w:spacing w:after="0" w:line="276" w:lineRule="auto"/>
            </w:pPr>
            <w:r>
              <w:rPr>
                <w:rFonts w:ascii="Arial" w:hAnsi="Arial" w:cs="Arial"/>
                <w:sz w:val="20"/>
                <w:szCs w:val="20"/>
              </w:rPr>
              <w:t>Speaking directly to the person, training co-delivered by disabled people (Disability Wales, no date)</w:t>
            </w:r>
          </w:p>
        </w:tc>
      </w:tr>
      <w:tr w:rsidR="001B71F2" w14:paraId="26237F39" w14:textId="77777777">
        <w:trPr>
          <w:cantSplit/>
        </w:trPr>
        <w:tc>
          <w:tcPr>
            <w:tcW w:w="1950" w:type="dxa"/>
          </w:tcPr>
          <w:p w14:paraId="02D84BB0" w14:textId="77777777" w:rsidR="001B71F2" w:rsidRDefault="00000000">
            <w:pPr>
              <w:spacing w:after="0" w:line="276" w:lineRule="auto"/>
            </w:pPr>
            <w:r>
              <w:rPr>
                <w:rFonts w:ascii="Arial" w:hAnsi="Arial" w:cs="Arial"/>
                <w:b/>
                <w:bCs/>
                <w:sz w:val="20"/>
                <w:szCs w:val="20"/>
              </w:rPr>
              <w:t>Communication</w:t>
            </w:r>
          </w:p>
        </w:tc>
        <w:tc>
          <w:tcPr>
            <w:tcW w:w="3250" w:type="dxa"/>
          </w:tcPr>
          <w:p w14:paraId="3EDC44A0" w14:textId="77777777" w:rsidR="001B71F2" w:rsidRDefault="00000000">
            <w:pPr>
              <w:spacing w:after="0" w:line="276" w:lineRule="auto"/>
            </w:pPr>
            <w:r>
              <w:rPr>
                <w:rFonts w:ascii="Arial" w:hAnsi="Arial" w:cs="Arial"/>
                <w:sz w:val="20"/>
                <w:szCs w:val="20"/>
              </w:rPr>
              <w:t>No British Sign Language (BSL) interpreter, information only in standard print, no hearing loop</w:t>
            </w:r>
          </w:p>
        </w:tc>
        <w:tc>
          <w:tcPr>
            <w:tcW w:w="3826" w:type="dxa"/>
          </w:tcPr>
          <w:p w14:paraId="234195FB" w14:textId="77777777" w:rsidR="001B71F2" w:rsidRDefault="00000000">
            <w:pPr>
              <w:spacing w:after="0" w:line="276" w:lineRule="auto"/>
            </w:pPr>
            <w:r>
              <w:rPr>
                <w:rFonts w:ascii="Arial" w:hAnsi="Arial" w:cs="Arial"/>
                <w:sz w:val="20"/>
                <w:szCs w:val="20"/>
              </w:rPr>
              <w:t>BSL interpreter, easy read letters, hearing loop, information in the person’s preferred format (NHS England, 2025)</w:t>
            </w:r>
          </w:p>
        </w:tc>
      </w:tr>
    </w:tbl>
    <w:p w14:paraId="3AD47AA9" w14:textId="77777777" w:rsidR="001B71F2" w:rsidRDefault="001B71F2">
      <w:pPr>
        <w:spacing w:after="120" w:line="240" w:lineRule="auto"/>
      </w:pPr>
    </w:p>
    <w:p w14:paraId="04726DC7" w14:textId="77777777" w:rsidR="001B71F2" w:rsidRDefault="00000000">
      <w:pPr>
        <w:spacing w:line="360" w:lineRule="auto"/>
        <w:jc w:val="both"/>
      </w:pPr>
      <w:r>
        <w:rPr>
          <w:rFonts w:ascii="Arial" w:hAnsi="Arial" w:cs="Arial"/>
          <w:sz w:val="22"/>
        </w:rPr>
        <w:t>A practical example shows how these adjustments work together. When a Deaf patient registers with a practice, staff should identify and record that they use BSL and flag this on their record (NHS England, 2025). For each appointment, the practice books an interpreter and a longer slot. Under section 20(7) of the Equality Act 2010, the practice must not ask the patient to pay for the interpreter. Similarly, a person with a learning disability may be offered the first appointment of the day, a quiet room and an easy read summary. These steps change the service rather than the person, which is the core of the social model. The same thinking applies in social care. A Care Act 2014 assessment that asks what prevents a person from achieving their outcomes, such as an inaccessible bathroom or a lack of transport, focuses on removing barriers rather than only on the person’s condition.</w:t>
      </w:r>
    </w:p>
    <w:p w14:paraId="34EA309A" w14:textId="77777777" w:rsidR="001B71F2" w:rsidRDefault="00000000">
      <w:pPr>
        <w:keepNext/>
        <w:spacing w:before="120" w:after="80" w:line="360" w:lineRule="auto"/>
      </w:pPr>
      <w:r>
        <w:rPr>
          <w:rFonts w:ascii="Arial" w:hAnsi="Arial" w:cs="Arial"/>
          <w:b/>
          <w:bCs/>
          <w:sz w:val="22"/>
        </w:rPr>
        <w:lastRenderedPageBreak/>
        <w:t>Problems in application</w:t>
      </w:r>
    </w:p>
    <w:p w14:paraId="17575E76" w14:textId="77777777" w:rsidR="001B71F2" w:rsidRDefault="00000000">
      <w:pPr>
        <w:spacing w:line="360" w:lineRule="auto"/>
        <w:jc w:val="both"/>
      </w:pPr>
      <w:r>
        <w:rPr>
          <w:rFonts w:ascii="Arial" w:hAnsi="Arial" w:cs="Arial"/>
          <w:sz w:val="22"/>
        </w:rPr>
        <w:t xml:space="preserve">Despite this framework, barriers persist. The </w:t>
      </w:r>
      <w:proofErr w:type="spellStart"/>
      <w:r>
        <w:rPr>
          <w:rFonts w:ascii="Arial" w:hAnsi="Arial" w:cs="Arial"/>
          <w:sz w:val="22"/>
        </w:rPr>
        <w:t>LeDeR</w:t>
      </w:r>
      <w:proofErr w:type="spellEnd"/>
      <w:r>
        <w:rPr>
          <w:rFonts w:ascii="Arial" w:hAnsi="Arial" w:cs="Arial"/>
          <w:sz w:val="22"/>
        </w:rPr>
        <w:t xml:space="preserve"> review of deaths of people with a learning disability found that, in 2023, 27.3% of reviewed deaths involved at least one reasonable adjustment that should have been provided but was not, and that 38.8% of deaths were avoidable compared with 21.6% in the general population (White et al., 2024). At a national level, the UN Committee on the Rights of Persons with Disabilities [hereafter UN CRPD Committee] (2016) found grave or systematic violations of disabled people’s rights to independent living, an adequate standard of living and work, linked to welfare reforms. A 2024 follow-up found that the UK had still not taken adequate steps to address them (Disability Rights UK, 2024). Three further problems remain. The legal definition of disability is still largely medical, so people may need to prove their impairment before barriers are addressed. Adjustments often depend on the person asking, which shifts responsibility back onto them. Finally, as Crow (1996) warns, removing barriers alone does not meet needs such as pain management or fatigue.</w:t>
      </w:r>
    </w:p>
    <w:p w14:paraId="0DCF9888" w14:textId="77777777" w:rsidR="001B71F2" w:rsidRDefault="00000000">
      <w:pPr>
        <w:keepNext/>
        <w:spacing w:before="240" w:after="120" w:line="360" w:lineRule="auto"/>
      </w:pPr>
      <w:r>
        <w:rPr>
          <w:rFonts w:ascii="Arial" w:hAnsi="Arial" w:cs="Arial"/>
          <w:b/>
          <w:bCs/>
          <w:sz w:val="26"/>
          <w:szCs w:val="26"/>
        </w:rPr>
        <w:t>Recommendations for Policy and Practice</w:t>
      </w:r>
    </w:p>
    <w:p w14:paraId="701B4DB4" w14:textId="77777777" w:rsidR="001B71F2" w:rsidRDefault="00000000">
      <w:pPr>
        <w:spacing w:line="360" w:lineRule="auto"/>
        <w:jc w:val="both"/>
      </w:pPr>
      <w:r>
        <w:rPr>
          <w:rFonts w:ascii="Arial" w:hAnsi="Arial" w:cs="Arial"/>
          <w:sz w:val="22"/>
        </w:rPr>
        <w:t>First, services should co-produce changes with disabled people and their organisations. The UN CRPD Committee’s 2024 follow-up criticised the limited involvement of disabled people’s organisations in decisions that affect them (Disability Rights UK, 2024). Co-produced access audits of premises, booking systems and letters would identify barriers that staff do not notice. The limitation is that co-production takes time and funding, and it can become tokenistic if feedback is not acted on.</w:t>
      </w:r>
    </w:p>
    <w:p w14:paraId="6280EA59" w14:textId="77777777" w:rsidR="001B71F2" w:rsidRDefault="00000000">
      <w:pPr>
        <w:spacing w:line="360" w:lineRule="auto"/>
        <w:jc w:val="both"/>
      </w:pPr>
      <w:r>
        <w:rPr>
          <w:rFonts w:ascii="Arial" w:hAnsi="Arial" w:cs="Arial"/>
          <w:sz w:val="22"/>
        </w:rPr>
        <w:t>Second, organisations should make the anticipatory duty real by fully implementing the Accessible Information Standard and the Reasonable Adjustment Digital Flag, which all publicly funded services must be able to share, write and read by 30 September 2026 (NHS England, no date). Regular audits should check not only that adjustments are recorded but that they are delivered. This could reduce the missed adjustments identified by White et al. (2024), although information systems and staff time remain limiting factors.</w:t>
      </w:r>
    </w:p>
    <w:p w14:paraId="06AB5132" w14:textId="77777777" w:rsidR="001B71F2" w:rsidRDefault="00000000">
      <w:pPr>
        <w:spacing w:line="360" w:lineRule="auto"/>
        <w:jc w:val="both"/>
      </w:pPr>
      <w:r>
        <w:rPr>
          <w:rFonts w:ascii="Arial" w:hAnsi="Arial" w:cs="Arial"/>
          <w:sz w:val="22"/>
        </w:rPr>
        <w:t>Third, training should challenge attitudinal barriers. The Health and Care Act 2022 now requires providers registered with the Care Quality Commission to ensure that staff receive training on learning disability and autism appropriate to their role, and the Oliver McGowan Mandatory Training is the recommended package (GOV.UK, 2026). Similar training, co-delivered by disabled people, should cover sensory and physical impairments. However, training alone does not change practice unless managers model inclusive behaviour.</w:t>
      </w:r>
    </w:p>
    <w:p w14:paraId="75569E1D" w14:textId="77777777" w:rsidR="001B71F2" w:rsidRDefault="00000000">
      <w:pPr>
        <w:spacing w:line="360" w:lineRule="auto"/>
        <w:jc w:val="both"/>
      </w:pPr>
      <w:r>
        <w:rPr>
          <w:rFonts w:ascii="Arial" w:hAnsi="Arial" w:cs="Arial"/>
          <w:sz w:val="22"/>
        </w:rPr>
        <w:lastRenderedPageBreak/>
        <w:t>Finally, care planning should balance the social model with attention to impairment, as Shakespeare (2014) and Crow (1996) suggest. Personalised assessments under the Care Act 2014 should record both the barriers a person faces and their health needs, such as pain or fatigue. This approach is more person-centred, but it relies on assessors having time and adequate local authority funding, which is under pressure.</w:t>
      </w:r>
    </w:p>
    <w:p w14:paraId="16FCAC28" w14:textId="77777777" w:rsidR="001B71F2" w:rsidRDefault="00000000">
      <w:pPr>
        <w:spacing w:line="360" w:lineRule="auto"/>
        <w:jc w:val="both"/>
      </w:pPr>
      <w:r>
        <w:rPr>
          <w:rFonts w:ascii="Arial" w:hAnsi="Arial" w:cs="Arial"/>
          <w:sz w:val="22"/>
        </w:rPr>
        <w:t xml:space="preserve">Taken together, these recommendations would benefit service users in practical ways: fewer missed appointments because information arrives in an accessible format, interpreters booked in advance because needs are flagged, and greater confidence because staff speak directly to them. Staff would also benefit from clearer records and less uncertainty about what to do. The main limitation is resources. Adjustments must be reasonable, and cost and the size of the organisation are relevant to what is reasonable, with larger providers expected to bear higher costs (EHRC, 2026). Under-funded services may therefore struggle to go beyond the minimum, so outcomes should be monitored, for example through </w:t>
      </w:r>
      <w:proofErr w:type="spellStart"/>
      <w:r>
        <w:rPr>
          <w:rFonts w:ascii="Arial" w:hAnsi="Arial" w:cs="Arial"/>
          <w:sz w:val="22"/>
        </w:rPr>
        <w:t>LeDeR</w:t>
      </w:r>
      <w:proofErr w:type="spellEnd"/>
      <w:r>
        <w:rPr>
          <w:rFonts w:ascii="Arial" w:hAnsi="Arial" w:cs="Arial"/>
          <w:sz w:val="22"/>
        </w:rPr>
        <w:t xml:space="preserve"> reviews, to show whether changes are working.</w:t>
      </w:r>
    </w:p>
    <w:p w14:paraId="76654A7A" w14:textId="77777777" w:rsidR="001B71F2" w:rsidRDefault="00000000">
      <w:pPr>
        <w:keepNext/>
        <w:spacing w:before="240" w:after="120" w:line="360" w:lineRule="auto"/>
      </w:pPr>
      <w:r>
        <w:rPr>
          <w:rFonts w:ascii="Arial" w:hAnsi="Arial" w:cs="Arial"/>
          <w:b/>
          <w:bCs/>
          <w:sz w:val="26"/>
          <w:szCs w:val="26"/>
        </w:rPr>
        <w:t>Conclusion</w:t>
      </w:r>
    </w:p>
    <w:p w14:paraId="26E72342" w14:textId="77777777" w:rsidR="001B71F2" w:rsidRDefault="00000000">
      <w:pPr>
        <w:spacing w:line="360" w:lineRule="auto"/>
        <w:jc w:val="both"/>
      </w:pPr>
      <w:r>
        <w:rPr>
          <w:rFonts w:ascii="Arial" w:hAnsi="Arial" w:cs="Arial"/>
          <w:sz w:val="22"/>
        </w:rPr>
        <w:t>The social model of disability emerged from disabled people’s activism and redefined disability as the result of barriers rather than individual deficit. It has been criticised for neglecting impairment and for oversimplifying the relationship between body and society, but its defenders argue that it remains a powerful tool for change. In the UK, the Equality Act 2010 duty to make reasonable adjustments puts the model into practice by requiring services to remove environmental, organisational, attitudinal and communication barriers. Evidence of missed adjustments and continuing rights concerns shows that implementation is incomplete. Co-production, full use of accessible information and reasonable adjustment flags, training led by disabled people and care planning that also addresses impairment would help services make person-centred care a reality for disabled people.</w:t>
      </w:r>
    </w:p>
    <w:p w14:paraId="0C4054E6" w14:textId="77777777" w:rsidR="001B71F2" w:rsidRDefault="00000000">
      <w:pPr>
        <w:pageBreakBefore/>
        <w:spacing w:before="240" w:after="120" w:line="360" w:lineRule="auto"/>
      </w:pPr>
      <w:r>
        <w:rPr>
          <w:rFonts w:ascii="Arial" w:hAnsi="Arial" w:cs="Arial"/>
          <w:b/>
          <w:bCs/>
          <w:sz w:val="26"/>
          <w:szCs w:val="26"/>
        </w:rPr>
        <w:lastRenderedPageBreak/>
        <w:t>References</w:t>
      </w:r>
    </w:p>
    <w:p w14:paraId="1B05BEB1" w14:textId="77777777" w:rsidR="001B71F2" w:rsidRDefault="00000000">
      <w:pPr>
        <w:keepLines/>
        <w:spacing w:line="360" w:lineRule="auto"/>
      </w:pPr>
      <w:r>
        <w:rPr>
          <w:rFonts w:ascii="Arial" w:hAnsi="Arial" w:cs="Arial"/>
          <w:sz w:val="22"/>
        </w:rPr>
        <w:t xml:space="preserve">Care Act 2014, c. 23. Available at: </w:t>
      </w:r>
      <w:hyperlink r:id="rId9" w:history="1">
        <w:r>
          <w:rPr>
            <w:rFonts w:ascii="Arial" w:hAnsi="Arial" w:cs="Arial"/>
            <w:color w:val="0563C1"/>
            <w:sz w:val="22"/>
            <w:u w:val="single"/>
          </w:rPr>
          <w:t>https://www.legislation.gov.uk/ukpga/2014/23/section/1</w:t>
        </w:r>
      </w:hyperlink>
      <w:r>
        <w:rPr>
          <w:rFonts w:ascii="Arial" w:hAnsi="Arial" w:cs="Arial"/>
          <w:sz w:val="22"/>
        </w:rPr>
        <w:t xml:space="preserve"> (Accessed: 15 October 2026).</w:t>
      </w:r>
    </w:p>
    <w:p w14:paraId="46715C8D" w14:textId="77777777" w:rsidR="001B71F2" w:rsidRDefault="00000000">
      <w:pPr>
        <w:keepLines/>
        <w:spacing w:line="360" w:lineRule="auto"/>
      </w:pPr>
      <w:r>
        <w:rPr>
          <w:rFonts w:ascii="Arial" w:hAnsi="Arial" w:cs="Arial"/>
          <w:sz w:val="22"/>
        </w:rPr>
        <w:t xml:space="preserve">Crow, L. (1996) ‘Including all of our lives: renewing the social model of disability’, in Barnes, C. and Mercer, G. (eds) </w:t>
      </w:r>
      <w:r>
        <w:rPr>
          <w:rFonts w:ascii="Arial" w:hAnsi="Arial" w:cs="Arial"/>
          <w:i/>
          <w:iCs/>
          <w:sz w:val="22"/>
        </w:rPr>
        <w:t>Exploring the divide</w:t>
      </w:r>
      <w:r>
        <w:rPr>
          <w:rFonts w:ascii="Arial" w:hAnsi="Arial" w:cs="Arial"/>
          <w:sz w:val="22"/>
        </w:rPr>
        <w:t xml:space="preserve">. Leeds: The Disability Press. Available at: </w:t>
      </w:r>
      <w:hyperlink r:id="rId10" w:history="1">
        <w:r>
          <w:rPr>
            <w:rFonts w:ascii="Arial" w:hAnsi="Arial" w:cs="Arial"/>
            <w:color w:val="0563C1"/>
            <w:sz w:val="22"/>
            <w:u w:val="single"/>
          </w:rPr>
          <w:t>https://disability-studies.leeds.ac.uk/publications/exploring-the-divide/</w:t>
        </w:r>
      </w:hyperlink>
      <w:r>
        <w:rPr>
          <w:rFonts w:ascii="Arial" w:hAnsi="Arial" w:cs="Arial"/>
          <w:sz w:val="22"/>
        </w:rPr>
        <w:t xml:space="preserve"> (Accessed: 15 October 2026).</w:t>
      </w:r>
    </w:p>
    <w:p w14:paraId="05F8554F" w14:textId="77777777" w:rsidR="001B71F2" w:rsidRDefault="00000000">
      <w:pPr>
        <w:keepLines/>
        <w:spacing w:line="360" w:lineRule="auto"/>
      </w:pPr>
      <w:r>
        <w:rPr>
          <w:rFonts w:ascii="Arial" w:hAnsi="Arial" w:cs="Arial"/>
          <w:sz w:val="22"/>
        </w:rPr>
        <w:t xml:space="preserve">Disability Rights UK (2024) </w:t>
      </w:r>
      <w:r>
        <w:rPr>
          <w:rFonts w:ascii="Arial" w:hAnsi="Arial" w:cs="Arial"/>
          <w:i/>
          <w:iCs/>
          <w:sz w:val="22"/>
        </w:rPr>
        <w:t>No progress since 2016 on ‘grave and systemic’ violations of disabled people’s rights – UN report says</w:t>
      </w:r>
      <w:r>
        <w:rPr>
          <w:rFonts w:ascii="Arial" w:hAnsi="Arial" w:cs="Arial"/>
          <w:sz w:val="22"/>
        </w:rPr>
        <w:t xml:space="preserve">. Available at: </w:t>
      </w:r>
      <w:hyperlink r:id="rId11" w:history="1">
        <w:r>
          <w:rPr>
            <w:rFonts w:ascii="Arial" w:hAnsi="Arial" w:cs="Arial"/>
            <w:color w:val="0563C1"/>
            <w:sz w:val="22"/>
            <w:u w:val="single"/>
          </w:rPr>
          <w:t>https://www.disabilityrightsuk.org/news/no-progress-2016-grave-and-systemic-violations-disabled-peoples-rights-un-report-says</w:t>
        </w:r>
      </w:hyperlink>
      <w:r>
        <w:rPr>
          <w:rFonts w:ascii="Arial" w:hAnsi="Arial" w:cs="Arial"/>
          <w:sz w:val="22"/>
        </w:rPr>
        <w:t xml:space="preserve"> (Accessed: 15 October 2026).</w:t>
      </w:r>
    </w:p>
    <w:p w14:paraId="22ED6123" w14:textId="77777777" w:rsidR="001B71F2" w:rsidRDefault="00000000">
      <w:pPr>
        <w:keepLines/>
        <w:spacing w:line="360" w:lineRule="auto"/>
      </w:pPr>
      <w:r>
        <w:rPr>
          <w:rFonts w:ascii="Arial" w:hAnsi="Arial" w:cs="Arial"/>
          <w:sz w:val="22"/>
        </w:rPr>
        <w:t xml:space="preserve">Disability Wales (no date) </w:t>
      </w:r>
      <w:r>
        <w:rPr>
          <w:rFonts w:ascii="Arial" w:hAnsi="Arial" w:cs="Arial"/>
          <w:i/>
          <w:iCs/>
          <w:sz w:val="22"/>
        </w:rPr>
        <w:t>Social model of disability: a toolkit</w:t>
      </w:r>
      <w:r>
        <w:rPr>
          <w:rFonts w:ascii="Arial" w:hAnsi="Arial" w:cs="Arial"/>
          <w:sz w:val="22"/>
        </w:rPr>
        <w:t xml:space="preserve">. Available at: </w:t>
      </w:r>
      <w:hyperlink r:id="rId12" w:history="1">
        <w:r>
          <w:rPr>
            <w:rFonts w:ascii="Arial" w:hAnsi="Arial" w:cs="Arial"/>
            <w:color w:val="0563C1"/>
            <w:sz w:val="22"/>
            <w:u w:val="single"/>
          </w:rPr>
          <w:t>https://www.disabilitywales.org/wp-content/uploads/2024/06/SMD-Toolkit.pdf</w:t>
        </w:r>
      </w:hyperlink>
      <w:r>
        <w:rPr>
          <w:rFonts w:ascii="Arial" w:hAnsi="Arial" w:cs="Arial"/>
          <w:sz w:val="22"/>
        </w:rPr>
        <w:t xml:space="preserve"> (Accessed: 15 October 2026).</w:t>
      </w:r>
    </w:p>
    <w:p w14:paraId="07B4405A" w14:textId="77777777" w:rsidR="001B71F2" w:rsidRDefault="00000000">
      <w:pPr>
        <w:keepLines/>
        <w:spacing w:line="360" w:lineRule="auto"/>
      </w:pPr>
      <w:r>
        <w:rPr>
          <w:rFonts w:ascii="Arial" w:hAnsi="Arial" w:cs="Arial"/>
          <w:sz w:val="22"/>
        </w:rPr>
        <w:t xml:space="preserve">Equality Act 2010, c. 15. Available at: </w:t>
      </w:r>
      <w:hyperlink r:id="rId13" w:history="1">
        <w:r>
          <w:rPr>
            <w:rFonts w:ascii="Arial" w:hAnsi="Arial" w:cs="Arial"/>
            <w:color w:val="0563C1"/>
            <w:sz w:val="22"/>
            <w:u w:val="single"/>
          </w:rPr>
          <w:t>https://www.legislation.gov.uk/ukpga/2010/15/section/20</w:t>
        </w:r>
      </w:hyperlink>
      <w:r>
        <w:rPr>
          <w:rFonts w:ascii="Arial" w:hAnsi="Arial" w:cs="Arial"/>
          <w:sz w:val="22"/>
        </w:rPr>
        <w:t xml:space="preserve"> (Accessed: 15 October 2026).</w:t>
      </w:r>
    </w:p>
    <w:p w14:paraId="29157EDC" w14:textId="77777777" w:rsidR="001B71F2" w:rsidRDefault="00000000">
      <w:pPr>
        <w:keepLines/>
        <w:spacing w:line="360" w:lineRule="auto"/>
      </w:pPr>
      <w:r>
        <w:rPr>
          <w:rFonts w:ascii="Arial" w:hAnsi="Arial" w:cs="Arial"/>
          <w:sz w:val="22"/>
        </w:rPr>
        <w:t xml:space="preserve">Equality and Human Rights Commission [EHRC] (2026) </w:t>
      </w:r>
      <w:r>
        <w:rPr>
          <w:rFonts w:ascii="Arial" w:hAnsi="Arial" w:cs="Arial"/>
          <w:i/>
          <w:iCs/>
          <w:sz w:val="22"/>
        </w:rPr>
        <w:t>Code of practice for services, public functions and associations: chapter 7, disabled people: reasonable adjustments</w:t>
      </w:r>
      <w:r>
        <w:rPr>
          <w:rFonts w:ascii="Arial" w:hAnsi="Arial" w:cs="Arial"/>
          <w:sz w:val="22"/>
        </w:rPr>
        <w:t xml:space="preserve">. Available at: </w:t>
      </w:r>
      <w:hyperlink r:id="rId14" w:history="1">
        <w:r>
          <w:rPr>
            <w:rFonts w:ascii="Arial" w:hAnsi="Arial" w:cs="Arial"/>
            <w:color w:val="0563C1"/>
            <w:sz w:val="22"/>
            <w:u w:val="single"/>
          </w:rPr>
          <w:t>https://www.equalityhumanrights.com/guidance/codes-practice/code-practice-services-public-functions-and-associations/chapter-seven</w:t>
        </w:r>
      </w:hyperlink>
      <w:r>
        <w:rPr>
          <w:rFonts w:ascii="Arial" w:hAnsi="Arial" w:cs="Arial"/>
          <w:sz w:val="22"/>
        </w:rPr>
        <w:t xml:space="preserve"> (Accessed: 15 October 2026).</w:t>
      </w:r>
    </w:p>
    <w:p w14:paraId="38B0804F" w14:textId="77777777" w:rsidR="001B71F2" w:rsidRDefault="00000000">
      <w:pPr>
        <w:keepLines/>
        <w:spacing w:line="360" w:lineRule="auto"/>
      </w:pPr>
      <w:r>
        <w:rPr>
          <w:rFonts w:ascii="Arial" w:hAnsi="Arial" w:cs="Arial"/>
          <w:sz w:val="22"/>
        </w:rPr>
        <w:t xml:space="preserve">GOV.UK (2025) </w:t>
      </w:r>
      <w:r>
        <w:rPr>
          <w:rFonts w:ascii="Arial" w:hAnsi="Arial" w:cs="Arial"/>
          <w:i/>
          <w:iCs/>
          <w:sz w:val="22"/>
        </w:rPr>
        <w:t>Definition of disability under the Equality Act 2010</w:t>
      </w:r>
      <w:r>
        <w:rPr>
          <w:rFonts w:ascii="Arial" w:hAnsi="Arial" w:cs="Arial"/>
          <w:sz w:val="22"/>
        </w:rPr>
        <w:t xml:space="preserve">. Available at: </w:t>
      </w:r>
      <w:hyperlink r:id="rId15" w:history="1">
        <w:r>
          <w:rPr>
            <w:rFonts w:ascii="Arial" w:hAnsi="Arial" w:cs="Arial"/>
            <w:color w:val="0563C1"/>
            <w:sz w:val="22"/>
            <w:u w:val="single"/>
          </w:rPr>
          <w:t>https://www.gov.uk/definition-of-disability-under-equality-act-2010</w:t>
        </w:r>
      </w:hyperlink>
      <w:r>
        <w:rPr>
          <w:rFonts w:ascii="Arial" w:hAnsi="Arial" w:cs="Arial"/>
          <w:sz w:val="22"/>
        </w:rPr>
        <w:t xml:space="preserve"> (Accessed: 15 October 2026).</w:t>
      </w:r>
    </w:p>
    <w:p w14:paraId="66372DFD" w14:textId="77777777" w:rsidR="001B71F2" w:rsidRDefault="00000000">
      <w:pPr>
        <w:keepLines/>
        <w:spacing w:line="360" w:lineRule="auto"/>
      </w:pPr>
      <w:r>
        <w:rPr>
          <w:rFonts w:ascii="Arial" w:hAnsi="Arial" w:cs="Arial"/>
          <w:sz w:val="22"/>
        </w:rPr>
        <w:t xml:space="preserve">GOV.UK (2026) </w:t>
      </w:r>
      <w:r>
        <w:rPr>
          <w:rFonts w:ascii="Arial" w:hAnsi="Arial" w:cs="Arial"/>
          <w:i/>
          <w:iCs/>
          <w:sz w:val="22"/>
        </w:rPr>
        <w:t>Mandatory training on learning disability and autism</w:t>
      </w:r>
      <w:r>
        <w:rPr>
          <w:rFonts w:ascii="Arial" w:hAnsi="Arial" w:cs="Arial"/>
          <w:sz w:val="22"/>
        </w:rPr>
        <w:t xml:space="preserve">. Available at: </w:t>
      </w:r>
      <w:hyperlink r:id="rId16" w:history="1">
        <w:r>
          <w:rPr>
            <w:rFonts w:ascii="Arial" w:hAnsi="Arial" w:cs="Arial"/>
            <w:color w:val="0563C1"/>
            <w:sz w:val="22"/>
            <w:u w:val="single"/>
          </w:rPr>
          <w:t>https://www.gov.uk/government/collections/mandatory-training-on-learning-disability-and-autism</w:t>
        </w:r>
      </w:hyperlink>
      <w:r>
        <w:rPr>
          <w:rFonts w:ascii="Arial" w:hAnsi="Arial" w:cs="Arial"/>
          <w:sz w:val="22"/>
        </w:rPr>
        <w:t xml:space="preserve"> (Accessed: 15 October 2026).</w:t>
      </w:r>
    </w:p>
    <w:p w14:paraId="6DEC3433" w14:textId="77777777" w:rsidR="001B71F2" w:rsidRDefault="00000000">
      <w:pPr>
        <w:keepLines/>
        <w:spacing w:line="360" w:lineRule="auto"/>
      </w:pPr>
      <w:r>
        <w:rPr>
          <w:rFonts w:ascii="Arial" w:hAnsi="Arial" w:cs="Arial"/>
          <w:sz w:val="22"/>
        </w:rPr>
        <w:t xml:space="preserve">Health and Care Act 2022, c. 31. Available at: </w:t>
      </w:r>
      <w:hyperlink r:id="rId17" w:history="1">
        <w:r>
          <w:rPr>
            <w:rFonts w:ascii="Arial" w:hAnsi="Arial" w:cs="Arial"/>
            <w:color w:val="0563C1"/>
            <w:sz w:val="22"/>
            <w:u w:val="single"/>
          </w:rPr>
          <w:t>https://www.legislation.gov.uk/ukpga/2022/31/contents</w:t>
        </w:r>
      </w:hyperlink>
      <w:r>
        <w:rPr>
          <w:rFonts w:ascii="Arial" w:hAnsi="Arial" w:cs="Arial"/>
          <w:sz w:val="22"/>
        </w:rPr>
        <w:t xml:space="preserve"> (Accessed: 15 October 2026).</w:t>
      </w:r>
    </w:p>
    <w:p w14:paraId="199B7AF2" w14:textId="77777777" w:rsidR="001B71F2" w:rsidRDefault="00000000">
      <w:pPr>
        <w:keepLines/>
        <w:spacing w:line="360" w:lineRule="auto"/>
      </w:pPr>
      <w:r>
        <w:rPr>
          <w:rFonts w:ascii="Arial" w:hAnsi="Arial" w:cs="Arial"/>
          <w:sz w:val="22"/>
        </w:rPr>
        <w:t xml:space="preserve">NHS England (2025) </w:t>
      </w:r>
      <w:r>
        <w:rPr>
          <w:rFonts w:ascii="Arial" w:hAnsi="Arial" w:cs="Arial"/>
          <w:i/>
          <w:iCs/>
          <w:sz w:val="22"/>
        </w:rPr>
        <w:t>DAPB1605: Accessible Information</w:t>
      </w:r>
      <w:r>
        <w:rPr>
          <w:rFonts w:ascii="Arial" w:hAnsi="Arial" w:cs="Arial"/>
          <w:sz w:val="22"/>
        </w:rPr>
        <w:t xml:space="preserve">. Available at: </w:t>
      </w:r>
      <w:hyperlink r:id="rId18" w:history="1">
        <w:r>
          <w:rPr>
            <w:rFonts w:ascii="Arial" w:hAnsi="Arial" w:cs="Arial"/>
            <w:color w:val="0563C1"/>
            <w:sz w:val="22"/>
            <w:u w:val="single"/>
          </w:rPr>
          <w:t>https://www.standards.nhs.uk/published-standards/accessible-information</w:t>
        </w:r>
      </w:hyperlink>
      <w:r>
        <w:rPr>
          <w:rFonts w:ascii="Arial" w:hAnsi="Arial" w:cs="Arial"/>
          <w:sz w:val="22"/>
        </w:rPr>
        <w:t xml:space="preserve"> (Accessed: 15 October 2026).</w:t>
      </w:r>
    </w:p>
    <w:p w14:paraId="7CC85779" w14:textId="77777777" w:rsidR="001B71F2" w:rsidRDefault="00000000">
      <w:pPr>
        <w:keepLines/>
        <w:spacing w:line="360" w:lineRule="auto"/>
      </w:pPr>
      <w:r>
        <w:rPr>
          <w:rFonts w:ascii="Arial" w:hAnsi="Arial" w:cs="Arial"/>
          <w:sz w:val="22"/>
        </w:rPr>
        <w:lastRenderedPageBreak/>
        <w:t xml:space="preserve">NHS England (no date) </w:t>
      </w:r>
      <w:r>
        <w:rPr>
          <w:rFonts w:ascii="Arial" w:hAnsi="Arial" w:cs="Arial"/>
          <w:i/>
          <w:iCs/>
          <w:sz w:val="22"/>
        </w:rPr>
        <w:t>Reasonable adjustments</w:t>
      </w:r>
      <w:r>
        <w:rPr>
          <w:rFonts w:ascii="Arial" w:hAnsi="Arial" w:cs="Arial"/>
          <w:sz w:val="22"/>
        </w:rPr>
        <w:t xml:space="preserve">. Available at: </w:t>
      </w:r>
      <w:hyperlink r:id="rId19" w:history="1">
        <w:r>
          <w:rPr>
            <w:rFonts w:ascii="Arial" w:hAnsi="Arial" w:cs="Arial"/>
            <w:color w:val="0563C1"/>
            <w:sz w:val="22"/>
            <w:u w:val="single"/>
          </w:rPr>
          <w:t>https://www.england.nhs.uk/learning-disabilities/improving-health/reasonable-adjustments/</w:t>
        </w:r>
      </w:hyperlink>
      <w:r>
        <w:rPr>
          <w:rFonts w:ascii="Arial" w:hAnsi="Arial" w:cs="Arial"/>
          <w:sz w:val="22"/>
        </w:rPr>
        <w:t xml:space="preserve"> (Accessed: 15 October 2026).</w:t>
      </w:r>
    </w:p>
    <w:p w14:paraId="2CD0BAB0" w14:textId="77777777" w:rsidR="001B71F2" w:rsidRDefault="00000000">
      <w:pPr>
        <w:keepLines/>
        <w:spacing w:line="360" w:lineRule="auto"/>
      </w:pPr>
      <w:r>
        <w:rPr>
          <w:rFonts w:ascii="Arial" w:hAnsi="Arial" w:cs="Arial"/>
          <w:sz w:val="22"/>
        </w:rPr>
        <w:t xml:space="preserve">Oliver, M. (1990) </w:t>
      </w:r>
      <w:r>
        <w:rPr>
          <w:rFonts w:ascii="Arial" w:hAnsi="Arial" w:cs="Arial"/>
          <w:i/>
          <w:iCs/>
          <w:sz w:val="22"/>
        </w:rPr>
        <w:t>The politics of disablement</w:t>
      </w:r>
      <w:r>
        <w:rPr>
          <w:rFonts w:ascii="Arial" w:hAnsi="Arial" w:cs="Arial"/>
          <w:sz w:val="22"/>
        </w:rPr>
        <w:t>. Basingstoke: Macmillan.</w:t>
      </w:r>
    </w:p>
    <w:p w14:paraId="5E96C3D5" w14:textId="77777777" w:rsidR="001B71F2" w:rsidRDefault="00000000">
      <w:pPr>
        <w:keepLines/>
        <w:spacing w:line="360" w:lineRule="auto"/>
      </w:pPr>
      <w:r>
        <w:rPr>
          <w:rFonts w:ascii="Arial" w:hAnsi="Arial" w:cs="Arial"/>
          <w:sz w:val="22"/>
        </w:rPr>
        <w:t xml:space="preserve">Oliver, M. (2013) ‘The social model of disability: thirty years on’, </w:t>
      </w:r>
      <w:r>
        <w:rPr>
          <w:rFonts w:ascii="Arial" w:hAnsi="Arial" w:cs="Arial"/>
          <w:i/>
          <w:iCs/>
          <w:sz w:val="22"/>
        </w:rPr>
        <w:t>Disability &amp; Society</w:t>
      </w:r>
      <w:r>
        <w:rPr>
          <w:rFonts w:ascii="Arial" w:hAnsi="Arial" w:cs="Arial"/>
          <w:sz w:val="22"/>
        </w:rPr>
        <w:t>, 28(7), pp. 1024-1026.</w:t>
      </w:r>
    </w:p>
    <w:p w14:paraId="58E3B0AC" w14:textId="77777777" w:rsidR="001B71F2" w:rsidRDefault="00000000">
      <w:pPr>
        <w:keepLines/>
        <w:spacing w:line="360" w:lineRule="auto"/>
      </w:pPr>
      <w:r>
        <w:rPr>
          <w:rFonts w:ascii="Arial" w:hAnsi="Arial" w:cs="Arial"/>
          <w:sz w:val="22"/>
        </w:rPr>
        <w:t xml:space="preserve">Owens, J. (2015) ‘Exploring the critiques of the social model of disability: the transformative possibility of Arendt’s notion of power’, </w:t>
      </w:r>
      <w:r>
        <w:rPr>
          <w:rFonts w:ascii="Arial" w:hAnsi="Arial" w:cs="Arial"/>
          <w:i/>
          <w:iCs/>
          <w:sz w:val="22"/>
        </w:rPr>
        <w:t>Sociology of Health &amp; Illness</w:t>
      </w:r>
      <w:r>
        <w:rPr>
          <w:rFonts w:ascii="Arial" w:hAnsi="Arial" w:cs="Arial"/>
          <w:sz w:val="22"/>
        </w:rPr>
        <w:t xml:space="preserve">, 37(3), pp. 385-403. Available at: </w:t>
      </w:r>
      <w:hyperlink r:id="rId20" w:history="1">
        <w:r>
          <w:rPr>
            <w:rFonts w:ascii="Arial" w:hAnsi="Arial" w:cs="Arial"/>
            <w:color w:val="0563C1"/>
            <w:sz w:val="22"/>
            <w:u w:val="single"/>
          </w:rPr>
          <w:t>https://doi.org/10.1111/1467-9566.12199</w:t>
        </w:r>
      </w:hyperlink>
    </w:p>
    <w:p w14:paraId="31FD9EB6" w14:textId="77777777" w:rsidR="001B71F2" w:rsidRDefault="00000000">
      <w:pPr>
        <w:keepLines/>
        <w:spacing w:line="360" w:lineRule="auto"/>
      </w:pPr>
      <w:r>
        <w:rPr>
          <w:rFonts w:ascii="Arial" w:hAnsi="Arial" w:cs="Arial"/>
          <w:sz w:val="22"/>
        </w:rPr>
        <w:t xml:space="preserve">Shakespeare, T. (2014) </w:t>
      </w:r>
      <w:r>
        <w:rPr>
          <w:rFonts w:ascii="Arial" w:hAnsi="Arial" w:cs="Arial"/>
          <w:i/>
          <w:iCs/>
          <w:sz w:val="22"/>
        </w:rPr>
        <w:t>Disability rights and wrongs revisited</w:t>
      </w:r>
      <w:r>
        <w:rPr>
          <w:rFonts w:ascii="Arial" w:hAnsi="Arial" w:cs="Arial"/>
          <w:sz w:val="22"/>
        </w:rPr>
        <w:t xml:space="preserve">. 2nd </w:t>
      </w:r>
      <w:proofErr w:type="spellStart"/>
      <w:r>
        <w:rPr>
          <w:rFonts w:ascii="Arial" w:hAnsi="Arial" w:cs="Arial"/>
          <w:sz w:val="22"/>
        </w:rPr>
        <w:t>edn</w:t>
      </w:r>
      <w:proofErr w:type="spellEnd"/>
      <w:r>
        <w:rPr>
          <w:rFonts w:ascii="Arial" w:hAnsi="Arial" w:cs="Arial"/>
          <w:sz w:val="22"/>
        </w:rPr>
        <w:t>. Abingdon: Routledge.</w:t>
      </w:r>
    </w:p>
    <w:p w14:paraId="69BE78FE" w14:textId="77777777" w:rsidR="001B71F2" w:rsidRDefault="00000000">
      <w:pPr>
        <w:keepLines/>
        <w:spacing w:line="360" w:lineRule="auto"/>
      </w:pPr>
      <w:r>
        <w:rPr>
          <w:rFonts w:ascii="Arial" w:hAnsi="Arial" w:cs="Arial"/>
          <w:sz w:val="22"/>
        </w:rPr>
        <w:t xml:space="preserve">Shakespeare, T. and Watson, N. (2001) ‘The social model of disability: an outdated ideology?’, </w:t>
      </w:r>
      <w:r>
        <w:rPr>
          <w:rFonts w:ascii="Arial" w:hAnsi="Arial" w:cs="Arial"/>
          <w:i/>
          <w:iCs/>
          <w:sz w:val="22"/>
        </w:rPr>
        <w:t>Research in Social Science and Disability</w:t>
      </w:r>
      <w:r>
        <w:rPr>
          <w:rFonts w:ascii="Arial" w:hAnsi="Arial" w:cs="Arial"/>
          <w:sz w:val="22"/>
        </w:rPr>
        <w:t xml:space="preserve">, 2, pp. 9-28. Available at: </w:t>
      </w:r>
      <w:hyperlink r:id="rId21" w:history="1">
        <w:r>
          <w:rPr>
            <w:rFonts w:ascii="Arial" w:hAnsi="Arial" w:cs="Arial"/>
            <w:color w:val="0563C1"/>
            <w:sz w:val="22"/>
            <w:u w:val="single"/>
          </w:rPr>
          <w:t>https://doi.org/10.1016/S1479-3547(01)80018-X</w:t>
        </w:r>
      </w:hyperlink>
    </w:p>
    <w:p w14:paraId="4B34900C" w14:textId="77777777" w:rsidR="001B71F2" w:rsidRDefault="00000000">
      <w:pPr>
        <w:keepLines/>
        <w:spacing w:line="360" w:lineRule="auto"/>
      </w:pPr>
      <w:r>
        <w:rPr>
          <w:rFonts w:ascii="Arial" w:hAnsi="Arial" w:cs="Arial"/>
          <w:sz w:val="22"/>
        </w:rPr>
        <w:t xml:space="preserve">Thomas, C. (2004) ‘How is disability understood? An examination of sociological approaches’, </w:t>
      </w:r>
      <w:r>
        <w:rPr>
          <w:rFonts w:ascii="Arial" w:hAnsi="Arial" w:cs="Arial"/>
          <w:i/>
          <w:iCs/>
          <w:sz w:val="22"/>
        </w:rPr>
        <w:t>Disability &amp; Society</w:t>
      </w:r>
      <w:r>
        <w:rPr>
          <w:rFonts w:ascii="Arial" w:hAnsi="Arial" w:cs="Arial"/>
          <w:sz w:val="22"/>
        </w:rPr>
        <w:t>, 19(6), pp. 569-583.</w:t>
      </w:r>
    </w:p>
    <w:p w14:paraId="3A870C27" w14:textId="77777777" w:rsidR="001B71F2" w:rsidRDefault="00000000">
      <w:pPr>
        <w:keepLines/>
        <w:spacing w:line="360" w:lineRule="auto"/>
      </w:pPr>
      <w:r>
        <w:rPr>
          <w:rFonts w:ascii="Arial" w:hAnsi="Arial" w:cs="Arial"/>
          <w:sz w:val="22"/>
        </w:rPr>
        <w:t xml:space="preserve">Union of the Physically Impaired Against Segregation [UPIAS] and Disability Alliance (1976) </w:t>
      </w:r>
      <w:r>
        <w:rPr>
          <w:rFonts w:ascii="Arial" w:hAnsi="Arial" w:cs="Arial"/>
          <w:i/>
          <w:iCs/>
          <w:sz w:val="22"/>
        </w:rPr>
        <w:t>Fundamental principles of disability</w:t>
      </w:r>
      <w:r>
        <w:rPr>
          <w:rFonts w:ascii="Arial" w:hAnsi="Arial" w:cs="Arial"/>
          <w:sz w:val="22"/>
        </w:rPr>
        <w:t xml:space="preserve">. London: UPIAS. Available at: </w:t>
      </w:r>
      <w:hyperlink r:id="rId22" w:history="1">
        <w:r>
          <w:rPr>
            <w:rFonts w:ascii="Arial" w:hAnsi="Arial" w:cs="Arial"/>
            <w:color w:val="0563C1"/>
            <w:sz w:val="22"/>
            <w:u w:val="single"/>
          </w:rPr>
          <w:t>https://disability-studies.leeds.ac.uk/wp-content/uploads/sites/40/library/UPIAS-fundamental-principles.pdf</w:t>
        </w:r>
      </w:hyperlink>
      <w:r>
        <w:rPr>
          <w:rFonts w:ascii="Arial" w:hAnsi="Arial" w:cs="Arial"/>
          <w:sz w:val="22"/>
        </w:rPr>
        <w:t xml:space="preserve"> (Accessed: 15 October 2026).</w:t>
      </w:r>
    </w:p>
    <w:p w14:paraId="69EA0E4E" w14:textId="77777777" w:rsidR="001B71F2" w:rsidRDefault="00000000">
      <w:pPr>
        <w:keepLines/>
        <w:spacing w:line="360" w:lineRule="auto"/>
      </w:pPr>
      <w:r>
        <w:rPr>
          <w:rFonts w:ascii="Arial" w:hAnsi="Arial" w:cs="Arial"/>
          <w:sz w:val="22"/>
        </w:rPr>
        <w:t xml:space="preserve">United Nations [UN] (2006) </w:t>
      </w:r>
      <w:r>
        <w:rPr>
          <w:rFonts w:ascii="Arial" w:hAnsi="Arial" w:cs="Arial"/>
          <w:i/>
          <w:iCs/>
          <w:sz w:val="22"/>
        </w:rPr>
        <w:t>Convention on the Rights of Persons with Disabilities</w:t>
      </w:r>
      <w:r>
        <w:rPr>
          <w:rFonts w:ascii="Arial" w:hAnsi="Arial" w:cs="Arial"/>
          <w:sz w:val="22"/>
        </w:rPr>
        <w:t xml:space="preserve">. Available at: </w:t>
      </w:r>
      <w:hyperlink r:id="rId23" w:history="1">
        <w:r>
          <w:rPr>
            <w:rFonts w:ascii="Arial" w:hAnsi="Arial" w:cs="Arial"/>
            <w:color w:val="0563C1"/>
            <w:sz w:val="22"/>
            <w:u w:val="single"/>
          </w:rPr>
          <w:t>https://social.desa.un.org/issues/disability/crpd/preamble</w:t>
        </w:r>
      </w:hyperlink>
      <w:r>
        <w:rPr>
          <w:rFonts w:ascii="Arial" w:hAnsi="Arial" w:cs="Arial"/>
          <w:sz w:val="22"/>
        </w:rPr>
        <w:t xml:space="preserve"> (Accessed: 15 October 2026).</w:t>
      </w:r>
    </w:p>
    <w:p w14:paraId="5333B3E1" w14:textId="77777777" w:rsidR="001B71F2" w:rsidRDefault="00000000">
      <w:pPr>
        <w:keepLines/>
        <w:spacing w:line="360" w:lineRule="auto"/>
      </w:pPr>
      <w:r>
        <w:rPr>
          <w:rFonts w:ascii="Arial" w:hAnsi="Arial" w:cs="Arial"/>
          <w:sz w:val="22"/>
        </w:rPr>
        <w:t xml:space="preserve">United Nations Committee on the Rights of Persons with Disabilities [UN CRPD Committee] (2016) </w:t>
      </w:r>
      <w:r>
        <w:rPr>
          <w:rFonts w:ascii="Arial" w:hAnsi="Arial" w:cs="Arial"/>
          <w:i/>
          <w:iCs/>
          <w:sz w:val="22"/>
        </w:rPr>
        <w:t>Inquiry concerning the United Kingdom of Great Britain and Northern Ireland carried out by the Committee under article 6 of the Optional Protocol to the Convention</w:t>
      </w:r>
      <w:r>
        <w:rPr>
          <w:rFonts w:ascii="Arial" w:hAnsi="Arial" w:cs="Arial"/>
          <w:sz w:val="22"/>
        </w:rPr>
        <w:t xml:space="preserve">. CRPD/C/15/4. Available at: </w:t>
      </w:r>
      <w:hyperlink r:id="rId24" w:history="1">
        <w:r>
          <w:rPr>
            <w:rFonts w:ascii="Arial" w:hAnsi="Arial" w:cs="Arial"/>
            <w:color w:val="0563C1"/>
            <w:sz w:val="22"/>
            <w:u w:val="single"/>
          </w:rPr>
          <w:t>https://digitallibrary.un.org/record/1311200</w:t>
        </w:r>
      </w:hyperlink>
      <w:r>
        <w:rPr>
          <w:rFonts w:ascii="Arial" w:hAnsi="Arial" w:cs="Arial"/>
          <w:sz w:val="22"/>
        </w:rPr>
        <w:t xml:space="preserve"> (Accessed: 15 October 2026).</w:t>
      </w:r>
    </w:p>
    <w:p w14:paraId="0188AE03" w14:textId="77777777" w:rsidR="001B71F2" w:rsidRDefault="00000000">
      <w:pPr>
        <w:keepLines/>
        <w:spacing w:line="360" w:lineRule="auto"/>
      </w:pPr>
      <w:r>
        <w:rPr>
          <w:rFonts w:ascii="Arial" w:hAnsi="Arial" w:cs="Arial"/>
          <w:sz w:val="22"/>
        </w:rPr>
        <w:t xml:space="preserve">White, A., Sheehan, R., </w:t>
      </w:r>
      <w:proofErr w:type="spellStart"/>
      <w:r>
        <w:rPr>
          <w:rFonts w:ascii="Arial" w:hAnsi="Arial" w:cs="Arial"/>
          <w:sz w:val="22"/>
        </w:rPr>
        <w:t>Ditzel</w:t>
      </w:r>
      <w:proofErr w:type="spellEnd"/>
      <w:r>
        <w:rPr>
          <w:rFonts w:ascii="Arial" w:hAnsi="Arial" w:cs="Arial"/>
          <w:sz w:val="22"/>
        </w:rPr>
        <w:t xml:space="preserve">, N., Ding, J., Roberts, C., Magill, N., Yu, M.K.L., Keagan-Bull, R., Chauhan, U., </w:t>
      </w:r>
      <w:proofErr w:type="spellStart"/>
      <w:r>
        <w:rPr>
          <w:rFonts w:ascii="Arial" w:hAnsi="Arial" w:cs="Arial"/>
          <w:sz w:val="22"/>
        </w:rPr>
        <w:t>Tuffrey-Wijne</w:t>
      </w:r>
      <w:proofErr w:type="spellEnd"/>
      <w:r>
        <w:rPr>
          <w:rFonts w:ascii="Arial" w:hAnsi="Arial" w:cs="Arial"/>
          <w:sz w:val="22"/>
        </w:rPr>
        <w:t xml:space="preserve">, I. and Strydom, A. (2024) </w:t>
      </w:r>
      <w:r>
        <w:rPr>
          <w:rFonts w:ascii="Arial" w:hAnsi="Arial" w:cs="Arial"/>
          <w:i/>
          <w:iCs/>
          <w:sz w:val="22"/>
        </w:rPr>
        <w:t>Learning from lives and deaths: people with a learning disability and autistic people (</w:t>
      </w:r>
      <w:proofErr w:type="spellStart"/>
      <w:r>
        <w:rPr>
          <w:rFonts w:ascii="Arial" w:hAnsi="Arial" w:cs="Arial"/>
          <w:i/>
          <w:iCs/>
          <w:sz w:val="22"/>
        </w:rPr>
        <w:t>LeDeR</w:t>
      </w:r>
      <w:proofErr w:type="spellEnd"/>
      <w:r>
        <w:rPr>
          <w:rFonts w:ascii="Arial" w:hAnsi="Arial" w:cs="Arial"/>
          <w:i/>
          <w:iCs/>
          <w:sz w:val="22"/>
        </w:rPr>
        <w:t>) report for 2023</w:t>
      </w:r>
      <w:r>
        <w:rPr>
          <w:rFonts w:ascii="Arial" w:hAnsi="Arial" w:cs="Arial"/>
          <w:sz w:val="22"/>
        </w:rPr>
        <w:t xml:space="preserve">. London: King’s College London. Available at: </w:t>
      </w:r>
      <w:hyperlink r:id="rId25" w:history="1">
        <w:r>
          <w:rPr>
            <w:rFonts w:ascii="Arial" w:hAnsi="Arial" w:cs="Arial"/>
            <w:color w:val="0563C1"/>
            <w:sz w:val="22"/>
            <w:u w:val="single"/>
          </w:rPr>
          <w:t>https://www.kcl.ac.uk/ioppn/assets/pdfs/leder/leder-annual-report-2023.pdf</w:t>
        </w:r>
      </w:hyperlink>
      <w:r>
        <w:rPr>
          <w:rFonts w:ascii="Arial" w:hAnsi="Arial" w:cs="Arial"/>
          <w:sz w:val="22"/>
        </w:rPr>
        <w:t xml:space="preserve"> (Accessed: 15 October 2026).</w:t>
      </w:r>
    </w:p>
    <w:p w14:paraId="73885273" w14:textId="77777777" w:rsidR="001B71F2" w:rsidRDefault="00000000">
      <w:pPr>
        <w:keepLines/>
        <w:spacing w:line="360" w:lineRule="auto"/>
      </w:pPr>
      <w:r>
        <w:rPr>
          <w:rFonts w:ascii="Arial" w:hAnsi="Arial" w:cs="Arial"/>
          <w:sz w:val="22"/>
        </w:rPr>
        <w:lastRenderedPageBreak/>
        <w:t xml:space="preserve">World Health Organization [WHO] (2001) </w:t>
      </w:r>
      <w:r>
        <w:rPr>
          <w:rFonts w:ascii="Arial" w:hAnsi="Arial" w:cs="Arial"/>
          <w:i/>
          <w:iCs/>
          <w:sz w:val="22"/>
        </w:rPr>
        <w:t>International classification of functioning, disability and health: ICF</w:t>
      </w:r>
      <w:r>
        <w:rPr>
          <w:rFonts w:ascii="Arial" w:hAnsi="Arial" w:cs="Arial"/>
          <w:sz w:val="22"/>
        </w:rPr>
        <w:t>. Geneva: World Health Organization.</w:t>
      </w:r>
    </w:p>
    <w:sectPr w:rsidR="001B71F2">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D269C9" w14:textId="77777777" w:rsidR="00872F62" w:rsidRDefault="00872F62" w:rsidP="00032A5B">
      <w:pPr>
        <w:spacing w:after="0" w:line="240" w:lineRule="auto"/>
      </w:pPr>
      <w:r>
        <w:separator/>
      </w:r>
    </w:p>
  </w:endnote>
  <w:endnote w:type="continuationSeparator" w:id="0">
    <w:p w14:paraId="23BF5D1D" w14:textId="77777777" w:rsidR="00872F62" w:rsidRDefault="00872F62" w:rsidP="0003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16E890" w14:textId="77777777" w:rsidR="001B71F2" w:rsidRDefault="00000000">
    <w:pPr>
      <w:jc w:val="center"/>
    </w:pPr>
    <w:r>
      <w:rPr>
        <w:rFonts w:ascii="Arial" w:hAnsi="Arial" w:cs="Arial"/>
        <w:sz w:val="20"/>
        <w:szCs w:val="20"/>
      </w:rPr>
      <w:t xml:space="preserve">Page </w:t>
    </w:r>
    <w:r>
      <w:rPr>
        <w:rFonts w:ascii="Arial" w:hAnsi="Arial" w:cs="Arial"/>
        <w:sz w:val="20"/>
        <w:szCs w:val="20"/>
      </w:rPr>
      <w:fldChar w:fldCharType="begin"/>
    </w:r>
    <w:r>
      <w:rPr>
        <w:rFonts w:ascii="Arial" w:hAnsi="Arial" w:cs="Arial"/>
        <w:sz w:val="20"/>
        <w:szCs w:val="20"/>
      </w:rPr>
      <w:instrText xml:space="preserve"> PAGE </w:instrText>
    </w:r>
    <w:r>
      <w:rPr>
        <w:rFonts w:ascii="Arial" w:hAnsi="Arial" w:cs="Arial"/>
        <w:sz w:val="20"/>
        <w:szCs w:val="20"/>
      </w:rPr>
      <w:fldChar w:fldCharType="separate"/>
    </w:r>
    <w:r>
      <w:rPr>
        <w:rFonts w:ascii="Arial" w:hAnsi="Arial" w:cs="Arial"/>
        <w:sz w:val="20"/>
        <w:szCs w:val="20"/>
      </w:rPr>
      <w:t>1</w:t>
    </w:r>
    <w:r>
      <w:rPr>
        <w:rFonts w:ascii="Arial" w:hAnsi="Arial" w:cs="Arial"/>
        <w:sz w:val="20"/>
        <w:szCs w:val="20"/>
      </w:rPr>
      <w:fldChar w:fldCharType="end"/>
    </w:r>
    <w:r>
      <w:rPr>
        <w:rFonts w:ascii="Arial" w:hAnsi="Arial" w:cs="Arial"/>
        <w:sz w:val="20"/>
        <w:szCs w:val="20"/>
      </w:rPr>
      <w:t xml:space="preserve"> of </w:t>
    </w:r>
    <w:r>
      <w:rPr>
        <w:rFonts w:ascii="Arial" w:hAnsi="Arial" w:cs="Arial"/>
        <w:sz w:val="20"/>
        <w:szCs w:val="20"/>
      </w:rPr>
      <w:fldChar w:fldCharType="begin"/>
    </w:r>
    <w:r>
      <w:rPr>
        <w:rFonts w:ascii="Arial" w:hAnsi="Arial" w:cs="Arial"/>
        <w:sz w:val="20"/>
        <w:szCs w:val="20"/>
      </w:rPr>
      <w:instrText xml:space="preserve"> NUMPAGES </w:instrText>
    </w:r>
    <w:r>
      <w:rPr>
        <w:rFonts w:ascii="Arial" w:hAnsi="Arial" w:cs="Arial"/>
        <w:sz w:val="20"/>
        <w:szCs w:val="20"/>
      </w:rPr>
      <w:fldChar w:fldCharType="separate"/>
    </w:r>
    <w:r>
      <w:rPr>
        <w:rFonts w:ascii="Arial" w:hAnsi="Arial" w:cs="Arial"/>
        <w:sz w:val="20"/>
        <w:szCs w:val="20"/>
      </w:rPr>
      <w:t>1</w:t>
    </w:r>
    <w:r>
      <w:rPr>
        <w:rFonts w:ascii="Arial" w:hAnsi="Arial" w:cs="Arial"/>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A3A05D" w14:textId="77777777" w:rsidR="00872F62" w:rsidRDefault="00872F62" w:rsidP="00032A5B">
      <w:pPr>
        <w:spacing w:after="0" w:line="240" w:lineRule="auto"/>
      </w:pPr>
      <w:r>
        <w:separator/>
      </w:r>
    </w:p>
  </w:footnote>
  <w:footnote w:type="continuationSeparator" w:id="0">
    <w:p w14:paraId="33A11F02" w14:textId="77777777" w:rsidR="00872F62" w:rsidRDefault="00872F62" w:rsidP="00032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8033883">
    <w:abstractNumId w:val="3"/>
  </w:num>
  <w:num w:numId="2" w16cid:durableId="284190545">
    <w:abstractNumId w:val="1"/>
  </w:num>
  <w:num w:numId="3" w16cid:durableId="438063825">
    <w:abstractNumId w:val="0"/>
  </w:num>
  <w:num w:numId="4" w16cid:durableId="16812721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58B0"/>
    <w:rsid w:val="00032A5B"/>
    <w:rsid w:val="00114F9F"/>
    <w:rsid w:val="001333C2"/>
    <w:rsid w:val="001410D0"/>
    <w:rsid w:val="00182403"/>
    <w:rsid w:val="001B71F2"/>
    <w:rsid w:val="00317E3D"/>
    <w:rsid w:val="0032791E"/>
    <w:rsid w:val="003E4ED4"/>
    <w:rsid w:val="004A5A64"/>
    <w:rsid w:val="0058218C"/>
    <w:rsid w:val="006524ED"/>
    <w:rsid w:val="006A3E63"/>
    <w:rsid w:val="006D2F2D"/>
    <w:rsid w:val="006E1FF9"/>
    <w:rsid w:val="00785886"/>
    <w:rsid w:val="007F3A6A"/>
    <w:rsid w:val="00872F62"/>
    <w:rsid w:val="009E71F3"/>
    <w:rsid w:val="00A14675"/>
    <w:rsid w:val="00A86EE0"/>
    <w:rsid w:val="00B429E6"/>
    <w:rsid w:val="00BC79FE"/>
    <w:rsid w:val="00C558B0"/>
    <w:rsid w:val="00C83C4A"/>
    <w:rsid w:val="00D545BA"/>
    <w:rsid w:val="00E81204"/>
    <w:rsid w:val="00E9668F"/>
    <w:rsid w:val="00F81510"/>
    <w:rsid w:val="00FA1054"/>
    <w:rsid w:val="00FA2DAE"/>
    <w:rsid w:val="00FA62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8346D3"/>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A5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319254">
      <w:bodyDiv w:val="1"/>
      <w:marLeft w:val="0"/>
      <w:marRight w:val="0"/>
      <w:marTop w:val="0"/>
      <w:marBottom w:val="0"/>
      <w:divBdr>
        <w:top w:val="none" w:sz="0" w:space="0" w:color="auto"/>
        <w:left w:val="none" w:sz="0" w:space="0" w:color="auto"/>
        <w:bottom w:val="none" w:sz="0" w:space="0" w:color="auto"/>
        <w:right w:val="none" w:sz="0" w:space="0" w:color="auto"/>
      </w:divBdr>
    </w:div>
    <w:div w:id="465778622">
      <w:bodyDiv w:val="1"/>
      <w:marLeft w:val="0"/>
      <w:marRight w:val="0"/>
      <w:marTop w:val="0"/>
      <w:marBottom w:val="0"/>
      <w:divBdr>
        <w:top w:val="none" w:sz="0" w:space="0" w:color="auto"/>
        <w:left w:val="none" w:sz="0" w:space="0" w:color="auto"/>
        <w:bottom w:val="none" w:sz="0" w:space="0" w:color="auto"/>
        <w:right w:val="none" w:sz="0" w:space="0" w:color="auto"/>
      </w:divBdr>
    </w:div>
    <w:div w:id="1795905931">
      <w:bodyDiv w:val="1"/>
      <w:marLeft w:val="0"/>
      <w:marRight w:val="0"/>
      <w:marTop w:val="0"/>
      <w:marBottom w:val="0"/>
      <w:divBdr>
        <w:top w:val="none" w:sz="0" w:space="0" w:color="auto"/>
        <w:left w:val="none" w:sz="0" w:space="0" w:color="auto"/>
        <w:bottom w:val="none" w:sz="0" w:space="0" w:color="auto"/>
        <w:right w:val="none" w:sz="0" w:space="0" w:color="auto"/>
      </w:divBdr>
    </w:div>
    <w:div w:id="1867254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legislation.gov.uk/ukpga/2010/15/section/20" TargetMode="External"/><Relationship Id="rId18" Type="http://schemas.openxmlformats.org/officeDocument/2006/relationships/hyperlink" Target="https://www.standards.nhs.uk/published-standards/accessible-information"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doi.org/10.1016/S1479-3547(01)80018-X" TargetMode="External"/><Relationship Id="rId7" Type="http://schemas.openxmlformats.org/officeDocument/2006/relationships/image" Target="media/image1.png"/><Relationship Id="rId12" Type="http://schemas.openxmlformats.org/officeDocument/2006/relationships/hyperlink" Target="https://www.disabilitywales.org/wp-content/uploads/2024/06/SMD-Toolkit.pdf" TargetMode="External"/><Relationship Id="rId17" Type="http://schemas.openxmlformats.org/officeDocument/2006/relationships/hyperlink" Target="https://www.legislation.gov.uk/ukpga/2022/31/contents" TargetMode="External"/><Relationship Id="rId25" Type="http://schemas.openxmlformats.org/officeDocument/2006/relationships/hyperlink" Target="https://www.kcl.ac.uk/ioppn/assets/pdfs/leder/leder-annual-report-2023.pdf" TargetMode="External"/><Relationship Id="rId2" Type="http://schemas.openxmlformats.org/officeDocument/2006/relationships/styles" Target="styles.xml"/><Relationship Id="rId16" Type="http://schemas.openxmlformats.org/officeDocument/2006/relationships/hyperlink" Target="https://www.gov.uk/government/collections/mandatory-training-on-learning-disability-and-autism" TargetMode="External"/><Relationship Id="rId20" Type="http://schemas.openxmlformats.org/officeDocument/2006/relationships/hyperlink" Target="https://doi.org/10.1111/1467-9566.1219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isabilityrightsuk.org/news/no-progress-2016-grave-and-systemic-violations-disabled-peoples-rights-un-report-says" TargetMode="External"/><Relationship Id="rId24" Type="http://schemas.openxmlformats.org/officeDocument/2006/relationships/hyperlink" Target="https://digitallibrary.un.org/record/1311200" TargetMode="External"/><Relationship Id="rId5" Type="http://schemas.openxmlformats.org/officeDocument/2006/relationships/footnotes" Target="footnotes.xml"/><Relationship Id="rId15" Type="http://schemas.openxmlformats.org/officeDocument/2006/relationships/hyperlink" Target="https://www.gov.uk/definition-of-disability-under-equality-act-2010" TargetMode="External"/><Relationship Id="rId23" Type="http://schemas.openxmlformats.org/officeDocument/2006/relationships/hyperlink" Target="https://social.desa.un.org/issues/disability/crpd/preamble" TargetMode="External"/><Relationship Id="rId28" Type="http://schemas.openxmlformats.org/officeDocument/2006/relationships/theme" Target="theme/theme1.xml"/><Relationship Id="rId10" Type="http://schemas.openxmlformats.org/officeDocument/2006/relationships/hyperlink" Target="https://disability-studies.leeds.ac.uk/publications/exploring-the-divide/" TargetMode="External"/><Relationship Id="rId19" Type="http://schemas.openxmlformats.org/officeDocument/2006/relationships/hyperlink" Target="https://www.england.nhs.uk/learning-disabilities/improving-health/reasonable-adjustments/" TargetMode="External"/><Relationship Id="rId4" Type="http://schemas.openxmlformats.org/officeDocument/2006/relationships/webSettings" Target="webSettings.xml"/><Relationship Id="rId9" Type="http://schemas.openxmlformats.org/officeDocument/2006/relationships/hyperlink" Target="https://www.legislation.gov.uk/ukpga/2014/23/section/1" TargetMode="External"/><Relationship Id="rId14" Type="http://schemas.openxmlformats.org/officeDocument/2006/relationships/hyperlink" Target="https://www.equalityhumanrights.com/guidance/codes-practice/code-practice-services-public-functions-and-associations/chapter-seven" TargetMode="External"/><Relationship Id="rId22" Type="http://schemas.openxmlformats.org/officeDocument/2006/relationships/hyperlink" Target="https://disability-studies.leeds.ac.uk/wp-content/uploads/sites/40/library/UPIAS-fundamental-principles.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2226</Words>
  <Characters>17456</Characters>
  <Application>Microsoft Office Word</Application>
  <DocSecurity>0</DocSecurity>
  <Lines>349</Lines>
  <Paragraphs>158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Bianca Sanfilippo</cp:lastModifiedBy>
  <cp:revision>2</cp:revision>
  <dcterms:created xsi:type="dcterms:W3CDTF">2026-10-15T12:48:00Z</dcterms:created>
  <dcterms:modified xsi:type="dcterms:W3CDTF">2026-10-15T12:48:00Z</dcterms:modified>
</cp:coreProperties>
</file>