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EB98F11" w14:textId="71E5DDB7" w:rsidR="00B73427" w:rsidRDefault="001E3A55" w:rsidP="00B07263">
      <w:pPr>
        <w:spacing w:line="360" w:lineRule="auto"/>
        <w:ind w:firstLine="720"/>
        <w:rPr>
          <w:rFonts w:ascii="Times New Roman" w:hAnsi="Times New Roman" w:cs="Times New Roman"/>
        </w:rPr>
      </w:pPr>
      <w:r w:rsidRPr="00B36AA1">
        <w:rPr>
          <w:rFonts w:ascii="Times New Roman" w:hAnsi="Times New Roman" w:cs="Times New Roman"/>
        </w:rPr>
        <w:t>To understand the textual extra</w:t>
      </w:r>
      <w:r w:rsidR="001904C4">
        <w:rPr>
          <w:rFonts w:ascii="Times New Roman" w:hAnsi="Times New Roman" w:cs="Times New Roman"/>
        </w:rPr>
        <w:t>ct</w:t>
      </w:r>
      <w:r w:rsidRPr="00B36AA1">
        <w:rPr>
          <w:rFonts w:ascii="Times New Roman" w:hAnsi="Times New Roman" w:cs="Times New Roman"/>
        </w:rPr>
        <w:t xml:space="preserve"> in a wider context knowing more on who Geoffrey Malaterra is – is essential. </w:t>
      </w:r>
      <w:r w:rsidR="00C924E7" w:rsidRPr="00B36AA1">
        <w:rPr>
          <w:rFonts w:ascii="Times New Roman" w:hAnsi="Times New Roman" w:cs="Times New Roman"/>
        </w:rPr>
        <w:t>Firstly,</w:t>
      </w:r>
      <w:r w:rsidRPr="00B36AA1">
        <w:rPr>
          <w:rFonts w:ascii="Times New Roman" w:hAnsi="Times New Roman" w:cs="Times New Roman"/>
        </w:rPr>
        <w:t xml:space="preserve"> </w:t>
      </w:r>
      <w:r w:rsidR="00C924E7" w:rsidRPr="00B36AA1">
        <w:rPr>
          <w:rFonts w:ascii="Times New Roman" w:hAnsi="Times New Roman" w:cs="Times New Roman"/>
        </w:rPr>
        <w:t>there is an argument that he may have come from Normandy</w:t>
      </w:r>
      <w:r w:rsidR="00C924E7" w:rsidRPr="00B36AA1">
        <w:rPr>
          <w:rStyle w:val="FootnoteReference"/>
          <w:rFonts w:ascii="Times New Roman" w:hAnsi="Times New Roman" w:cs="Times New Roman"/>
        </w:rPr>
        <w:footnoteReference w:id="1"/>
      </w:r>
      <w:r w:rsidR="00C924E7" w:rsidRPr="00B36AA1">
        <w:rPr>
          <w:rFonts w:ascii="Times New Roman" w:hAnsi="Times New Roman" w:cs="Times New Roman"/>
        </w:rPr>
        <w:t xml:space="preserve">, </w:t>
      </w:r>
      <w:r w:rsidR="008A1B3C" w:rsidRPr="00B36AA1">
        <w:rPr>
          <w:rFonts w:ascii="Times New Roman" w:hAnsi="Times New Roman" w:cs="Times New Roman"/>
        </w:rPr>
        <w:t xml:space="preserve">This is </w:t>
      </w:r>
      <w:r w:rsidR="008341C2" w:rsidRPr="00B36AA1">
        <w:rPr>
          <w:rFonts w:ascii="Times New Roman" w:hAnsi="Times New Roman" w:cs="Times New Roman"/>
        </w:rPr>
        <w:t xml:space="preserve">inferred in the source as Geoffrey Malaterra in his letter to Angerius Bishop of the Catanians </w:t>
      </w:r>
      <w:r w:rsidR="00081518" w:rsidRPr="00B36AA1">
        <w:rPr>
          <w:rFonts w:ascii="Times New Roman" w:hAnsi="Times New Roman" w:cs="Times New Roman"/>
        </w:rPr>
        <w:t>that he comes from</w:t>
      </w:r>
      <w:r w:rsidR="00915742" w:rsidRPr="00B36AA1">
        <w:rPr>
          <w:rFonts w:ascii="Times New Roman" w:hAnsi="Times New Roman" w:cs="Times New Roman"/>
        </w:rPr>
        <w:t xml:space="preserve"> a region beyond the Alps, however this is merely suggestive</w:t>
      </w:r>
      <w:r w:rsidR="00FC1340">
        <w:rPr>
          <w:rFonts w:ascii="Times New Roman" w:hAnsi="Times New Roman" w:cs="Times New Roman"/>
        </w:rPr>
        <w:t xml:space="preserve"> as there are other regions </w:t>
      </w:r>
      <w:r w:rsidR="008F50C5">
        <w:rPr>
          <w:rFonts w:ascii="Times New Roman" w:hAnsi="Times New Roman" w:cs="Times New Roman"/>
        </w:rPr>
        <w:t>in which he may have originated</w:t>
      </w:r>
      <w:r w:rsidR="00915742" w:rsidRPr="00B36AA1">
        <w:rPr>
          <w:rFonts w:ascii="Times New Roman" w:hAnsi="Times New Roman" w:cs="Times New Roman"/>
        </w:rPr>
        <w:t>.</w:t>
      </w:r>
      <w:r w:rsidR="003876C7">
        <w:rPr>
          <w:rFonts w:ascii="Times New Roman" w:hAnsi="Times New Roman" w:cs="Times New Roman"/>
        </w:rPr>
        <w:t xml:space="preserve"> </w:t>
      </w:r>
      <w:r w:rsidR="006D542D">
        <w:rPr>
          <w:rFonts w:ascii="Times New Roman" w:hAnsi="Times New Roman" w:cs="Times New Roman"/>
        </w:rPr>
        <w:t>E. Johnson uses this passage as evidence that Geoffrey may have been Norman</w:t>
      </w:r>
      <w:r w:rsidR="0068351B">
        <w:rPr>
          <w:rStyle w:val="FootnoteReference"/>
          <w:rFonts w:ascii="Times New Roman" w:hAnsi="Times New Roman" w:cs="Times New Roman"/>
        </w:rPr>
        <w:footnoteReference w:id="2"/>
      </w:r>
      <w:r w:rsidR="006D542D">
        <w:rPr>
          <w:rFonts w:ascii="Times New Roman" w:hAnsi="Times New Roman" w:cs="Times New Roman"/>
        </w:rPr>
        <w:t>. However, this passage alone is unclear.</w:t>
      </w:r>
      <w:r w:rsidR="007A2BD9">
        <w:rPr>
          <w:rFonts w:ascii="Times New Roman" w:hAnsi="Times New Roman" w:cs="Times New Roman"/>
        </w:rPr>
        <w:t xml:space="preserve"> T</w:t>
      </w:r>
      <w:r w:rsidR="003E2099">
        <w:rPr>
          <w:rFonts w:ascii="Times New Roman" w:hAnsi="Times New Roman" w:cs="Times New Roman"/>
        </w:rPr>
        <w:t>here are other scholars who believe this to be far to</w:t>
      </w:r>
      <w:r w:rsidR="00E01048">
        <w:rPr>
          <w:rFonts w:ascii="Times New Roman" w:hAnsi="Times New Roman" w:cs="Times New Roman"/>
        </w:rPr>
        <w:t>o</w:t>
      </w:r>
      <w:r w:rsidR="003E2099">
        <w:rPr>
          <w:rFonts w:ascii="Times New Roman" w:hAnsi="Times New Roman" w:cs="Times New Roman"/>
        </w:rPr>
        <w:t xml:space="preserve"> </w:t>
      </w:r>
      <w:r w:rsidR="0013210C">
        <w:rPr>
          <w:rFonts w:ascii="Times New Roman" w:hAnsi="Times New Roman" w:cs="Times New Roman"/>
        </w:rPr>
        <w:t>unclear</w:t>
      </w:r>
      <w:r w:rsidR="003E2099">
        <w:rPr>
          <w:rFonts w:ascii="Times New Roman" w:hAnsi="Times New Roman" w:cs="Times New Roman"/>
        </w:rPr>
        <w:t xml:space="preserve"> to infer Geoffrey was a Norman</w:t>
      </w:r>
      <w:r w:rsidR="00624EF3">
        <w:rPr>
          <w:rStyle w:val="FootnoteReference"/>
          <w:rFonts w:ascii="Times New Roman" w:hAnsi="Times New Roman" w:cs="Times New Roman"/>
        </w:rPr>
        <w:footnoteReference w:id="3"/>
      </w:r>
      <w:r w:rsidR="003E2099">
        <w:rPr>
          <w:rFonts w:ascii="Times New Roman" w:hAnsi="Times New Roman" w:cs="Times New Roman"/>
        </w:rPr>
        <w:t>, as he could have been Frankish</w:t>
      </w:r>
      <w:r w:rsidR="008F50C5">
        <w:rPr>
          <w:rFonts w:ascii="Times New Roman" w:hAnsi="Times New Roman" w:cs="Times New Roman"/>
        </w:rPr>
        <w:t>.</w:t>
      </w:r>
      <w:r w:rsidR="00AA37D7">
        <w:rPr>
          <w:rFonts w:ascii="Times New Roman" w:hAnsi="Times New Roman" w:cs="Times New Roman"/>
        </w:rPr>
        <w:t xml:space="preserve"> </w:t>
      </w:r>
      <w:r w:rsidR="000D0C8F">
        <w:rPr>
          <w:rFonts w:ascii="Times New Roman" w:hAnsi="Times New Roman" w:cs="Times New Roman"/>
        </w:rPr>
        <w:t xml:space="preserve">However </w:t>
      </w:r>
      <w:r w:rsidR="0029049B">
        <w:rPr>
          <w:rFonts w:ascii="Times New Roman" w:hAnsi="Times New Roman" w:cs="Times New Roman"/>
        </w:rPr>
        <w:t xml:space="preserve">if </w:t>
      </w:r>
      <w:r w:rsidR="0085691E">
        <w:rPr>
          <w:rFonts w:ascii="Times New Roman" w:hAnsi="Times New Roman" w:cs="Times New Roman"/>
        </w:rPr>
        <w:t xml:space="preserve">we </w:t>
      </w:r>
      <w:r w:rsidR="00A80B31">
        <w:rPr>
          <w:rFonts w:ascii="Times New Roman" w:hAnsi="Times New Roman" w:cs="Times New Roman"/>
        </w:rPr>
        <w:t>suppose</w:t>
      </w:r>
      <w:r w:rsidR="0085691E">
        <w:rPr>
          <w:rFonts w:ascii="Times New Roman" w:hAnsi="Times New Roman" w:cs="Times New Roman"/>
        </w:rPr>
        <w:t xml:space="preserve"> </w:t>
      </w:r>
      <w:r w:rsidR="00E04385">
        <w:rPr>
          <w:rFonts w:ascii="Times New Roman" w:hAnsi="Times New Roman" w:cs="Times New Roman"/>
        </w:rPr>
        <w:t xml:space="preserve">that he was Norman </w:t>
      </w:r>
      <w:r w:rsidR="0085691E">
        <w:rPr>
          <w:rFonts w:ascii="Times New Roman" w:hAnsi="Times New Roman" w:cs="Times New Roman"/>
        </w:rPr>
        <w:t xml:space="preserve">it </w:t>
      </w:r>
      <w:r w:rsidR="00C924E7" w:rsidRPr="00B36AA1">
        <w:rPr>
          <w:rFonts w:ascii="Times New Roman" w:hAnsi="Times New Roman" w:cs="Times New Roman"/>
        </w:rPr>
        <w:t>giv</w:t>
      </w:r>
      <w:r w:rsidR="001904C4">
        <w:rPr>
          <w:rFonts w:ascii="Times New Roman" w:hAnsi="Times New Roman" w:cs="Times New Roman"/>
        </w:rPr>
        <w:t xml:space="preserve">es a </w:t>
      </w:r>
      <w:r w:rsidR="00915742" w:rsidRPr="00B36AA1">
        <w:rPr>
          <w:rFonts w:ascii="Times New Roman" w:hAnsi="Times New Roman" w:cs="Times New Roman"/>
        </w:rPr>
        <w:t>potential</w:t>
      </w:r>
      <w:r w:rsidR="00C924E7" w:rsidRPr="00B36AA1">
        <w:rPr>
          <w:rFonts w:ascii="Times New Roman" w:hAnsi="Times New Roman" w:cs="Times New Roman"/>
        </w:rPr>
        <w:t xml:space="preserve"> bias to the source</w:t>
      </w:r>
      <w:r w:rsidR="00915742" w:rsidRPr="00B36AA1">
        <w:rPr>
          <w:rStyle w:val="FootnoteReference"/>
          <w:rFonts w:ascii="Times New Roman" w:hAnsi="Times New Roman" w:cs="Times New Roman"/>
        </w:rPr>
        <w:footnoteReference w:id="4"/>
      </w:r>
      <w:r w:rsidR="00C924E7" w:rsidRPr="00B36AA1">
        <w:rPr>
          <w:rFonts w:ascii="Times New Roman" w:hAnsi="Times New Roman" w:cs="Times New Roman"/>
        </w:rPr>
        <w:t>. Kenneth Baxter Wolf also suggested that it is likely Geoffrey Malaterra came to Sicily under Duke Roger’s ecclesiastical reform and served as a monk in St Agatha monastery under Abbot Angerius</w:t>
      </w:r>
      <w:r w:rsidR="00C924E7" w:rsidRPr="00B36AA1">
        <w:rPr>
          <w:rStyle w:val="FootnoteReference"/>
          <w:rFonts w:ascii="Times New Roman" w:hAnsi="Times New Roman" w:cs="Times New Roman"/>
        </w:rPr>
        <w:footnoteReference w:id="5"/>
      </w:r>
      <w:r w:rsidR="00FD4675">
        <w:rPr>
          <w:rFonts w:ascii="Times New Roman" w:hAnsi="Times New Roman" w:cs="Times New Roman"/>
        </w:rPr>
        <w:t xml:space="preserve"> </w:t>
      </w:r>
      <w:r w:rsidR="00FD4675" w:rsidRPr="00B36AA1">
        <w:rPr>
          <w:rFonts w:ascii="Times New Roman" w:hAnsi="Times New Roman" w:cs="Times New Roman"/>
        </w:rPr>
        <w:t>–</w:t>
      </w:r>
      <w:r w:rsidR="00FD4675">
        <w:rPr>
          <w:rFonts w:ascii="Times New Roman" w:hAnsi="Times New Roman" w:cs="Times New Roman"/>
        </w:rPr>
        <w:t xml:space="preserve"> which</w:t>
      </w:r>
      <w:r w:rsidR="00C924E7" w:rsidRPr="00B36AA1">
        <w:rPr>
          <w:rFonts w:ascii="Times New Roman" w:hAnsi="Times New Roman" w:cs="Times New Roman"/>
        </w:rPr>
        <w:t xml:space="preserve"> is also suggested in the original source as</w:t>
      </w:r>
      <w:r w:rsidR="009211F3" w:rsidRPr="00B36AA1">
        <w:rPr>
          <w:rFonts w:ascii="Times New Roman" w:hAnsi="Times New Roman" w:cs="Times New Roman"/>
        </w:rPr>
        <w:t xml:space="preserve"> a letter was written to Angerius the Bishop of the Catanians</w:t>
      </w:r>
      <w:r w:rsidR="00521D53">
        <w:rPr>
          <w:rStyle w:val="FootnoteReference"/>
          <w:rFonts w:ascii="Times New Roman" w:hAnsi="Times New Roman" w:cs="Times New Roman"/>
        </w:rPr>
        <w:footnoteReference w:id="6"/>
      </w:r>
      <w:r w:rsidR="002A65CA">
        <w:rPr>
          <w:rFonts w:ascii="Times New Roman" w:hAnsi="Times New Roman" w:cs="Times New Roman"/>
        </w:rPr>
        <w:t xml:space="preserve"> </w:t>
      </w:r>
      <w:r w:rsidR="00644FDB">
        <w:rPr>
          <w:rFonts w:ascii="Times New Roman" w:hAnsi="Times New Roman" w:cs="Times New Roman"/>
        </w:rPr>
        <w:t>This also infers more to Geoffrey originally coming from Normandy</w:t>
      </w:r>
      <w:r w:rsidR="007C4490">
        <w:rPr>
          <w:rFonts w:ascii="Times New Roman" w:hAnsi="Times New Roman" w:cs="Times New Roman"/>
        </w:rPr>
        <w:t xml:space="preserve"> </w:t>
      </w:r>
      <w:r w:rsidR="005343C2">
        <w:rPr>
          <w:rFonts w:ascii="Times New Roman" w:hAnsi="Times New Roman" w:cs="Times New Roman"/>
        </w:rPr>
        <w:t>creating the narrative to appear more likely despite not having a clear source that</w:t>
      </w:r>
      <w:r w:rsidR="007C1B9E">
        <w:rPr>
          <w:rFonts w:ascii="Times New Roman" w:hAnsi="Times New Roman" w:cs="Times New Roman"/>
        </w:rPr>
        <w:t xml:space="preserve"> suggests Geoffrey Malaterra’s origins. </w:t>
      </w:r>
      <w:r w:rsidR="00ED694D">
        <w:rPr>
          <w:rFonts w:ascii="Times New Roman" w:hAnsi="Times New Roman" w:cs="Times New Roman"/>
        </w:rPr>
        <w:t xml:space="preserve">In the textual extract Geoffrey Malaterra </w:t>
      </w:r>
      <w:r w:rsidR="002C0D9F">
        <w:rPr>
          <w:rFonts w:ascii="Times New Roman" w:hAnsi="Times New Roman" w:cs="Times New Roman"/>
        </w:rPr>
        <w:t>quotes Sallust</w:t>
      </w:r>
      <w:r w:rsidR="002C0D9F">
        <w:rPr>
          <w:rStyle w:val="FootnoteReference"/>
          <w:rFonts w:ascii="Times New Roman" w:hAnsi="Times New Roman" w:cs="Times New Roman"/>
        </w:rPr>
        <w:footnoteReference w:id="7"/>
      </w:r>
      <w:r w:rsidR="002C0D9F">
        <w:rPr>
          <w:rFonts w:ascii="Times New Roman" w:hAnsi="Times New Roman" w:cs="Times New Roman"/>
        </w:rPr>
        <w:t xml:space="preserve">. </w:t>
      </w:r>
      <w:r w:rsidR="007313A9">
        <w:rPr>
          <w:rFonts w:ascii="Times New Roman" w:hAnsi="Times New Roman" w:cs="Times New Roman"/>
        </w:rPr>
        <w:t xml:space="preserve">Sallust was a Latin historian </w:t>
      </w:r>
      <w:r w:rsidR="00491636">
        <w:rPr>
          <w:rFonts w:ascii="Times New Roman" w:hAnsi="Times New Roman" w:cs="Times New Roman"/>
        </w:rPr>
        <w:t xml:space="preserve">and politician </w:t>
      </w:r>
      <w:r w:rsidR="007313A9">
        <w:rPr>
          <w:rFonts w:ascii="Times New Roman" w:hAnsi="Times New Roman" w:cs="Times New Roman"/>
        </w:rPr>
        <w:t xml:space="preserve">from </w:t>
      </w:r>
      <w:r w:rsidR="00491636">
        <w:rPr>
          <w:rFonts w:ascii="Times New Roman" w:hAnsi="Times New Roman" w:cs="Times New Roman"/>
        </w:rPr>
        <w:t>86 BCE – 35 BCE under the Roman Republic</w:t>
      </w:r>
      <w:r w:rsidR="00491636">
        <w:rPr>
          <w:rStyle w:val="FootnoteReference"/>
          <w:rFonts w:ascii="Times New Roman" w:hAnsi="Times New Roman" w:cs="Times New Roman"/>
        </w:rPr>
        <w:footnoteReference w:id="8"/>
      </w:r>
      <w:r w:rsidR="0005313C">
        <w:rPr>
          <w:rFonts w:ascii="Times New Roman" w:hAnsi="Times New Roman" w:cs="Times New Roman"/>
        </w:rPr>
        <w:t xml:space="preserve">. </w:t>
      </w:r>
      <w:r w:rsidR="000601DC">
        <w:rPr>
          <w:rFonts w:ascii="Times New Roman" w:hAnsi="Times New Roman" w:cs="Times New Roman"/>
        </w:rPr>
        <w:t>This is relevant as it suggest that Geoffrey Malaterra viewed himself as apart</w:t>
      </w:r>
      <w:r w:rsidR="00442000">
        <w:rPr>
          <w:rFonts w:ascii="Times New Roman" w:hAnsi="Times New Roman" w:cs="Times New Roman"/>
        </w:rPr>
        <w:t xml:space="preserve"> of the generation </w:t>
      </w:r>
      <w:r w:rsidR="00263CD0">
        <w:rPr>
          <w:rFonts w:ascii="Times New Roman" w:hAnsi="Times New Roman" w:cs="Times New Roman"/>
        </w:rPr>
        <w:t>of Sallust</w:t>
      </w:r>
      <w:r w:rsidR="00E4187D">
        <w:rPr>
          <w:rFonts w:ascii="Times New Roman" w:hAnsi="Times New Roman" w:cs="Times New Roman"/>
        </w:rPr>
        <w:t>, and</w:t>
      </w:r>
      <w:r w:rsidR="00263CD0">
        <w:rPr>
          <w:rFonts w:ascii="Times New Roman" w:hAnsi="Times New Roman" w:cs="Times New Roman"/>
        </w:rPr>
        <w:t xml:space="preserve"> </w:t>
      </w:r>
      <w:r w:rsidR="00B07263">
        <w:rPr>
          <w:rFonts w:ascii="Times New Roman" w:hAnsi="Times New Roman" w:cs="Times New Roman"/>
        </w:rPr>
        <w:t>another quote that infers</w:t>
      </w:r>
      <w:r w:rsidR="00263CD0">
        <w:rPr>
          <w:rFonts w:ascii="Times New Roman" w:hAnsi="Times New Roman" w:cs="Times New Roman"/>
        </w:rPr>
        <w:t xml:space="preserve"> </w:t>
      </w:r>
      <w:r w:rsidR="00E4187D">
        <w:rPr>
          <w:rFonts w:ascii="Times New Roman" w:hAnsi="Times New Roman" w:cs="Times New Roman"/>
        </w:rPr>
        <w:t>this is when Geoffrey writes “Handed down from the ancient philosophers to the generations who have followed them”</w:t>
      </w:r>
      <w:r w:rsidR="00E4187D">
        <w:rPr>
          <w:rStyle w:val="FootnoteReference"/>
          <w:rFonts w:ascii="Times New Roman" w:hAnsi="Times New Roman" w:cs="Times New Roman"/>
        </w:rPr>
        <w:footnoteReference w:id="9"/>
      </w:r>
      <w:r w:rsidR="00E4187D">
        <w:rPr>
          <w:rFonts w:ascii="Times New Roman" w:hAnsi="Times New Roman" w:cs="Times New Roman"/>
        </w:rPr>
        <w:t>.</w:t>
      </w:r>
      <w:r w:rsidR="00E76387">
        <w:rPr>
          <w:rFonts w:ascii="Times New Roman" w:hAnsi="Times New Roman" w:cs="Times New Roman"/>
        </w:rPr>
        <w:t xml:space="preserve"> </w:t>
      </w:r>
    </w:p>
    <w:p w14:paraId="0882C8D2" w14:textId="78CE20E3" w:rsidR="00387F68" w:rsidRDefault="00713F7A" w:rsidP="002A5245">
      <w:pPr>
        <w:spacing w:line="360" w:lineRule="auto"/>
        <w:ind w:firstLine="720"/>
        <w:rPr>
          <w:rFonts w:ascii="Times New Roman" w:hAnsi="Times New Roman" w:cs="Times New Roman"/>
        </w:rPr>
      </w:pPr>
      <w:r w:rsidRPr="00713F7A">
        <w:rPr>
          <w:rFonts w:ascii="Times New Roman" w:hAnsi="Times New Roman" w:cs="Times New Roman"/>
          <w:i/>
          <w:iCs/>
        </w:rPr>
        <w:t>De Rebus Gestis Rogerii Calabriae et Siciliae Comitis et Roberti Guiscardi Ducis fratris eius</w:t>
      </w:r>
      <w:r>
        <w:rPr>
          <w:rFonts w:ascii="Times New Roman" w:hAnsi="Times New Roman" w:cs="Times New Roman"/>
          <w:i/>
          <w:iCs/>
        </w:rPr>
        <w:t xml:space="preserve"> </w:t>
      </w:r>
      <w:r w:rsidR="00AC1684">
        <w:rPr>
          <w:rFonts w:ascii="Times New Roman" w:hAnsi="Times New Roman" w:cs="Times New Roman"/>
        </w:rPr>
        <w:t xml:space="preserve">has not got a definitive date as to when it was finished. </w:t>
      </w:r>
      <w:r w:rsidR="00E71ED4">
        <w:rPr>
          <w:rFonts w:ascii="Times New Roman" w:hAnsi="Times New Roman" w:cs="Times New Roman"/>
        </w:rPr>
        <w:t>However, there are suggestions in the original source that it may have been finalised in 1098</w:t>
      </w:r>
      <w:r w:rsidR="003E38AC">
        <w:rPr>
          <w:rStyle w:val="FootnoteReference"/>
          <w:rFonts w:ascii="Times New Roman" w:hAnsi="Times New Roman" w:cs="Times New Roman"/>
        </w:rPr>
        <w:footnoteReference w:id="10"/>
      </w:r>
      <w:r w:rsidR="00921F54">
        <w:rPr>
          <w:rFonts w:ascii="Times New Roman" w:hAnsi="Times New Roman" w:cs="Times New Roman"/>
        </w:rPr>
        <w:t xml:space="preserve">. Another suggestion as to why it was finalised before </w:t>
      </w:r>
      <w:r w:rsidR="00470D0B">
        <w:rPr>
          <w:rFonts w:ascii="Times New Roman" w:hAnsi="Times New Roman" w:cs="Times New Roman"/>
        </w:rPr>
        <w:t>1101 – was due to no mention of Roger I’s death</w:t>
      </w:r>
      <w:r w:rsidR="00515803">
        <w:rPr>
          <w:rFonts w:ascii="Times New Roman" w:hAnsi="Times New Roman" w:cs="Times New Roman"/>
        </w:rPr>
        <w:t xml:space="preserve">. </w:t>
      </w:r>
      <w:r w:rsidR="00640F49">
        <w:rPr>
          <w:rFonts w:ascii="Times New Roman" w:hAnsi="Times New Roman" w:cs="Times New Roman"/>
        </w:rPr>
        <w:t xml:space="preserve">The reason </w:t>
      </w:r>
      <w:r w:rsidR="002A7379">
        <w:rPr>
          <w:rFonts w:ascii="Times New Roman" w:hAnsi="Times New Roman" w:cs="Times New Roman"/>
        </w:rPr>
        <w:t xml:space="preserve">why </w:t>
      </w:r>
      <w:r w:rsidR="00E53DA9">
        <w:rPr>
          <w:rFonts w:ascii="Times New Roman" w:hAnsi="Times New Roman" w:cs="Times New Roman"/>
        </w:rPr>
        <w:t>the</w:t>
      </w:r>
      <w:r w:rsidR="00661E9E">
        <w:rPr>
          <w:rFonts w:ascii="Times New Roman" w:hAnsi="Times New Roman" w:cs="Times New Roman"/>
        </w:rPr>
        <w:t xml:space="preserve"> speculation of the date of the chronicles is vital is due to the</w:t>
      </w:r>
      <w:r w:rsidR="006F6987">
        <w:rPr>
          <w:rFonts w:ascii="Times New Roman" w:hAnsi="Times New Roman" w:cs="Times New Roman"/>
        </w:rPr>
        <w:t xml:space="preserve"> potential</w:t>
      </w:r>
      <w:r w:rsidR="00661E9E">
        <w:rPr>
          <w:rFonts w:ascii="Times New Roman" w:hAnsi="Times New Roman" w:cs="Times New Roman"/>
        </w:rPr>
        <w:t xml:space="preserve"> contextual value it </w:t>
      </w:r>
      <w:r w:rsidR="008B183C">
        <w:rPr>
          <w:rFonts w:ascii="Times New Roman" w:hAnsi="Times New Roman" w:cs="Times New Roman"/>
        </w:rPr>
        <w:t>could offer.</w:t>
      </w:r>
      <w:r w:rsidR="00515803">
        <w:rPr>
          <w:rFonts w:ascii="Times New Roman" w:hAnsi="Times New Roman" w:cs="Times New Roman"/>
        </w:rPr>
        <w:t xml:space="preserve"> </w:t>
      </w:r>
      <w:r w:rsidR="002A5245">
        <w:rPr>
          <w:rFonts w:ascii="Times New Roman" w:hAnsi="Times New Roman" w:cs="Times New Roman"/>
        </w:rPr>
        <w:t xml:space="preserve">Another reason as to why the date of the chronicles are relevant is due to the events of the period. </w:t>
      </w:r>
      <w:r w:rsidR="0058293F">
        <w:rPr>
          <w:rFonts w:ascii="Times New Roman" w:hAnsi="Times New Roman" w:cs="Times New Roman"/>
        </w:rPr>
        <w:t xml:space="preserve">Due to the content of the </w:t>
      </w:r>
      <w:r w:rsidR="006B48F1">
        <w:rPr>
          <w:rFonts w:ascii="Times New Roman" w:hAnsi="Times New Roman" w:cs="Times New Roman"/>
        </w:rPr>
        <w:lastRenderedPageBreak/>
        <w:t>chronicles is also seems to infer that Geoffrey Malaterra was writing at the behest of Roger I of Sicily and Robert Guiscard</w:t>
      </w:r>
      <w:r w:rsidR="00294E0B">
        <w:rPr>
          <w:rFonts w:ascii="Times New Roman" w:hAnsi="Times New Roman" w:cs="Times New Roman"/>
        </w:rPr>
        <w:t xml:space="preserve"> – w</w:t>
      </w:r>
      <w:r w:rsidR="006B48F1">
        <w:rPr>
          <w:rFonts w:ascii="Times New Roman" w:hAnsi="Times New Roman" w:cs="Times New Roman"/>
        </w:rPr>
        <w:t xml:space="preserve">riting to legitimise the </w:t>
      </w:r>
      <w:r w:rsidR="003D3A1C">
        <w:rPr>
          <w:rFonts w:ascii="Times New Roman" w:hAnsi="Times New Roman" w:cs="Times New Roman"/>
        </w:rPr>
        <w:t>claims Roger I had</w:t>
      </w:r>
      <w:r w:rsidR="005F4125">
        <w:rPr>
          <w:rStyle w:val="FootnoteReference"/>
          <w:rFonts w:ascii="Times New Roman" w:hAnsi="Times New Roman" w:cs="Times New Roman"/>
        </w:rPr>
        <w:footnoteReference w:id="11"/>
      </w:r>
      <w:r w:rsidR="003D3A1C">
        <w:rPr>
          <w:rFonts w:ascii="Times New Roman" w:hAnsi="Times New Roman" w:cs="Times New Roman"/>
        </w:rPr>
        <w:t xml:space="preserve">. </w:t>
      </w:r>
    </w:p>
    <w:p w14:paraId="78521A5E" w14:textId="45B8E443" w:rsidR="007031F4" w:rsidRDefault="004D4109" w:rsidP="002A5245">
      <w:pPr>
        <w:spacing w:line="360" w:lineRule="auto"/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Despite Geoffrey Malaterra potentially being Norman</w:t>
      </w:r>
      <w:r w:rsidR="003B2A8E">
        <w:rPr>
          <w:rFonts w:ascii="Times New Roman" w:hAnsi="Times New Roman" w:cs="Times New Roman"/>
        </w:rPr>
        <w:t xml:space="preserve"> due to the evidence above – he does speak negatively in some instances in the extract. For example, Geoffrey Malaterra </w:t>
      </w:r>
      <w:r w:rsidR="00EC4F68">
        <w:rPr>
          <w:rFonts w:ascii="Times New Roman" w:hAnsi="Times New Roman" w:cs="Times New Roman"/>
        </w:rPr>
        <w:t xml:space="preserve">writes that the Normans are greedy, hypocritical and </w:t>
      </w:r>
      <w:r w:rsidR="00180924">
        <w:rPr>
          <w:rFonts w:ascii="Times New Roman" w:hAnsi="Times New Roman" w:cs="Times New Roman"/>
        </w:rPr>
        <w:t>deceitful</w:t>
      </w:r>
      <w:r w:rsidR="00180924">
        <w:rPr>
          <w:rStyle w:val="FootnoteReference"/>
          <w:rFonts w:ascii="Times New Roman" w:hAnsi="Times New Roman" w:cs="Times New Roman"/>
        </w:rPr>
        <w:footnoteReference w:id="12"/>
      </w:r>
      <w:r w:rsidR="009541FF">
        <w:rPr>
          <w:rFonts w:ascii="Times New Roman" w:hAnsi="Times New Roman" w:cs="Times New Roman"/>
        </w:rPr>
        <w:t xml:space="preserve"> </w:t>
      </w:r>
      <w:r w:rsidR="009541FF">
        <w:rPr>
          <w:rFonts w:ascii="Times New Roman" w:hAnsi="Times New Roman" w:cs="Times New Roman"/>
        </w:rPr>
        <w:t>–</w:t>
      </w:r>
      <w:r w:rsidR="009541FF">
        <w:rPr>
          <w:rFonts w:ascii="Times New Roman" w:hAnsi="Times New Roman" w:cs="Times New Roman"/>
        </w:rPr>
        <w:t xml:space="preserve"> another examp</w:t>
      </w:r>
      <w:r w:rsidR="000174B6">
        <w:rPr>
          <w:rFonts w:ascii="Times New Roman" w:hAnsi="Times New Roman" w:cs="Times New Roman"/>
        </w:rPr>
        <w:t xml:space="preserve">le is: </w:t>
      </w:r>
      <w:r w:rsidR="00422733" w:rsidRPr="00422733">
        <w:rPr>
          <w:rFonts w:ascii="Times New Roman" w:hAnsi="Times New Roman" w:cs="Times New Roman"/>
        </w:rPr>
        <w:t>“</w:t>
      </w:r>
      <w:r w:rsidR="00422733" w:rsidRPr="00F55D4A">
        <w:rPr>
          <w:rFonts w:ascii="Times New Roman" w:hAnsi="Times New Roman" w:cs="Times New Roman"/>
          <w:i/>
          <w:iCs/>
        </w:rPr>
        <w:t>unless they are held in thrall by the yoke of justice, they are a most unbridled people</w:t>
      </w:r>
      <w:r w:rsidR="00422733">
        <w:rPr>
          <w:sz w:val="24"/>
        </w:rPr>
        <w:t>”</w:t>
      </w:r>
      <w:r w:rsidR="00422733">
        <w:rPr>
          <w:rStyle w:val="FootnoteReference"/>
          <w:sz w:val="24"/>
        </w:rPr>
        <w:footnoteReference w:id="13"/>
      </w:r>
      <w:r w:rsidR="00422733">
        <w:rPr>
          <w:sz w:val="24"/>
        </w:rPr>
        <w:t>.</w:t>
      </w:r>
      <w:r w:rsidR="009541FF">
        <w:rPr>
          <w:rFonts w:ascii="Times New Roman" w:hAnsi="Times New Roman" w:cs="Times New Roman"/>
        </w:rPr>
        <w:t xml:space="preserve"> </w:t>
      </w:r>
      <w:r w:rsidR="00180924">
        <w:rPr>
          <w:rFonts w:ascii="Times New Roman" w:hAnsi="Times New Roman" w:cs="Times New Roman"/>
        </w:rPr>
        <w:t>Despite this being a fair analysis in the textual extract</w:t>
      </w:r>
      <w:r w:rsidR="008D73CC">
        <w:rPr>
          <w:rFonts w:ascii="Times New Roman" w:hAnsi="Times New Roman" w:cs="Times New Roman"/>
        </w:rPr>
        <w:t xml:space="preserve"> because</w:t>
      </w:r>
      <w:r w:rsidR="00180924">
        <w:rPr>
          <w:rFonts w:ascii="Times New Roman" w:hAnsi="Times New Roman" w:cs="Times New Roman"/>
        </w:rPr>
        <w:t xml:space="preserve"> the Normans </w:t>
      </w:r>
      <w:r w:rsidR="008D73CC">
        <w:rPr>
          <w:rFonts w:ascii="Times New Roman" w:hAnsi="Times New Roman" w:cs="Times New Roman"/>
        </w:rPr>
        <w:t xml:space="preserve">did </w:t>
      </w:r>
      <w:r w:rsidR="00180924">
        <w:rPr>
          <w:rFonts w:ascii="Times New Roman" w:hAnsi="Times New Roman" w:cs="Times New Roman"/>
        </w:rPr>
        <w:t>portray those traits</w:t>
      </w:r>
      <w:r w:rsidR="008D73CC">
        <w:rPr>
          <w:rFonts w:ascii="Times New Roman" w:hAnsi="Times New Roman" w:cs="Times New Roman"/>
        </w:rPr>
        <w:t xml:space="preserve"> during</w:t>
      </w:r>
      <w:r w:rsidR="006A63A5">
        <w:rPr>
          <w:rFonts w:ascii="Times New Roman" w:hAnsi="Times New Roman" w:cs="Times New Roman"/>
        </w:rPr>
        <w:t xml:space="preserve"> the conquest of Sicily and Southern Italy</w:t>
      </w:r>
      <w:r w:rsidR="008043EF">
        <w:rPr>
          <w:rStyle w:val="FootnoteReference"/>
          <w:rFonts w:ascii="Times New Roman" w:hAnsi="Times New Roman" w:cs="Times New Roman"/>
        </w:rPr>
        <w:footnoteReference w:id="14"/>
      </w:r>
      <w:r w:rsidR="00857380">
        <w:rPr>
          <w:rFonts w:ascii="Times New Roman" w:hAnsi="Times New Roman" w:cs="Times New Roman"/>
        </w:rPr>
        <w:t xml:space="preserve">. Because of the nature of the comment on the Normans it can confuse the </w:t>
      </w:r>
      <w:r w:rsidR="007C17DA">
        <w:rPr>
          <w:rFonts w:ascii="Times New Roman" w:hAnsi="Times New Roman" w:cs="Times New Roman"/>
        </w:rPr>
        <w:t xml:space="preserve">textual extract. As Geoffrey Malaterra may have potentially been Norman, and the chronicles may have been written </w:t>
      </w:r>
      <w:r w:rsidR="001848C3">
        <w:rPr>
          <w:rFonts w:ascii="Times New Roman" w:hAnsi="Times New Roman" w:cs="Times New Roman"/>
        </w:rPr>
        <w:t xml:space="preserve">for Roger I’s legitimacy. </w:t>
      </w:r>
      <w:r w:rsidR="0001137B">
        <w:rPr>
          <w:rFonts w:ascii="Times New Roman" w:hAnsi="Times New Roman" w:cs="Times New Roman"/>
        </w:rPr>
        <w:t>This shows that the textual extract can be unbiased towards the Normans a</w:t>
      </w:r>
      <w:r w:rsidR="00612B21">
        <w:rPr>
          <w:rFonts w:ascii="Times New Roman" w:hAnsi="Times New Roman" w:cs="Times New Roman"/>
        </w:rPr>
        <w:t>s</w:t>
      </w:r>
      <w:r w:rsidR="0001137B">
        <w:rPr>
          <w:rFonts w:ascii="Times New Roman" w:hAnsi="Times New Roman" w:cs="Times New Roman"/>
        </w:rPr>
        <w:t xml:space="preserve"> the observations are not purely positive. </w:t>
      </w:r>
      <w:r w:rsidR="00327996">
        <w:rPr>
          <w:rFonts w:ascii="Times New Roman" w:hAnsi="Times New Roman" w:cs="Times New Roman"/>
        </w:rPr>
        <w:t xml:space="preserve">In Geoffrey Malaterra’s letter to Bishop Angerius of the Catanians he asked for support depending on the </w:t>
      </w:r>
      <w:r w:rsidR="00F5659D">
        <w:rPr>
          <w:rFonts w:ascii="Times New Roman" w:hAnsi="Times New Roman" w:cs="Times New Roman"/>
        </w:rPr>
        <w:t>reception of the chronicles, for example: “</w:t>
      </w:r>
      <w:r w:rsidR="00F5659D" w:rsidRPr="00F55D4A">
        <w:rPr>
          <w:rFonts w:ascii="Times New Roman" w:hAnsi="Times New Roman" w:cs="Times New Roman"/>
          <w:i/>
          <w:iCs/>
        </w:rPr>
        <w:t>Therefore whichever fault is ascribed to me, I seek refuge under the safety of your protection</w:t>
      </w:r>
      <w:r w:rsidR="00F5659D">
        <w:rPr>
          <w:rFonts w:ascii="Times New Roman" w:hAnsi="Times New Roman" w:cs="Times New Roman"/>
        </w:rPr>
        <w:t>”</w:t>
      </w:r>
      <w:r w:rsidR="00F5659D">
        <w:rPr>
          <w:rStyle w:val="FootnoteReference"/>
          <w:rFonts w:ascii="Times New Roman" w:hAnsi="Times New Roman" w:cs="Times New Roman"/>
        </w:rPr>
        <w:footnoteReference w:id="15"/>
      </w:r>
      <w:r w:rsidR="00F5659D">
        <w:rPr>
          <w:rFonts w:ascii="Times New Roman" w:hAnsi="Times New Roman" w:cs="Times New Roman"/>
        </w:rPr>
        <w:t xml:space="preserve">. This creates a narrative that Geoffrey Malaterra </w:t>
      </w:r>
      <w:r w:rsidR="003D6EDF">
        <w:rPr>
          <w:rFonts w:ascii="Times New Roman" w:hAnsi="Times New Roman" w:cs="Times New Roman"/>
        </w:rPr>
        <w:t>is aware on the what was to be written and worried about how Roger I or the other Norman loads would react to it</w:t>
      </w:r>
      <w:r w:rsidR="006A188F">
        <w:rPr>
          <w:rFonts w:ascii="Times New Roman" w:hAnsi="Times New Roman" w:cs="Times New Roman"/>
        </w:rPr>
        <w:t xml:space="preserve">. There is no evidence that suggests there was a negative reception – however it does seem Geoffrey </w:t>
      </w:r>
      <w:r w:rsidR="00C26BD3">
        <w:rPr>
          <w:rFonts w:ascii="Times New Roman" w:hAnsi="Times New Roman" w:cs="Times New Roman"/>
        </w:rPr>
        <w:t>M</w:t>
      </w:r>
      <w:r w:rsidR="006A188F">
        <w:rPr>
          <w:rFonts w:ascii="Times New Roman" w:hAnsi="Times New Roman" w:cs="Times New Roman"/>
        </w:rPr>
        <w:t>alaterra prepared for it</w:t>
      </w:r>
      <w:r w:rsidR="00F55D4A">
        <w:rPr>
          <w:rFonts w:ascii="Times New Roman" w:hAnsi="Times New Roman" w:cs="Times New Roman"/>
        </w:rPr>
        <w:t xml:space="preserve"> in some way.</w:t>
      </w:r>
      <w:r w:rsidR="0092672D">
        <w:rPr>
          <w:rFonts w:ascii="Times New Roman" w:hAnsi="Times New Roman" w:cs="Times New Roman"/>
        </w:rPr>
        <w:t xml:space="preserve"> </w:t>
      </w:r>
    </w:p>
    <w:p w14:paraId="3BF81A66" w14:textId="76A33EFC" w:rsidR="00E23260" w:rsidRDefault="00E23260" w:rsidP="002A5245">
      <w:pPr>
        <w:spacing w:line="360" w:lineRule="auto"/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Despite the negativity Geoffrey Malaterra wrote in regards to the Normans, there were many positive observations and descriptions of the Normans </w:t>
      </w:r>
      <w:r w:rsidR="006030EC">
        <w:rPr>
          <w:rFonts w:ascii="Times New Roman" w:hAnsi="Times New Roman" w:cs="Times New Roman"/>
        </w:rPr>
        <w:t xml:space="preserve">too. </w:t>
      </w:r>
      <w:r w:rsidR="005475AD">
        <w:rPr>
          <w:rFonts w:ascii="Times New Roman" w:hAnsi="Times New Roman" w:cs="Times New Roman"/>
        </w:rPr>
        <w:t xml:space="preserve">Geoffrey Malaterra </w:t>
      </w:r>
      <w:r w:rsidR="00BC6A40">
        <w:rPr>
          <w:rFonts w:ascii="Times New Roman" w:hAnsi="Times New Roman" w:cs="Times New Roman"/>
        </w:rPr>
        <w:t>prescribes the definitions of the Normans being astute, generous,</w:t>
      </w:r>
      <w:r w:rsidR="003F4C5D">
        <w:rPr>
          <w:rFonts w:ascii="Times New Roman" w:hAnsi="Times New Roman" w:cs="Times New Roman"/>
        </w:rPr>
        <w:t xml:space="preserve"> and vengeful</w:t>
      </w:r>
      <w:r w:rsidR="003F4C5D">
        <w:rPr>
          <w:rStyle w:val="FootnoteReference"/>
          <w:rFonts w:ascii="Times New Roman" w:hAnsi="Times New Roman" w:cs="Times New Roman"/>
        </w:rPr>
        <w:footnoteReference w:id="16"/>
      </w:r>
      <w:r w:rsidR="003F4C5D">
        <w:rPr>
          <w:rFonts w:ascii="Times New Roman" w:hAnsi="Times New Roman" w:cs="Times New Roman"/>
        </w:rPr>
        <w:t xml:space="preserve">. </w:t>
      </w:r>
      <w:r w:rsidR="00867C94">
        <w:rPr>
          <w:rFonts w:ascii="Times New Roman" w:hAnsi="Times New Roman" w:cs="Times New Roman"/>
        </w:rPr>
        <w:t xml:space="preserve">In the way that these are used to describe the Normans it gives off an epic and flattering </w:t>
      </w:r>
      <w:r w:rsidR="00E7182A">
        <w:rPr>
          <w:rFonts w:ascii="Times New Roman" w:hAnsi="Times New Roman" w:cs="Times New Roman"/>
        </w:rPr>
        <w:t xml:space="preserve">point of view on them. How the language is written in a way that tries to captivate them and show </w:t>
      </w:r>
      <w:r w:rsidR="00497FED">
        <w:rPr>
          <w:rFonts w:ascii="Times New Roman" w:hAnsi="Times New Roman" w:cs="Times New Roman"/>
        </w:rPr>
        <w:t xml:space="preserve">how they are in a positive light. However, despite the positivity being the main aspect of the flatter – Geoffrey Malaterra also </w:t>
      </w:r>
      <w:r w:rsidR="00096939">
        <w:rPr>
          <w:rFonts w:ascii="Times New Roman" w:hAnsi="Times New Roman" w:cs="Times New Roman"/>
        </w:rPr>
        <w:t>writes that they can be avarice alongside generous to prove that th</w:t>
      </w:r>
      <w:r w:rsidR="00B758F2">
        <w:rPr>
          <w:rFonts w:ascii="Times New Roman" w:hAnsi="Times New Roman" w:cs="Times New Roman"/>
        </w:rPr>
        <w:t xml:space="preserve">e Normans are in the middle ground when it comes to that. This does </w:t>
      </w:r>
      <w:r w:rsidR="002C7FDE">
        <w:rPr>
          <w:rFonts w:ascii="Times New Roman" w:hAnsi="Times New Roman" w:cs="Times New Roman"/>
        </w:rPr>
        <w:t>confuse the reader however, as in the second sentence in the textual extract Geoffrey prescribes them as “</w:t>
      </w:r>
      <w:r w:rsidR="002C7FDE" w:rsidRPr="00DB4387">
        <w:rPr>
          <w:rFonts w:ascii="Times New Roman" w:hAnsi="Times New Roman" w:cs="Times New Roman"/>
          <w:i/>
          <w:iCs/>
        </w:rPr>
        <w:t>very generous</w:t>
      </w:r>
      <w:r w:rsidR="00DB4387" w:rsidRPr="00DB4387">
        <w:rPr>
          <w:rFonts w:ascii="Times New Roman" w:hAnsi="Times New Roman" w:cs="Times New Roman"/>
          <w:i/>
          <w:iCs/>
        </w:rPr>
        <w:t xml:space="preserve"> since they wish to achieve a great reputation</w:t>
      </w:r>
      <w:r w:rsidR="00DB4387">
        <w:rPr>
          <w:rFonts w:ascii="Times New Roman" w:hAnsi="Times New Roman" w:cs="Times New Roman"/>
        </w:rPr>
        <w:t>”</w:t>
      </w:r>
      <w:r w:rsidR="00DB4387">
        <w:rPr>
          <w:rStyle w:val="FootnoteReference"/>
          <w:rFonts w:ascii="Times New Roman" w:hAnsi="Times New Roman" w:cs="Times New Roman"/>
        </w:rPr>
        <w:footnoteReference w:id="17"/>
      </w:r>
      <w:r w:rsidR="002C7FDE">
        <w:rPr>
          <w:rFonts w:ascii="Times New Roman" w:hAnsi="Times New Roman" w:cs="Times New Roman"/>
        </w:rPr>
        <w:t xml:space="preserve">. </w:t>
      </w:r>
      <w:r w:rsidR="00DB4387">
        <w:rPr>
          <w:rFonts w:ascii="Times New Roman" w:hAnsi="Times New Roman" w:cs="Times New Roman"/>
        </w:rPr>
        <w:t>This statement contradicts the previous one on how the Normans take a middle course</w:t>
      </w:r>
      <w:r w:rsidR="00041F49">
        <w:rPr>
          <w:rFonts w:ascii="Times New Roman" w:hAnsi="Times New Roman" w:cs="Times New Roman"/>
        </w:rPr>
        <w:t xml:space="preserve">. </w:t>
      </w:r>
      <w:r w:rsidR="00CA04E5">
        <w:rPr>
          <w:rFonts w:ascii="Times New Roman" w:hAnsi="Times New Roman" w:cs="Times New Roman"/>
        </w:rPr>
        <w:t xml:space="preserve">Although this does contradict, one can read this passage </w:t>
      </w:r>
      <w:r w:rsidR="00317561">
        <w:rPr>
          <w:rFonts w:ascii="Times New Roman" w:hAnsi="Times New Roman" w:cs="Times New Roman"/>
        </w:rPr>
        <w:t xml:space="preserve">and interpret </w:t>
      </w:r>
      <w:r w:rsidR="00896D43">
        <w:rPr>
          <w:rFonts w:ascii="Times New Roman" w:hAnsi="Times New Roman" w:cs="Times New Roman"/>
        </w:rPr>
        <w:t>i</w:t>
      </w:r>
      <w:r w:rsidR="00317561">
        <w:rPr>
          <w:rFonts w:ascii="Times New Roman" w:hAnsi="Times New Roman" w:cs="Times New Roman"/>
        </w:rPr>
        <w:t xml:space="preserve">t that </w:t>
      </w:r>
      <w:r w:rsidR="00896D43">
        <w:rPr>
          <w:rFonts w:ascii="Times New Roman" w:hAnsi="Times New Roman" w:cs="Times New Roman"/>
        </w:rPr>
        <w:t xml:space="preserve">Norman </w:t>
      </w:r>
      <w:r w:rsidR="00317561">
        <w:rPr>
          <w:rFonts w:ascii="Times New Roman" w:hAnsi="Times New Roman" w:cs="Times New Roman"/>
        </w:rPr>
        <w:t xml:space="preserve">leaders used generosity as a form of creating a </w:t>
      </w:r>
      <w:r w:rsidR="00317561">
        <w:rPr>
          <w:rFonts w:ascii="Times New Roman" w:hAnsi="Times New Roman" w:cs="Times New Roman"/>
        </w:rPr>
        <w:lastRenderedPageBreak/>
        <w:t xml:space="preserve">great reputation for themselves. </w:t>
      </w:r>
      <w:r w:rsidR="005A646C">
        <w:rPr>
          <w:rFonts w:ascii="Times New Roman" w:hAnsi="Times New Roman" w:cs="Times New Roman"/>
        </w:rPr>
        <w:t xml:space="preserve">Another aspect of the textual extract that does elude to the Normans being educated and </w:t>
      </w:r>
      <w:r w:rsidR="00CB680F">
        <w:rPr>
          <w:rFonts w:ascii="Times New Roman" w:hAnsi="Times New Roman" w:cs="Times New Roman"/>
        </w:rPr>
        <w:t>a positive outlook on them – was how Geoffrey Malaterra mentions that the young boys (potentially being their sons/heirs) to be train</w:t>
      </w:r>
      <w:r w:rsidR="00004D48">
        <w:rPr>
          <w:rFonts w:ascii="Times New Roman" w:hAnsi="Times New Roman" w:cs="Times New Roman"/>
        </w:rPr>
        <w:t>ed</w:t>
      </w:r>
      <w:r w:rsidR="00CB680F">
        <w:rPr>
          <w:rFonts w:ascii="Times New Roman" w:hAnsi="Times New Roman" w:cs="Times New Roman"/>
        </w:rPr>
        <w:t xml:space="preserve"> speakers</w:t>
      </w:r>
      <w:r w:rsidR="00B8358A">
        <w:rPr>
          <w:rFonts w:ascii="Times New Roman" w:hAnsi="Times New Roman" w:cs="Times New Roman"/>
        </w:rPr>
        <w:t xml:space="preserve"> that the Norman leaders listen to them</w:t>
      </w:r>
      <w:r w:rsidR="00B8358A">
        <w:rPr>
          <w:rStyle w:val="FootnoteReference"/>
          <w:rFonts w:ascii="Times New Roman" w:hAnsi="Times New Roman" w:cs="Times New Roman"/>
        </w:rPr>
        <w:footnoteReference w:id="18"/>
      </w:r>
      <w:r w:rsidR="00B8358A">
        <w:rPr>
          <w:rFonts w:ascii="Times New Roman" w:hAnsi="Times New Roman" w:cs="Times New Roman"/>
        </w:rPr>
        <w:t xml:space="preserve">. This infers that the Normans took great care in educating their young </w:t>
      </w:r>
      <w:r w:rsidR="00594595">
        <w:rPr>
          <w:rFonts w:ascii="Times New Roman" w:hAnsi="Times New Roman" w:cs="Times New Roman"/>
        </w:rPr>
        <w:t xml:space="preserve">boys to prepare them for </w:t>
      </w:r>
      <w:r w:rsidR="00712E00">
        <w:rPr>
          <w:rFonts w:ascii="Times New Roman" w:hAnsi="Times New Roman" w:cs="Times New Roman"/>
        </w:rPr>
        <w:t xml:space="preserve">administration and politics. </w:t>
      </w:r>
    </w:p>
    <w:p w14:paraId="2161D349" w14:textId="6F4AE16D" w:rsidR="00CA2FDC" w:rsidRDefault="00861372" w:rsidP="00AB2FA1">
      <w:pPr>
        <w:spacing w:line="360" w:lineRule="auto"/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Geoffrey Malaterra also writes on </w:t>
      </w:r>
      <w:r w:rsidR="000538EB">
        <w:rPr>
          <w:rFonts w:ascii="Times New Roman" w:hAnsi="Times New Roman" w:cs="Times New Roman"/>
        </w:rPr>
        <w:t>how the Normans were addicted to hunting and hawking</w:t>
      </w:r>
      <w:r w:rsidR="00ED5EA7">
        <w:rPr>
          <w:rStyle w:val="FootnoteReference"/>
          <w:rFonts w:ascii="Times New Roman" w:hAnsi="Times New Roman" w:cs="Times New Roman"/>
        </w:rPr>
        <w:footnoteReference w:id="19"/>
      </w:r>
      <w:r w:rsidR="00ED5EA7">
        <w:rPr>
          <w:rFonts w:ascii="Times New Roman" w:hAnsi="Times New Roman" w:cs="Times New Roman"/>
        </w:rPr>
        <w:t xml:space="preserve">. </w:t>
      </w:r>
      <w:r w:rsidR="00A46C96">
        <w:rPr>
          <w:rFonts w:ascii="Times New Roman" w:hAnsi="Times New Roman" w:cs="Times New Roman"/>
        </w:rPr>
        <w:t>Despite this seeming as an unimportant observation of the Normans, it speaks a lot on their character</w:t>
      </w:r>
      <w:r w:rsidR="00780523">
        <w:rPr>
          <w:rFonts w:ascii="Times New Roman" w:hAnsi="Times New Roman" w:cs="Times New Roman"/>
        </w:rPr>
        <w:t xml:space="preserve"> – </w:t>
      </w:r>
      <w:r w:rsidR="00004D48">
        <w:rPr>
          <w:rFonts w:ascii="Times New Roman" w:hAnsi="Times New Roman" w:cs="Times New Roman"/>
        </w:rPr>
        <w:t>i</w:t>
      </w:r>
      <w:r w:rsidR="00A13AE7">
        <w:rPr>
          <w:rFonts w:ascii="Times New Roman" w:hAnsi="Times New Roman" w:cs="Times New Roman"/>
        </w:rPr>
        <w:t>t shows their martial</w:t>
      </w:r>
      <w:r w:rsidR="00780523">
        <w:rPr>
          <w:rFonts w:ascii="Times New Roman" w:hAnsi="Times New Roman" w:cs="Times New Roman"/>
        </w:rPr>
        <w:t xml:space="preserve"> lifestyle,</w:t>
      </w:r>
      <w:r w:rsidR="00A13AE7">
        <w:rPr>
          <w:rFonts w:ascii="Times New Roman" w:hAnsi="Times New Roman" w:cs="Times New Roman"/>
        </w:rPr>
        <w:t xml:space="preserve"> </w:t>
      </w:r>
      <w:r w:rsidR="00BD66E1">
        <w:rPr>
          <w:rFonts w:ascii="Times New Roman" w:hAnsi="Times New Roman" w:cs="Times New Roman"/>
        </w:rPr>
        <w:t xml:space="preserve">and that they are people who value </w:t>
      </w:r>
      <w:r w:rsidR="00D35166">
        <w:rPr>
          <w:rFonts w:ascii="Times New Roman" w:hAnsi="Times New Roman" w:cs="Times New Roman"/>
        </w:rPr>
        <w:t xml:space="preserve">sport amongst themselves and that they also have the resources and wealth in order to </w:t>
      </w:r>
      <w:r w:rsidR="003E6836">
        <w:rPr>
          <w:rFonts w:ascii="Times New Roman" w:hAnsi="Times New Roman" w:cs="Times New Roman"/>
        </w:rPr>
        <w:t xml:space="preserve">do it regularly to be addicted to it. </w:t>
      </w:r>
      <w:r w:rsidR="00D44B49">
        <w:rPr>
          <w:rFonts w:ascii="Times New Roman" w:hAnsi="Times New Roman" w:cs="Times New Roman"/>
        </w:rPr>
        <w:t xml:space="preserve">Geoffrey Malaterra eludes more to the wealth of the Normans by commenting on their fancy clothing and the elaborate trappings they’ve used </w:t>
      </w:r>
      <w:r w:rsidR="00F167D2">
        <w:rPr>
          <w:rFonts w:ascii="Times New Roman" w:hAnsi="Times New Roman" w:cs="Times New Roman"/>
        </w:rPr>
        <w:t xml:space="preserve">for their horses alongside their weapons. </w:t>
      </w:r>
      <w:r w:rsidR="009349A9">
        <w:rPr>
          <w:rFonts w:ascii="Times New Roman" w:hAnsi="Times New Roman" w:cs="Times New Roman"/>
        </w:rPr>
        <w:t>This provides more evidence on their wealth</w:t>
      </w:r>
      <w:r w:rsidR="00BE4203">
        <w:rPr>
          <w:rFonts w:ascii="Times New Roman" w:hAnsi="Times New Roman" w:cs="Times New Roman"/>
        </w:rPr>
        <w:t>. Geoffrey Malaterra also mentions on the origins of the Normans</w:t>
      </w:r>
      <w:r w:rsidR="00400804">
        <w:rPr>
          <w:rFonts w:ascii="Times New Roman" w:hAnsi="Times New Roman" w:cs="Times New Roman"/>
        </w:rPr>
        <w:t xml:space="preserve"> by writing:</w:t>
      </w:r>
      <w:r w:rsidR="00CA2FDC">
        <w:rPr>
          <w:rFonts w:ascii="Times New Roman" w:hAnsi="Times New Roman" w:cs="Times New Roman"/>
        </w:rPr>
        <w:t xml:space="preserve"> </w:t>
      </w:r>
    </w:p>
    <w:p w14:paraId="686A835E" w14:textId="77777777" w:rsidR="007A42A9" w:rsidRDefault="00CA2FDC" w:rsidP="007A42A9">
      <w:pPr>
        <w:spacing w:line="360" w:lineRule="auto"/>
        <w:ind w:left="720"/>
        <w:rPr>
          <w:rFonts w:ascii="Times New Roman" w:hAnsi="Times New Roman" w:cs="Times New Roman"/>
          <w:i/>
          <w:iCs/>
          <w:szCs w:val="20"/>
        </w:rPr>
      </w:pPr>
      <w:r>
        <w:rPr>
          <w:rFonts w:ascii="Times New Roman" w:hAnsi="Times New Roman" w:cs="Times New Roman"/>
        </w:rPr>
        <w:t>“</w:t>
      </w:r>
      <w:r w:rsidRPr="00CA2FDC">
        <w:rPr>
          <w:rFonts w:ascii="Times New Roman" w:hAnsi="Times New Roman" w:cs="Times New Roman"/>
          <w:i/>
          <w:iCs/>
          <w:szCs w:val="20"/>
        </w:rPr>
        <w:t>They derive the name of their land from their own name: north in the English language means 'the northern wind' [aquilonis plaga], and since they come from the north they are called Normans and their land Normandy</w:t>
      </w:r>
      <w:r>
        <w:rPr>
          <w:rFonts w:ascii="Times New Roman" w:hAnsi="Times New Roman" w:cs="Times New Roman"/>
          <w:i/>
          <w:iCs/>
          <w:szCs w:val="20"/>
        </w:rPr>
        <w:t>”</w:t>
      </w:r>
      <w:r>
        <w:rPr>
          <w:rStyle w:val="FootnoteReference"/>
          <w:rFonts w:ascii="Times New Roman" w:hAnsi="Times New Roman" w:cs="Times New Roman"/>
          <w:i/>
          <w:iCs/>
          <w:szCs w:val="20"/>
        </w:rPr>
        <w:footnoteReference w:id="20"/>
      </w:r>
      <w:r w:rsidR="007A42A9">
        <w:rPr>
          <w:rFonts w:ascii="Times New Roman" w:hAnsi="Times New Roman" w:cs="Times New Roman"/>
          <w:i/>
          <w:iCs/>
          <w:szCs w:val="20"/>
        </w:rPr>
        <w:t xml:space="preserve">.                                                                          </w:t>
      </w:r>
    </w:p>
    <w:p w14:paraId="6BBAF921" w14:textId="4055FC26" w:rsidR="007A42A9" w:rsidRDefault="007A42A9" w:rsidP="007A42A9">
      <w:pPr>
        <w:spacing w:line="360" w:lineRule="auto"/>
        <w:rPr>
          <w:rFonts w:ascii="Times New Roman" w:hAnsi="Times New Roman" w:cs="Times New Roman"/>
          <w:szCs w:val="20"/>
        </w:rPr>
      </w:pPr>
      <w:r w:rsidRPr="00E70FE7">
        <w:rPr>
          <w:rFonts w:ascii="Times New Roman" w:hAnsi="Times New Roman" w:cs="Times New Roman"/>
          <w:szCs w:val="20"/>
        </w:rPr>
        <w:t xml:space="preserve">This description of the origins is for the most part accurate. </w:t>
      </w:r>
      <w:r w:rsidR="00E70FE7" w:rsidRPr="00E70FE7">
        <w:rPr>
          <w:rFonts w:ascii="Times New Roman" w:hAnsi="Times New Roman" w:cs="Times New Roman"/>
          <w:szCs w:val="20"/>
        </w:rPr>
        <w:t>Unlike other sources such as Amatus Montecassino’s</w:t>
      </w:r>
      <w:r w:rsidR="00004D48">
        <w:rPr>
          <w:rStyle w:val="FootnoteReference"/>
          <w:rFonts w:ascii="Times New Roman" w:hAnsi="Times New Roman" w:cs="Times New Roman"/>
          <w:szCs w:val="20"/>
        </w:rPr>
        <w:footnoteReference w:id="21"/>
      </w:r>
      <w:r w:rsidR="009D04FF">
        <w:rPr>
          <w:rFonts w:ascii="Times New Roman" w:hAnsi="Times New Roman" w:cs="Times New Roman"/>
          <w:szCs w:val="20"/>
        </w:rPr>
        <w:t xml:space="preserve"> </w:t>
      </w:r>
      <w:r w:rsidR="00F46BFB">
        <w:rPr>
          <w:rFonts w:ascii="Times New Roman" w:hAnsi="Times New Roman" w:cs="Times New Roman"/>
          <w:szCs w:val="20"/>
        </w:rPr>
        <w:t xml:space="preserve">– </w:t>
      </w:r>
      <w:r w:rsidR="009D04FF">
        <w:rPr>
          <w:rFonts w:ascii="Times New Roman" w:hAnsi="Times New Roman" w:cs="Times New Roman"/>
          <w:szCs w:val="20"/>
        </w:rPr>
        <w:t>it does provide some idea although broad on their origins</w:t>
      </w:r>
      <w:r w:rsidR="00E70FE7" w:rsidRPr="00E70FE7">
        <w:rPr>
          <w:rFonts w:ascii="Times New Roman" w:hAnsi="Times New Roman" w:cs="Times New Roman"/>
          <w:szCs w:val="20"/>
        </w:rPr>
        <w:t>.</w:t>
      </w:r>
      <w:r w:rsidR="009D04FF">
        <w:rPr>
          <w:rFonts w:ascii="Times New Roman" w:hAnsi="Times New Roman" w:cs="Times New Roman"/>
          <w:szCs w:val="20"/>
        </w:rPr>
        <w:t xml:space="preserve"> </w:t>
      </w:r>
    </w:p>
    <w:p w14:paraId="74B7453F" w14:textId="523E6FDB" w:rsidR="009D39FC" w:rsidRDefault="002A014A" w:rsidP="00C26BD3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Cs w:val="20"/>
        </w:rPr>
        <w:tab/>
      </w:r>
      <w:r w:rsidR="00C26BD3">
        <w:rPr>
          <w:rFonts w:ascii="Times New Roman" w:hAnsi="Times New Roman" w:cs="Times New Roman"/>
          <w:szCs w:val="20"/>
        </w:rPr>
        <w:t xml:space="preserve"> </w:t>
      </w:r>
      <w:r w:rsidR="00FF0437">
        <w:rPr>
          <w:rFonts w:ascii="Times New Roman" w:hAnsi="Times New Roman" w:cs="Times New Roman"/>
          <w:szCs w:val="20"/>
        </w:rPr>
        <w:t>Using the letter to Angerius</w:t>
      </w:r>
      <w:r w:rsidR="00004D48">
        <w:rPr>
          <w:rFonts w:ascii="Times New Roman" w:hAnsi="Times New Roman" w:cs="Times New Roman"/>
          <w:szCs w:val="20"/>
        </w:rPr>
        <w:t>,</w:t>
      </w:r>
      <w:r w:rsidR="00FF0437">
        <w:rPr>
          <w:rFonts w:ascii="Times New Roman" w:hAnsi="Times New Roman" w:cs="Times New Roman"/>
          <w:szCs w:val="20"/>
        </w:rPr>
        <w:t xml:space="preserve"> it suggests that Roger </w:t>
      </w:r>
      <w:r w:rsidR="00AB2FA1">
        <w:rPr>
          <w:rFonts w:ascii="Times New Roman" w:hAnsi="Times New Roman" w:cs="Times New Roman"/>
          <w:szCs w:val="20"/>
        </w:rPr>
        <w:t xml:space="preserve">I </w:t>
      </w:r>
      <w:r w:rsidR="00FF0437">
        <w:rPr>
          <w:rFonts w:ascii="Times New Roman" w:hAnsi="Times New Roman" w:cs="Times New Roman"/>
          <w:szCs w:val="20"/>
        </w:rPr>
        <w:t xml:space="preserve">did commission the </w:t>
      </w:r>
      <w:r w:rsidR="00860651">
        <w:rPr>
          <w:rFonts w:ascii="Times New Roman" w:hAnsi="Times New Roman" w:cs="Times New Roman"/>
          <w:szCs w:val="20"/>
        </w:rPr>
        <w:t>chronicles</w:t>
      </w:r>
      <w:r w:rsidR="00860651">
        <w:rPr>
          <w:rStyle w:val="FootnoteReference"/>
          <w:rFonts w:ascii="Times New Roman" w:hAnsi="Times New Roman" w:cs="Times New Roman"/>
          <w:szCs w:val="20"/>
        </w:rPr>
        <w:footnoteReference w:id="22"/>
      </w:r>
      <w:r w:rsidR="00936AD8">
        <w:rPr>
          <w:rFonts w:ascii="Times New Roman" w:hAnsi="Times New Roman" w:cs="Times New Roman"/>
          <w:szCs w:val="20"/>
        </w:rPr>
        <w:t xml:space="preserve"> - and was writing a court history for Roger I</w:t>
      </w:r>
      <w:r w:rsidR="00936AD8">
        <w:rPr>
          <w:rStyle w:val="FootnoteReference"/>
          <w:rFonts w:ascii="Times New Roman" w:hAnsi="Times New Roman" w:cs="Times New Roman"/>
          <w:szCs w:val="20"/>
        </w:rPr>
        <w:footnoteReference w:id="23"/>
      </w:r>
      <w:r w:rsidR="005B1EFC">
        <w:rPr>
          <w:rFonts w:ascii="Times New Roman" w:hAnsi="Times New Roman" w:cs="Times New Roman"/>
          <w:szCs w:val="20"/>
        </w:rPr>
        <w:t xml:space="preserve">. </w:t>
      </w:r>
      <w:r w:rsidR="006B57D3">
        <w:rPr>
          <w:rFonts w:ascii="Times New Roman" w:hAnsi="Times New Roman" w:cs="Times New Roman"/>
          <w:szCs w:val="20"/>
        </w:rPr>
        <w:t xml:space="preserve">Why was this important for Roger I and Robert Guiscard? It creates a narrative for them to legitimise their claim on their lands and for their heirs, using </w:t>
      </w:r>
      <w:r w:rsidR="00386A42">
        <w:rPr>
          <w:rFonts w:ascii="Times New Roman" w:hAnsi="Times New Roman" w:cs="Times New Roman"/>
          <w:szCs w:val="20"/>
        </w:rPr>
        <w:t>history as a way of proving their conquest to be officially done for</w:t>
      </w:r>
      <w:r w:rsidR="00004D48">
        <w:rPr>
          <w:rFonts w:ascii="Times New Roman" w:hAnsi="Times New Roman" w:cs="Times New Roman"/>
          <w:szCs w:val="20"/>
        </w:rPr>
        <w:t xml:space="preserve"> the purpose of</w:t>
      </w:r>
      <w:r w:rsidR="00386A42">
        <w:rPr>
          <w:rFonts w:ascii="Times New Roman" w:hAnsi="Times New Roman" w:cs="Times New Roman"/>
          <w:szCs w:val="20"/>
        </w:rPr>
        <w:t xml:space="preserve"> </w:t>
      </w:r>
      <w:r w:rsidR="002E68C0">
        <w:rPr>
          <w:rFonts w:ascii="Times New Roman" w:hAnsi="Times New Roman" w:cs="Times New Roman"/>
          <w:szCs w:val="20"/>
        </w:rPr>
        <w:t>legitimising</w:t>
      </w:r>
      <w:r w:rsidR="00386A42">
        <w:rPr>
          <w:rFonts w:ascii="Times New Roman" w:hAnsi="Times New Roman" w:cs="Times New Roman"/>
          <w:szCs w:val="20"/>
        </w:rPr>
        <w:t xml:space="preserve"> their claims. But also, to</w:t>
      </w:r>
      <w:r w:rsidR="002E68C0">
        <w:rPr>
          <w:rFonts w:ascii="Times New Roman" w:hAnsi="Times New Roman" w:cs="Times New Roman"/>
          <w:szCs w:val="20"/>
        </w:rPr>
        <w:t xml:space="preserve"> turn them into epic heroes of great deeds</w:t>
      </w:r>
      <w:r w:rsidR="00004D48">
        <w:rPr>
          <w:rFonts w:ascii="Times New Roman" w:hAnsi="Times New Roman" w:cs="Times New Roman"/>
          <w:szCs w:val="20"/>
        </w:rPr>
        <w:t xml:space="preserve"> and to ensure their legacy</w:t>
      </w:r>
      <w:r w:rsidR="002E68C0">
        <w:rPr>
          <w:rFonts w:ascii="Times New Roman" w:hAnsi="Times New Roman" w:cs="Times New Roman"/>
          <w:szCs w:val="20"/>
        </w:rPr>
        <w:t>. There is no need to write an entire history of the conquest unless it is to keep history or create it into an epic ta</w:t>
      </w:r>
      <w:r w:rsidR="00004D48">
        <w:rPr>
          <w:rFonts w:ascii="Times New Roman" w:hAnsi="Times New Roman" w:cs="Times New Roman"/>
          <w:szCs w:val="20"/>
        </w:rPr>
        <w:t>le</w:t>
      </w:r>
      <w:r w:rsidR="002E68C0">
        <w:rPr>
          <w:rFonts w:ascii="Times New Roman" w:hAnsi="Times New Roman" w:cs="Times New Roman"/>
          <w:szCs w:val="20"/>
        </w:rPr>
        <w:t xml:space="preserve">, as it is written in the </w:t>
      </w:r>
      <w:r w:rsidR="002E68C0" w:rsidRPr="00713F7A">
        <w:rPr>
          <w:rFonts w:ascii="Times New Roman" w:hAnsi="Times New Roman" w:cs="Times New Roman"/>
          <w:i/>
          <w:iCs/>
        </w:rPr>
        <w:t>De Rebus Gestis Rogerii Calabriae et Siciliae Comitis et Roberti Guiscardi Ducis fratris eius</w:t>
      </w:r>
      <w:r w:rsidR="002E68C0">
        <w:rPr>
          <w:rFonts w:ascii="Times New Roman" w:hAnsi="Times New Roman" w:cs="Times New Roman"/>
          <w:i/>
          <w:iCs/>
        </w:rPr>
        <w:t xml:space="preserve">. </w:t>
      </w:r>
      <w:r w:rsidR="002E68C0">
        <w:rPr>
          <w:rFonts w:ascii="Times New Roman" w:hAnsi="Times New Roman" w:cs="Times New Roman"/>
        </w:rPr>
        <w:t>Therefore, it is comfortable to suggest that</w:t>
      </w:r>
      <w:r w:rsidR="00476675">
        <w:rPr>
          <w:rFonts w:ascii="Times New Roman" w:hAnsi="Times New Roman" w:cs="Times New Roman"/>
        </w:rPr>
        <w:t xml:space="preserve"> those were the two main factors in having the chronicles be written. </w:t>
      </w:r>
    </w:p>
    <w:p w14:paraId="06DBAEE8" w14:textId="77777777" w:rsidR="00EE0D8E" w:rsidRDefault="00EE0D8E" w:rsidP="00EE0D8E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6D036620" w14:textId="77777777" w:rsidR="00EE0D8E" w:rsidRDefault="00EE0D8E" w:rsidP="00EE0D8E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47FAF48E" w14:textId="77777777" w:rsidR="00EE0D8E" w:rsidRDefault="00EE0D8E" w:rsidP="00EE0D8E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140D3EB2" w14:textId="3671D4BC" w:rsidR="00EE0D8E" w:rsidRPr="00EE0D8E" w:rsidRDefault="00EE0D8E" w:rsidP="00EE0D8E">
      <w:pPr>
        <w:spacing w:line="360" w:lineRule="auto"/>
        <w:rPr>
          <w:rFonts w:ascii="Times New Roman" w:hAnsi="Times New Roman" w:cs="Times New Roman"/>
          <w:b/>
          <w:bCs/>
        </w:rPr>
      </w:pPr>
      <w:r w:rsidRPr="00EE0D8E">
        <w:rPr>
          <w:rFonts w:ascii="Times New Roman" w:hAnsi="Times New Roman" w:cs="Times New Roman"/>
          <w:b/>
          <w:bCs/>
        </w:rPr>
        <w:t>Bibliography</w:t>
      </w:r>
    </w:p>
    <w:p w14:paraId="5B2AE76A" w14:textId="77777777" w:rsidR="00EE0D8E" w:rsidRDefault="00EE0D8E" w:rsidP="00EE0D8E">
      <w:pPr>
        <w:spacing w:line="360" w:lineRule="auto"/>
        <w:rPr>
          <w:rFonts w:ascii="Times New Roman" w:hAnsi="Times New Roman" w:cs="Times New Roman"/>
        </w:rPr>
      </w:pPr>
      <w:r w:rsidRPr="00EE0D8E">
        <w:rPr>
          <w:rFonts w:ascii="Times New Roman" w:hAnsi="Times New Roman" w:cs="Times New Roman"/>
        </w:rPr>
        <w:t xml:space="preserve">Curtis, Edmund. 1912. </w:t>
      </w:r>
      <w:r w:rsidRPr="00EE0D8E">
        <w:rPr>
          <w:rFonts w:ascii="Times New Roman" w:hAnsi="Times New Roman" w:cs="Times New Roman"/>
          <w:i/>
          <w:iCs/>
        </w:rPr>
        <w:t>Roger of Sicily and the Normans in Lower Italy, 1016-1154</w:t>
      </w:r>
      <w:r w:rsidRPr="00EE0D8E">
        <w:rPr>
          <w:rFonts w:ascii="Times New Roman" w:hAnsi="Times New Roman" w:cs="Times New Roman"/>
        </w:rPr>
        <w:t xml:space="preserve"> (The Knickerbocker Press)</w:t>
      </w:r>
    </w:p>
    <w:p w14:paraId="1817A28E" w14:textId="5DC3D9DB" w:rsidR="00004D48" w:rsidRPr="00EE0D8E" w:rsidRDefault="00004D48" w:rsidP="00EE0D8E">
      <w:pPr>
        <w:spacing w:line="360" w:lineRule="auto"/>
        <w:rPr>
          <w:rFonts w:ascii="Times New Roman" w:hAnsi="Times New Roman" w:cs="Times New Roman"/>
        </w:rPr>
      </w:pPr>
      <w:r>
        <w:t>Dunbar, N. P (2004) ‘The History of the Normans by Amatus of Montecassino’ The Boydell Press</w:t>
      </w:r>
    </w:p>
    <w:p w14:paraId="17FCA28E" w14:textId="77777777" w:rsidR="00EE0D8E" w:rsidRPr="00EE0D8E" w:rsidRDefault="00EE0D8E" w:rsidP="00EE0D8E">
      <w:pPr>
        <w:spacing w:line="360" w:lineRule="auto"/>
        <w:rPr>
          <w:rFonts w:ascii="Times New Roman" w:hAnsi="Times New Roman" w:cs="Times New Roman"/>
        </w:rPr>
      </w:pPr>
      <w:r w:rsidRPr="00EE0D8E">
        <w:rPr>
          <w:rFonts w:ascii="Times New Roman" w:hAnsi="Times New Roman" w:cs="Times New Roman"/>
        </w:rPr>
        <w:t xml:space="preserve">Hicks, Leonie V. 2019. </w:t>
      </w:r>
      <w:r w:rsidRPr="00EE0D8E">
        <w:rPr>
          <w:rFonts w:ascii="Times New Roman" w:hAnsi="Times New Roman" w:cs="Times New Roman"/>
          <w:i/>
          <w:iCs/>
        </w:rPr>
        <w:t>A Short History of the Normans</w:t>
      </w:r>
      <w:r w:rsidRPr="00EE0D8E">
        <w:rPr>
          <w:rFonts w:ascii="Times New Roman" w:hAnsi="Times New Roman" w:cs="Times New Roman"/>
        </w:rPr>
        <w:t xml:space="preserve"> (London Bloomsbury Academic), pp. 69–88</w:t>
      </w:r>
    </w:p>
    <w:p w14:paraId="51F4DB48" w14:textId="177FE151" w:rsidR="00EE0D8E" w:rsidRDefault="00EE0D8E" w:rsidP="00EE0D8E">
      <w:pPr>
        <w:spacing w:line="360" w:lineRule="auto"/>
        <w:rPr>
          <w:rFonts w:ascii="Times New Roman" w:hAnsi="Times New Roman" w:cs="Times New Roman"/>
        </w:rPr>
      </w:pPr>
      <w:r w:rsidRPr="00EE0D8E">
        <w:rPr>
          <w:rFonts w:ascii="Times New Roman" w:hAnsi="Times New Roman" w:cs="Times New Roman"/>
        </w:rPr>
        <w:t>Johns, Jeremy. 1996. ‘</w:t>
      </w:r>
      <w:r w:rsidRPr="00EE0D8E">
        <w:rPr>
          <w:rFonts w:ascii="Times New Roman" w:hAnsi="Times New Roman" w:cs="Times New Roman"/>
          <w:i/>
          <w:iCs/>
        </w:rPr>
        <w:t>Making History: The Normans and Their Historians in Eleventh-Century Italy.</w:t>
      </w:r>
      <w:r w:rsidR="001A0EAF">
        <w:rPr>
          <w:rFonts w:ascii="Times New Roman" w:hAnsi="Times New Roman" w:cs="Times New Roman"/>
          <w:i/>
          <w:iCs/>
        </w:rPr>
        <w:t xml:space="preserve"> </w:t>
      </w:r>
      <w:r w:rsidRPr="00EE0D8E">
        <w:rPr>
          <w:rFonts w:ascii="Times New Roman" w:hAnsi="Times New Roman" w:cs="Times New Roman"/>
        </w:rPr>
        <w:t xml:space="preserve">Kenneth Baxter Wolf’, </w:t>
      </w:r>
      <w:r w:rsidRPr="00EE0D8E">
        <w:rPr>
          <w:rFonts w:ascii="Times New Roman" w:hAnsi="Times New Roman" w:cs="Times New Roman"/>
          <w:i/>
          <w:iCs/>
        </w:rPr>
        <w:t>Speculum</w:t>
      </w:r>
      <w:r w:rsidRPr="00EE0D8E">
        <w:rPr>
          <w:rFonts w:ascii="Times New Roman" w:hAnsi="Times New Roman" w:cs="Times New Roman"/>
        </w:rPr>
        <w:t xml:space="preserve">, 71.2: 507–8 </w:t>
      </w:r>
      <w:hyperlink r:id="rId11" w:history="1">
        <w:r w:rsidR="001A0EAF" w:rsidRPr="00EE0D8E">
          <w:rPr>
            <w:rStyle w:val="Hyperlink"/>
            <w:rFonts w:ascii="Times New Roman" w:hAnsi="Times New Roman" w:cs="Times New Roman"/>
          </w:rPr>
          <w:t>https://doi.org/10.2307/2865486</w:t>
        </w:r>
      </w:hyperlink>
    </w:p>
    <w:p w14:paraId="5E557109" w14:textId="4FBA179B" w:rsidR="001A0EAF" w:rsidRPr="00D947B4" w:rsidRDefault="001A0EAF" w:rsidP="001A0EAF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D947B4">
        <w:rPr>
          <w:rFonts w:ascii="Times New Roman" w:hAnsi="Times New Roman" w:cs="Times New Roman"/>
          <w:sz w:val="22"/>
          <w:szCs w:val="22"/>
        </w:rPr>
        <w:t>E. Johnson, (2005). 'Normandy and Norman Identity in Southern Italian Chronicles', </w:t>
      </w:r>
      <w:r w:rsidRPr="00D947B4">
        <w:rPr>
          <w:rFonts w:ascii="Times New Roman" w:hAnsi="Times New Roman" w:cs="Times New Roman"/>
          <w:i/>
          <w:iCs/>
          <w:sz w:val="22"/>
          <w:szCs w:val="22"/>
        </w:rPr>
        <w:t>Anglo Norman Studies</w:t>
      </w:r>
      <w:r w:rsidRPr="00D947B4">
        <w:rPr>
          <w:rFonts w:ascii="Times New Roman" w:hAnsi="Times New Roman" w:cs="Times New Roman"/>
          <w:sz w:val="22"/>
          <w:szCs w:val="22"/>
        </w:rPr>
        <w:t>, 27, pp.85-100.</w:t>
      </w:r>
    </w:p>
    <w:p w14:paraId="79509E8C" w14:textId="77777777" w:rsidR="001A0EAF" w:rsidRPr="00EE0D8E" w:rsidRDefault="001A0EAF" w:rsidP="001A0EAF">
      <w:pPr>
        <w:pStyle w:val="FootnoteText"/>
      </w:pPr>
    </w:p>
    <w:p w14:paraId="398D2DC0" w14:textId="77777777" w:rsidR="00EE0D8E" w:rsidRPr="00EE0D8E" w:rsidRDefault="00EE0D8E" w:rsidP="00EE0D8E">
      <w:pPr>
        <w:spacing w:line="360" w:lineRule="auto"/>
        <w:rPr>
          <w:rFonts w:ascii="Times New Roman" w:hAnsi="Times New Roman" w:cs="Times New Roman"/>
        </w:rPr>
      </w:pPr>
      <w:r w:rsidRPr="00EE0D8E">
        <w:rPr>
          <w:rFonts w:ascii="Times New Roman" w:hAnsi="Times New Roman" w:cs="Times New Roman"/>
        </w:rPr>
        <w:t xml:space="preserve">Kenneth Baxter Wolf. 1995. </w:t>
      </w:r>
      <w:r w:rsidRPr="00EE0D8E">
        <w:rPr>
          <w:rFonts w:ascii="Times New Roman" w:hAnsi="Times New Roman" w:cs="Times New Roman"/>
          <w:i/>
          <w:iCs/>
        </w:rPr>
        <w:t>Making History the Normans and Their Historians in Eleventh-Century Italy</w:t>
      </w:r>
      <w:r w:rsidRPr="00EE0D8E">
        <w:rPr>
          <w:rFonts w:ascii="Times New Roman" w:hAnsi="Times New Roman" w:cs="Times New Roman"/>
        </w:rPr>
        <w:t xml:space="preserve"> (University Of Pennsylvania Press)</w:t>
      </w:r>
    </w:p>
    <w:p w14:paraId="5442DE1E" w14:textId="77777777" w:rsidR="00EE0D8E" w:rsidRDefault="00EE0D8E" w:rsidP="00EE0D8E">
      <w:pPr>
        <w:spacing w:line="360" w:lineRule="auto"/>
        <w:rPr>
          <w:rFonts w:ascii="Times New Roman" w:hAnsi="Times New Roman" w:cs="Times New Roman"/>
        </w:rPr>
      </w:pPr>
      <w:r w:rsidRPr="00EE0D8E">
        <w:rPr>
          <w:rFonts w:ascii="Times New Roman" w:hAnsi="Times New Roman" w:cs="Times New Roman"/>
        </w:rPr>
        <w:t xml:space="preserve">Loud, Graham. 2014. </w:t>
      </w:r>
      <w:r w:rsidRPr="00EE0D8E">
        <w:rPr>
          <w:rFonts w:ascii="Times New Roman" w:hAnsi="Times New Roman" w:cs="Times New Roman"/>
          <w:i/>
          <w:iCs/>
        </w:rPr>
        <w:t>The Age of Robert Guiscard</w:t>
      </w:r>
      <w:r w:rsidRPr="00EE0D8E">
        <w:rPr>
          <w:rFonts w:ascii="Times New Roman" w:hAnsi="Times New Roman" w:cs="Times New Roman"/>
        </w:rPr>
        <w:t xml:space="preserve"> (Routledge)</w:t>
      </w:r>
    </w:p>
    <w:p w14:paraId="2457E5BF" w14:textId="7375F0FE" w:rsidR="00EE0D8E" w:rsidRPr="00EE0D8E" w:rsidRDefault="00EE0D8E" w:rsidP="00EE0D8E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Loud, Graham</w:t>
      </w:r>
      <w:r w:rsidRPr="00EE0D8E">
        <w:rPr>
          <w:rFonts w:ascii="Times New Roman" w:hAnsi="Times New Roman" w:cs="Times New Roman"/>
        </w:rPr>
        <w:t xml:space="preserve">. 2024. ‘The Deeds of Count Roger of Sicily by Geoffrey Malaterra Part 1 (Translation) - White Rose Research Online’, </w:t>
      </w:r>
      <w:r w:rsidRPr="00EE0D8E">
        <w:rPr>
          <w:rFonts w:ascii="Times New Roman" w:hAnsi="Times New Roman" w:cs="Times New Roman"/>
          <w:i/>
          <w:iCs/>
        </w:rPr>
        <w:t>Whiterose.ac.uk</w:t>
      </w:r>
      <w:r w:rsidRPr="00EE0D8E">
        <w:rPr>
          <w:rFonts w:ascii="Times New Roman" w:hAnsi="Times New Roman" w:cs="Times New Roman"/>
        </w:rPr>
        <w:t xml:space="preserve"> &lt;https://eprints.whiterose.ac.uk/213517/1/Deeds%20of%20Count%20Roger%20part%20one.pdf&gt;</w:t>
      </w:r>
    </w:p>
    <w:p w14:paraId="5B158476" w14:textId="77777777" w:rsidR="00EE0D8E" w:rsidRPr="00EE0D8E" w:rsidRDefault="00EE0D8E" w:rsidP="00EE0D8E">
      <w:pPr>
        <w:spacing w:line="360" w:lineRule="auto"/>
        <w:rPr>
          <w:rFonts w:ascii="Times New Roman" w:hAnsi="Times New Roman" w:cs="Times New Roman"/>
        </w:rPr>
      </w:pPr>
      <w:r w:rsidRPr="00EE0D8E">
        <w:rPr>
          <w:rFonts w:ascii="Times New Roman" w:hAnsi="Times New Roman" w:cs="Times New Roman"/>
        </w:rPr>
        <w:t xml:space="preserve">Sallust. 2008. </w:t>
      </w:r>
      <w:r w:rsidRPr="00EE0D8E">
        <w:rPr>
          <w:rFonts w:ascii="Times New Roman" w:hAnsi="Times New Roman" w:cs="Times New Roman"/>
          <w:i/>
          <w:iCs/>
        </w:rPr>
        <w:t>Catiline’s War, the Jugurthine War, Histories</w:t>
      </w:r>
      <w:r w:rsidRPr="00EE0D8E">
        <w:rPr>
          <w:rFonts w:ascii="Times New Roman" w:hAnsi="Times New Roman" w:cs="Times New Roman"/>
        </w:rPr>
        <w:t>, trans. by AJ Woodman (Penguin)</w:t>
      </w:r>
    </w:p>
    <w:p w14:paraId="638785EC" w14:textId="77777777" w:rsidR="00EE0D8E" w:rsidRPr="00EE0D8E" w:rsidRDefault="00EE0D8E" w:rsidP="00EE0D8E">
      <w:pPr>
        <w:spacing w:line="360" w:lineRule="auto"/>
        <w:rPr>
          <w:rFonts w:ascii="Times New Roman" w:hAnsi="Times New Roman" w:cs="Times New Roman"/>
        </w:rPr>
      </w:pPr>
      <w:r w:rsidRPr="00EE0D8E">
        <w:rPr>
          <w:rFonts w:ascii="Times New Roman" w:hAnsi="Times New Roman" w:cs="Times New Roman"/>
        </w:rPr>
        <w:t xml:space="preserve">Van Houts, Elisabeth. 2008. </w:t>
      </w:r>
      <w:r w:rsidRPr="00EE0D8E">
        <w:rPr>
          <w:rFonts w:ascii="Times New Roman" w:hAnsi="Times New Roman" w:cs="Times New Roman"/>
          <w:i/>
          <w:iCs/>
        </w:rPr>
        <w:t>The Normans in Europe</w:t>
      </w:r>
      <w:r w:rsidRPr="00EE0D8E">
        <w:rPr>
          <w:rFonts w:ascii="Times New Roman" w:hAnsi="Times New Roman" w:cs="Times New Roman"/>
        </w:rPr>
        <w:t xml:space="preserve"> (Manchester: Manchester Univ. Press)</w:t>
      </w:r>
    </w:p>
    <w:p w14:paraId="168ED732" w14:textId="77777777" w:rsidR="00EE0D8E" w:rsidRPr="002E68C0" w:rsidRDefault="00EE0D8E" w:rsidP="00C26BD3">
      <w:pPr>
        <w:spacing w:line="360" w:lineRule="auto"/>
        <w:rPr>
          <w:rFonts w:ascii="Times New Roman" w:hAnsi="Times New Roman" w:cs="Times New Roman"/>
        </w:rPr>
      </w:pPr>
    </w:p>
    <w:sectPr w:rsidR="00EE0D8E" w:rsidRPr="002E68C0">
      <w:head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019CCDD" w14:textId="77777777" w:rsidR="00A11A1F" w:rsidRDefault="00A11A1F" w:rsidP="00A11A1F">
      <w:pPr>
        <w:spacing w:after="0" w:line="240" w:lineRule="auto"/>
      </w:pPr>
      <w:r>
        <w:separator/>
      </w:r>
    </w:p>
  </w:endnote>
  <w:endnote w:type="continuationSeparator" w:id="0">
    <w:p w14:paraId="18971F08" w14:textId="77777777" w:rsidR="00A11A1F" w:rsidRDefault="00A11A1F" w:rsidP="00A11A1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C0C4BA0" w14:textId="77777777" w:rsidR="00A11A1F" w:rsidRDefault="00A11A1F" w:rsidP="00A11A1F">
      <w:pPr>
        <w:spacing w:after="0" w:line="240" w:lineRule="auto"/>
      </w:pPr>
      <w:r>
        <w:separator/>
      </w:r>
    </w:p>
  </w:footnote>
  <w:footnote w:type="continuationSeparator" w:id="0">
    <w:p w14:paraId="58F93D02" w14:textId="77777777" w:rsidR="00A11A1F" w:rsidRDefault="00A11A1F" w:rsidP="00A11A1F">
      <w:pPr>
        <w:spacing w:after="0" w:line="240" w:lineRule="auto"/>
      </w:pPr>
      <w:r>
        <w:continuationSeparator/>
      </w:r>
    </w:p>
  </w:footnote>
  <w:footnote w:id="1">
    <w:p w14:paraId="670CF3B4" w14:textId="72D13DA6" w:rsidR="00C924E7" w:rsidRDefault="00C924E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924E7">
        <w:t xml:space="preserve">E. Johnson, </w:t>
      </w:r>
      <w:r w:rsidR="009211F3">
        <w:t xml:space="preserve">(2005). </w:t>
      </w:r>
      <w:r w:rsidRPr="00C924E7">
        <w:t>'Normandy and Norman Identity in Southern Italian Chronicles', </w:t>
      </w:r>
      <w:r w:rsidRPr="00C924E7">
        <w:rPr>
          <w:i/>
          <w:iCs/>
        </w:rPr>
        <w:t>Anglo Norman Studies</w:t>
      </w:r>
      <w:r w:rsidRPr="00C924E7">
        <w:t>, 27, pp.85-100</w:t>
      </w:r>
      <w:r w:rsidR="0050137A">
        <w:t>.</w:t>
      </w:r>
    </w:p>
  </w:footnote>
  <w:footnote w:id="2">
    <w:p w14:paraId="29B37ABB" w14:textId="3BD06FA1" w:rsidR="0068351B" w:rsidRDefault="0068351B">
      <w:pPr>
        <w:pStyle w:val="FootnoteText"/>
      </w:pPr>
      <w:r>
        <w:rPr>
          <w:rStyle w:val="FootnoteReference"/>
        </w:rPr>
        <w:footnoteRef/>
      </w:r>
      <w:r>
        <w:t xml:space="preserve"> ibid</w:t>
      </w:r>
    </w:p>
  </w:footnote>
  <w:footnote w:id="3">
    <w:p w14:paraId="7473DF46" w14:textId="049E21D9" w:rsidR="00624EF3" w:rsidRDefault="00624EF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924E7">
        <w:rPr>
          <w:i/>
          <w:iCs/>
        </w:rPr>
        <w:t>Wolf, Kenneth Baxter (1995). Making History: The Normans and their Historians in Eleventh-Century Italy. Philadelphia: University of Pennsylvania Press. pp. 144–5.</w:t>
      </w:r>
    </w:p>
  </w:footnote>
  <w:footnote w:id="4">
    <w:p w14:paraId="781DFDAC" w14:textId="460D3154" w:rsidR="004B667D" w:rsidRDefault="0091574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B667D">
        <w:t>Loud, G.A. (2024). ‘The Deeds of Count Roger of Sicily by Geoffrey Malaterra Part 1 (Translation) – White Rose Research Online</w:t>
      </w:r>
      <w:r w:rsidR="00AD7B28">
        <w:t xml:space="preserve"> </w:t>
      </w:r>
    </w:p>
  </w:footnote>
  <w:footnote w:id="5">
    <w:p w14:paraId="62D15A5C" w14:textId="7803E80B" w:rsidR="00C924E7" w:rsidRDefault="00C924E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924E7">
        <w:t> </w:t>
      </w:r>
      <w:r w:rsidRPr="00C924E7">
        <w:rPr>
          <w:i/>
          <w:iCs/>
        </w:rPr>
        <w:t>Wolf, Kenneth Baxter (1995). Making History: The Normans and their Historians in Eleventh-Century Italy. Philadelphia: University of Pennsylvania Press. pp. 144–5.</w:t>
      </w:r>
    </w:p>
  </w:footnote>
  <w:footnote w:id="6">
    <w:p w14:paraId="70D9856A" w14:textId="71EF6953" w:rsidR="00521D53" w:rsidRDefault="00521D5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>Loud, G.A. (2024). ‘The Deeds of Count Roger of Sicily by Geoffrey Malaterra Part 1 (Translation) – White Rose Research Online</w:t>
      </w:r>
    </w:p>
  </w:footnote>
  <w:footnote w:id="7">
    <w:p w14:paraId="20FABD9B" w14:textId="2A00E890" w:rsidR="002C0D9F" w:rsidRDefault="002C0D9F">
      <w:pPr>
        <w:pStyle w:val="FootnoteText"/>
      </w:pPr>
      <w:r>
        <w:rPr>
          <w:rStyle w:val="FootnoteReference"/>
        </w:rPr>
        <w:footnoteRef/>
      </w:r>
      <w:r>
        <w:t xml:space="preserve"> ibid</w:t>
      </w:r>
    </w:p>
  </w:footnote>
  <w:footnote w:id="8">
    <w:p w14:paraId="443D6579" w14:textId="7768E121" w:rsidR="00491636" w:rsidRDefault="0049163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85D03" w:rsidRPr="00285D03">
        <w:t> Woodman 2008, p. xxvii. "When Sallust died, probably in 35..."</w:t>
      </w:r>
    </w:p>
  </w:footnote>
  <w:footnote w:id="9">
    <w:p w14:paraId="2A1AB167" w14:textId="0D91B497" w:rsidR="00E4187D" w:rsidRDefault="00E4187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>Loud, G.A. (2024). ‘The Deeds of Count Roger of Sicily by Geoffrey Malaterra Part 1 (Translation) – White Rose Research Online</w:t>
      </w:r>
    </w:p>
  </w:footnote>
  <w:footnote w:id="10">
    <w:p w14:paraId="76185298" w14:textId="38BA1687" w:rsidR="003E38AC" w:rsidRDefault="003E38A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3E38AC">
        <w:t>Wolf, Kenneth Baxter (1995). </w:t>
      </w:r>
      <w:r w:rsidRPr="003E38AC">
        <w:rPr>
          <w:i/>
          <w:iCs/>
        </w:rPr>
        <w:t>Making History: The Normans and their Historians in Eleventh-Century Italy</w:t>
      </w:r>
      <w:r w:rsidRPr="003E38AC">
        <w:t>. Philadelphia: University of Pennsylvania Press. pp. 146–7.</w:t>
      </w:r>
    </w:p>
  </w:footnote>
  <w:footnote w:id="11">
    <w:p w14:paraId="16D0A8DE" w14:textId="5B033695" w:rsidR="005F4125" w:rsidRDefault="005F412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 xml:space="preserve">Loud, G.A. (2024). ‘The Deeds of Count Roger of Sicily by Geoffrey Malaterra Part 1 (Translation) – White Rose Research Online </w:t>
      </w:r>
    </w:p>
  </w:footnote>
  <w:footnote w:id="12">
    <w:p w14:paraId="15CF75AD" w14:textId="1CDF07B4" w:rsidR="00180924" w:rsidRDefault="00180924">
      <w:pPr>
        <w:pStyle w:val="FootnoteText"/>
      </w:pPr>
      <w:r>
        <w:rPr>
          <w:rStyle w:val="FootnoteReference"/>
        </w:rPr>
        <w:footnoteRef/>
      </w:r>
      <w:r>
        <w:t xml:space="preserve"> ibid</w:t>
      </w:r>
    </w:p>
  </w:footnote>
  <w:footnote w:id="13">
    <w:p w14:paraId="51023478" w14:textId="02619956" w:rsidR="00422733" w:rsidRDefault="00422733">
      <w:pPr>
        <w:pStyle w:val="FootnoteText"/>
      </w:pPr>
      <w:r>
        <w:rPr>
          <w:rStyle w:val="FootnoteReference"/>
        </w:rPr>
        <w:footnoteRef/>
      </w:r>
      <w:r>
        <w:t xml:space="preserve"> ibid</w:t>
      </w:r>
    </w:p>
  </w:footnote>
  <w:footnote w:id="14">
    <w:p w14:paraId="59532AF3" w14:textId="14872795" w:rsidR="008043EF" w:rsidRDefault="008043E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8043EF">
        <w:t>Johns,</w:t>
      </w:r>
      <w:r w:rsidR="00DF43CB">
        <w:t xml:space="preserve"> J. (1997).</w:t>
      </w:r>
      <w:r w:rsidRPr="008043EF">
        <w:t xml:space="preserve"> ‘Making History. The Normans and Their Historians in Eleventh-Century Italy.’, </w:t>
      </w:r>
      <w:r w:rsidRPr="008043EF">
        <w:rPr>
          <w:i/>
          <w:iCs/>
        </w:rPr>
        <w:t>The English Historical Review.</w:t>
      </w:r>
      <w:r w:rsidRPr="008043EF">
        <w:t>, 112.448</w:t>
      </w:r>
    </w:p>
  </w:footnote>
  <w:footnote w:id="15">
    <w:p w14:paraId="47E698E5" w14:textId="5D75B0B3" w:rsidR="00F5659D" w:rsidRDefault="00F5659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>Loud, G.A. (2024). ‘The Deeds of Count Roger of Sicily by Geoffrey Malaterra Part 1 (Translation) – White Rose Research Online</w:t>
      </w:r>
    </w:p>
  </w:footnote>
  <w:footnote w:id="16">
    <w:p w14:paraId="0E6637F3" w14:textId="6A0726EF" w:rsidR="003F4C5D" w:rsidRDefault="003F4C5D">
      <w:pPr>
        <w:pStyle w:val="FootnoteText"/>
      </w:pPr>
      <w:r>
        <w:rPr>
          <w:rStyle w:val="FootnoteReference"/>
        </w:rPr>
        <w:footnoteRef/>
      </w:r>
      <w:r>
        <w:t xml:space="preserve"> ibid</w:t>
      </w:r>
    </w:p>
  </w:footnote>
  <w:footnote w:id="17">
    <w:p w14:paraId="285C539C" w14:textId="424DC6F6" w:rsidR="00DB4387" w:rsidRDefault="00DB4387">
      <w:pPr>
        <w:pStyle w:val="FootnoteText"/>
      </w:pPr>
      <w:r>
        <w:rPr>
          <w:rStyle w:val="FootnoteReference"/>
        </w:rPr>
        <w:footnoteRef/>
      </w:r>
      <w:r>
        <w:t xml:space="preserve"> ibid</w:t>
      </w:r>
    </w:p>
  </w:footnote>
  <w:footnote w:id="18">
    <w:p w14:paraId="127078A9" w14:textId="41782710" w:rsidR="00B8358A" w:rsidRDefault="00B8358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>Loud, G.A. (2024). ‘The Deeds of Count Roger of Sicily by Geoffrey Malaterra Part 1 (Translation) – White Rose Research Online</w:t>
      </w:r>
    </w:p>
  </w:footnote>
  <w:footnote w:id="19">
    <w:p w14:paraId="13DD2A55" w14:textId="44184AAF" w:rsidR="00ED5EA7" w:rsidRDefault="00ED5EA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8358A">
        <w:t>ibid</w:t>
      </w:r>
    </w:p>
  </w:footnote>
  <w:footnote w:id="20">
    <w:p w14:paraId="556AB270" w14:textId="467012EA" w:rsidR="00CA2FDC" w:rsidRDefault="00CA2FDC">
      <w:pPr>
        <w:pStyle w:val="FootnoteText"/>
      </w:pPr>
      <w:r>
        <w:rPr>
          <w:rStyle w:val="FootnoteReference"/>
        </w:rPr>
        <w:footnoteRef/>
      </w:r>
      <w:r>
        <w:t xml:space="preserve"> ibid</w:t>
      </w:r>
    </w:p>
  </w:footnote>
  <w:footnote w:id="21">
    <w:p w14:paraId="3DB7249B" w14:textId="77211617" w:rsidR="00004D48" w:rsidRDefault="00004D48">
      <w:pPr>
        <w:pStyle w:val="FootnoteText"/>
      </w:pPr>
      <w:r>
        <w:rPr>
          <w:rStyle w:val="FootnoteReference"/>
        </w:rPr>
        <w:footnoteRef/>
      </w:r>
      <w:r>
        <w:t xml:space="preserve"> Dunbar, N. P (2004) ‘The History of the Normans by Amatus of Montecassino’ The Boydell Press</w:t>
      </w:r>
    </w:p>
  </w:footnote>
  <w:footnote w:id="22">
    <w:p w14:paraId="16812849" w14:textId="5CBB3446" w:rsidR="00860651" w:rsidRDefault="0086065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04D48">
        <w:t>Loud, G.A. (2024). ‘The Deeds of Count Roger of Sicily by Geoffrey Malaterra Part 1 (Translation) – White Rose Research Online</w:t>
      </w:r>
    </w:p>
  </w:footnote>
  <w:footnote w:id="23">
    <w:p w14:paraId="285A05CB" w14:textId="3392B332" w:rsidR="00936AD8" w:rsidRDefault="00936AD8">
      <w:pPr>
        <w:pStyle w:val="FootnoteText"/>
      </w:pPr>
      <w:r>
        <w:rPr>
          <w:rStyle w:val="FootnoteReference"/>
        </w:rPr>
        <w:footnoteRef/>
      </w:r>
      <w:r>
        <w:t xml:space="preserve"> Leonie, V. H. (</w:t>
      </w:r>
      <w:r w:rsidR="005B1EFC">
        <w:t>2019</w:t>
      </w:r>
      <w:r>
        <w:t>). ‘A Short History of the Normans’</w:t>
      </w:r>
      <w:r w:rsidR="001678D0">
        <w:t xml:space="preserve"> Bloomsbury Academic </w:t>
      </w:r>
      <w:r w:rsidR="00A45EF0">
        <w:t xml:space="preserve">69 – 88 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C3DBD5F" w14:textId="0C5333E5" w:rsidR="00EA6209" w:rsidRDefault="006E6A1F">
    <w:pPr>
      <w:pStyle w:val="Header"/>
      <w:jc w:val="center"/>
      <w:rPr>
        <w:color w:val="156082" w:themeColor="accent1"/>
        <w:sz w:val="20"/>
      </w:rPr>
    </w:pPr>
    <w:sdt>
      <w:sdtPr>
        <w:rPr>
          <w:sz w:val="20"/>
          <w:szCs w:val="20"/>
        </w:rPr>
        <w:id w:val="-571195893"/>
        <w:docPartObj>
          <w:docPartGallery w:val="Page Numbers (Margins)"/>
          <w:docPartUnique/>
        </w:docPartObj>
      </w:sdtPr>
      <w:sdtContent>
        <w:r w:rsidRPr="006E6A1F">
          <w:rPr>
            <w:noProof/>
            <w:sz w:val="20"/>
            <w:szCs w:val="20"/>
          </w:rPr>
          <mc:AlternateContent>
            <mc:Choice Requires="wps">
              <w:drawing>
                <wp:anchor distT="0" distB="0" distL="114300" distR="114300" simplePos="0" relativeHeight="251659264" behindDoc="0" locked="0" layoutInCell="0" allowOverlap="1" wp14:anchorId="293308F3" wp14:editId="725810A0">
                  <wp:simplePos x="0" y="0"/>
                  <wp:positionH relativeFrom="rightMargin">
                    <wp:align>right</wp:align>
                  </wp:positionH>
                  <mc:AlternateContent>
                    <mc:Choice Requires="wp14">
                      <wp:positionV relativeFrom="margin">
                        <wp14:pctPosVOffset>10000</wp14:pctPosVOffset>
                      </wp:positionV>
                    </mc:Choice>
                    <mc:Fallback>
                      <wp:positionV relativeFrom="page">
                        <wp:posOffset>1800225</wp:posOffset>
                      </wp:positionV>
                    </mc:Fallback>
                  </mc:AlternateContent>
                  <wp:extent cx="821055" cy="396240"/>
                  <wp:effectExtent l="0" t="0" r="1905" b="4445"/>
                  <wp:wrapNone/>
                  <wp:docPr id="1253533505" name="Rectangl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821055" cy="396240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5EB21EE" w14:textId="77777777" w:rsidR="006E6A1F" w:rsidRDefault="006E6A1F">
                              <w:pPr>
                                <w:pBdr>
                                  <w:top w:val="single" w:sz="4" w:space="1" w:color="D8D8D8" w:themeColor="background1" w:themeShade="D8"/>
                                </w:pBdr>
                              </w:pPr>
                              <w:r>
                                <w:t xml:space="preserve">Page | </w:t>
                              </w:r>
                              <w:r>
                                <w:fldChar w:fldCharType="begin"/>
                              </w:r>
                              <w:r>
                                <w:instrText xml:space="preserve"> PAGE   \* MERGEFORMAT </w:instrText>
                              </w:r>
                              <w:r>
                                <w:fldChar w:fldCharType="separate"/>
                              </w:r>
                              <w:r>
                                <w:rPr>
                                  <w:noProof/>
                                </w:rPr>
                                <w:t>2</w:t>
                              </w:r>
                              <w:r>
                                <w:rPr>
                                  <w:noProof/>
                                </w:rPr>
                                <w:fldChar w:fldCharType="end"/>
                              </w:r>
                            </w:p>
                          </w:txbxContent>
                        </wps:txbx>
                        <wps:bodyPr rot="0" vert="horz" wrap="square" lIns="0" tIns="45720" rIns="0" bIns="45720" anchor="t" anchorCtr="0" upright="1">
                          <a:spAutoFit/>
                        </wps:bodyPr>
                      </wps:wsp>
                    </a:graphicData>
                  </a:graphic>
                  <wp14:sizeRelH relativeFrom="rightMargin">
                    <wp14:pctWidth>90000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rect w14:anchorId="293308F3" id="Rectangle 1" o:spid="_x0000_s1026" style="position:absolute;left:0;text-align:left;margin-left:13.45pt;margin-top:0;width:64.65pt;height:31.2pt;z-index:251659264;visibility:visible;mso-wrap-style:square;mso-width-percent:900;mso-height-percent:0;mso-top-percent:100;mso-wrap-distance-left:9pt;mso-wrap-distance-top:0;mso-wrap-distance-right:9pt;mso-wrap-distance-bottom:0;mso-position-horizontal:right;mso-position-horizontal-relative:right-margin-area;mso-position-vertical-relative:margin;mso-width-percent:900;mso-height-percent:0;mso-top-percent:100;mso-width-relative:right-margin-area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" o:allowincell="f" stroked="f">
                  <v:textbox style="mso-fit-shape-to-text:t" inset="0,,0">
                    <w:txbxContent>
                      <w:p w14:paraId="25EB21EE" w14:textId="77777777" w:rsidR="006E6A1F" w:rsidRDefault="006E6A1F">
                        <w:pPr>
                          <w:pBdr>
                            <w:top w:val="single" w:sz="4" w:space="1" w:color="D8D8D8" w:themeColor="background1" w:themeShade="D8"/>
                          </w:pBdr>
                        </w:pPr>
                        <w:r>
                          <w:t xml:space="preserve">Page | </w:t>
                        </w:r>
                        <w:r>
                          <w:fldChar w:fldCharType="begin"/>
                        </w:r>
                        <w:r>
                          <w:instrText xml:space="preserve"> PAGE   \* MERGEFORMAT </w:instrText>
                        </w:r>
                        <w:r>
                          <w:fldChar w:fldCharType="separate"/>
                        </w:r>
                        <w:r>
                          <w:rPr>
                            <w:noProof/>
                          </w:rPr>
                          <w:t>2</w:t>
                        </w:r>
                        <w:r>
                          <w:rPr>
                            <w:noProof/>
                          </w:rPr>
                          <w:fldChar w:fldCharType="end"/>
                        </w:r>
                      </w:p>
                    </w:txbxContent>
                  </v:textbox>
                  <w10:wrap anchorx="margin" anchory="margin"/>
                </v:rect>
              </w:pict>
            </mc:Fallback>
          </mc:AlternateContent>
        </w:r>
      </w:sdtContent>
    </w:sdt>
    <w:sdt>
      <w:sdtPr>
        <w:rPr>
          <w:sz w:val="20"/>
          <w:szCs w:val="20"/>
        </w:rPr>
        <w:alias w:val="Author"/>
        <w:tag w:val=""/>
        <w:id w:val="-952397527"/>
        <w:placeholder>
          <w:docPart w:val="800B3EE209AA4D97BA9FE125897B7B20"/>
        </w:placeholder>
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<w:text/>
      </w:sdtPr>
      <w:sdtContent>
        <w:r w:rsidR="00EA6209" w:rsidRPr="006E6A1F">
          <w:rPr>
            <w:sz w:val="20"/>
            <w:szCs w:val="20"/>
          </w:rPr>
          <w:t>Evan Davies (2304228)</w:t>
        </w:r>
      </w:sdtContent>
    </w:sdt>
  </w:p>
  <w:p w14:paraId="1796D5AF" w14:textId="53EA3A41" w:rsidR="00EA6209" w:rsidRDefault="00EA6209">
    <w:pPr>
      <w:pStyle w:val="Header"/>
      <w:jc w:val="center"/>
      <w:rPr>
        <w:caps/>
        <w:color w:val="156082" w:themeColor="accent1"/>
      </w:rPr>
    </w:pPr>
    <w:r>
      <w:rPr>
        <w:caps/>
        <w:color w:val="156082" w:themeColor="accent1"/>
      </w:rPr>
      <w:t xml:space="preserve"> </w:t>
    </w:r>
    <w:sdt>
      <w:sdtPr>
        <w:alias w:val="Title"/>
        <w:tag w:val=""/>
        <w:id w:val="-1954942076"/>
        <w:placeholder>
          <w:docPart w:val="F61342456E11487E8A6DA1463A300170"/>
        </w:placeholder>
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<w:text/>
      </w:sdtPr>
      <w:sdtContent>
        <w:r w:rsidR="006E6A1F" w:rsidRPr="006E6A1F">
          <w:t xml:space="preserve">A </w:t>
        </w:r>
        <w:r w:rsidR="006E6A1F">
          <w:t>Commentary on</w:t>
        </w:r>
        <w:r w:rsidR="006E6A1F" w:rsidRPr="006E6A1F">
          <w:t xml:space="preserve"> The Deeds of Count Roger of Calabria and Sicily and of Duke Robert Guiscard his brother</w:t>
        </w:r>
      </w:sdtContent>
    </w:sdt>
  </w:p>
  <w:p w14:paraId="7D12E895" w14:textId="77777777" w:rsidR="00EA6209" w:rsidRDefault="00EA620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977B23"/>
    <w:multiLevelType w:val="multilevel"/>
    <w:tmpl w:val="67BE3D7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E4A23A8"/>
    <w:multiLevelType w:val="hybridMultilevel"/>
    <w:tmpl w:val="B49A0D5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A987923"/>
    <w:multiLevelType w:val="multilevel"/>
    <w:tmpl w:val="F47CEE9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53676BE0"/>
    <w:multiLevelType w:val="multilevel"/>
    <w:tmpl w:val="7EB0CA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011028194">
    <w:abstractNumId w:val="1"/>
  </w:num>
  <w:num w:numId="2" w16cid:durableId="2143838451">
    <w:abstractNumId w:val="3"/>
  </w:num>
  <w:num w:numId="3" w16cid:durableId="437336224">
    <w:abstractNumId w:val="0"/>
  </w:num>
  <w:num w:numId="4" w16cid:durableId="43217257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3427"/>
    <w:rsid w:val="00001D10"/>
    <w:rsid w:val="00004D48"/>
    <w:rsid w:val="0001137B"/>
    <w:rsid w:val="000174B6"/>
    <w:rsid w:val="00041F49"/>
    <w:rsid w:val="0005313C"/>
    <w:rsid w:val="000538EB"/>
    <w:rsid w:val="000601DC"/>
    <w:rsid w:val="00081518"/>
    <w:rsid w:val="00096939"/>
    <w:rsid w:val="000D0C8F"/>
    <w:rsid w:val="0013210C"/>
    <w:rsid w:val="00155894"/>
    <w:rsid w:val="001678D0"/>
    <w:rsid w:val="00180924"/>
    <w:rsid w:val="001848C3"/>
    <w:rsid w:val="001904C4"/>
    <w:rsid w:val="001A0EAF"/>
    <w:rsid w:val="001E3A55"/>
    <w:rsid w:val="00263CD0"/>
    <w:rsid w:val="00285D03"/>
    <w:rsid w:val="0029049B"/>
    <w:rsid w:val="00294E0B"/>
    <w:rsid w:val="002A014A"/>
    <w:rsid w:val="002A5245"/>
    <w:rsid w:val="002A65CA"/>
    <w:rsid w:val="002A7379"/>
    <w:rsid w:val="002C0D9F"/>
    <w:rsid w:val="002C7FDE"/>
    <w:rsid w:val="002E68C0"/>
    <w:rsid w:val="00317561"/>
    <w:rsid w:val="00327996"/>
    <w:rsid w:val="00386A42"/>
    <w:rsid w:val="003876C7"/>
    <w:rsid w:val="00387F68"/>
    <w:rsid w:val="003B2A8E"/>
    <w:rsid w:val="003D3A1C"/>
    <w:rsid w:val="003D6EDF"/>
    <w:rsid w:val="003E2099"/>
    <w:rsid w:val="003E38AC"/>
    <w:rsid w:val="003E6836"/>
    <w:rsid w:val="003F4C5D"/>
    <w:rsid w:val="00400804"/>
    <w:rsid w:val="00415899"/>
    <w:rsid w:val="00422733"/>
    <w:rsid w:val="00442000"/>
    <w:rsid w:val="00470D0B"/>
    <w:rsid w:val="00476675"/>
    <w:rsid w:val="00491636"/>
    <w:rsid w:val="00493450"/>
    <w:rsid w:val="00497FED"/>
    <w:rsid w:val="004B667D"/>
    <w:rsid w:val="004D4109"/>
    <w:rsid w:val="004D6B1B"/>
    <w:rsid w:val="0050137A"/>
    <w:rsid w:val="00515803"/>
    <w:rsid w:val="00521D53"/>
    <w:rsid w:val="005343C2"/>
    <w:rsid w:val="005475AD"/>
    <w:rsid w:val="0058293F"/>
    <w:rsid w:val="00594595"/>
    <w:rsid w:val="005A4A0E"/>
    <w:rsid w:val="005A646C"/>
    <w:rsid w:val="005B1EFC"/>
    <w:rsid w:val="005B2AA8"/>
    <w:rsid w:val="005F4125"/>
    <w:rsid w:val="006030EC"/>
    <w:rsid w:val="00612B21"/>
    <w:rsid w:val="00624EF3"/>
    <w:rsid w:val="00633FC2"/>
    <w:rsid w:val="00640F49"/>
    <w:rsid w:val="00644FDB"/>
    <w:rsid w:val="00661E9E"/>
    <w:rsid w:val="00673F8E"/>
    <w:rsid w:val="0068351B"/>
    <w:rsid w:val="006A188F"/>
    <w:rsid w:val="006A63A5"/>
    <w:rsid w:val="006B48F1"/>
    <w:rsid w:val="006B57D3"/>
    <w:rsid w:val="006D542D"/>
    <w:rsid w:val="006E6A1F"/>
    <w:rsid w:val="006F6987"/>
    <w:rsid w:val="007031F4"/>
    <w:rsid w:val="00712E00"/>
    <w:rsid w:val="00713F7A"/>
    <w:rsid w:val="007313A9"/>
    <w:rsid w:val="00733898"/>
    <w:rsid w:val="00740D5E"/>
    <w:rsid w:val="00741E6A"/>
    <w:rsid w:val="00780523"/>
    <w:rsid w:val="007A2BD9"/>
    <w:rsid w:val="007A42A9"/>
    <w:rsid w:val="007C17DA"/>
    <w:rsid w:val="007C1B9E"/>
    <w:rsid w:val="007C4490"/>
    <w:rsid w:val="008043EF"/>
    <w:rsid w:val="008341C2"/>
    <w:rsid w:val="0085691E"/>
    <w:rsid w:val="00857380"/>
    <w:rsid w:val="00860651"/>
    <w:rsid w:val="00861372"/>
    <w:rsid w:val="00867C94"/>
    <w:rsid w:val="00896D43"/>
    <w:rsid w:val="008A1B3C"/>
    <w:rsid w:val="008B183C"/>
    <w:rsid w:val="008D73CC"/>
    <w:rsid w:val="008F50C5"/>
    <w:rsid w:val="00915742"/>
    <w:rsid w:val="009211F3"/>
    <w:rsid w:val="00921F54"/>
    <w:rsid w:val="0092672D"/>
    <w:rsid w:val="009349A9"/>
    <w:rsid w:val="00936AD8"/>
    <w:rsid w:val="009541FF"/>
    <w:rsid w:val="0099591E"/>
    <w:rsid w:val="009A5A0D"/>
    <w:rsid w:val="009A60F7"/>
    <w:rsid w:val="009D04FF"/>
    <w:rsid w:val="009D39FC"/>
    <w:rsid w:val="00A04ACB"/>
    <w:rsid w:val="00A11A1F"/>
    <w:rsid w:val="00A13AE7"/>
    <w:rsid w:val="00A41810"/>
    <w:rsid w:val="00A45EF0"/>
    <w:rsid w:val="00A46C96"/>
    <w:rsid w:val="00A80B31"/>
    <w:rsid w:val="00AA37D7"/>
    <w:rsid w:val="00AA6809"/>
    <w:rsid w:val="00AB2FA1"/>
    <w:rsid w:val="00AC1684"/>
    <w:rsid w:val="00AD7B28"/>
    <w:rsid w:val="00B07263"/>
    <w:rsid w:val="00B36AA1"/>
    <w:rsid w:val="00B73427"/>
    <w:rsid w:val="00B758F2"/>
    <w:rsid w:val="00B8358A"/>
    <w:rsid w:val="00BC6A40"/>
    <w:rsid w:val="00BD66E1"/>
    <w:rsid w:val="00BE4203"/>
    <w:rsid w:val="00C21591"/>
    <w:rsid w:val="00C26BD3"/>
    <w:rsid w:val="00C924E7"/>
    <w:rsid w:val="00CA04E5"/>
    <w:rsid w:val="00CA2FDC"/>
    <w:rsid w:val="00CB680F"/>
    <w:rsid w:val="00D35166"/>
    <w:rsid w:val="00D44B49"/>
    <w:rsid w:val="00D776BD"/>
    <w:rsid w:val="00D91DBE"/>
    <w:rsid w:val="00D93B4C"/>
    <w:rsid w:val="00D947B4"/>
    <w:rsid w:val="00DB4387"/>
    <w:rsid w:val="00DF43CB"/>
    <w:rsid w:val="00E01048"/>
    <w:rsid w:val="00E04385"/>
    <w:rsid w:val="00E23260"/>
    <w:rsid w:val="00E4187D"/>
    <w:rsid w:val="00E520B8"/>
    <w:rsid w:val="00E53DA9"/>
    <w:rsid w:val="00E62033"/>
    <w:rsid w:val="00E70FE7"/>
    <w:rsid w:val="00E7182A"/>
    <w:rsid w:val="00E71ED4"/>
    <w:rsid w:val="00E76387"/>
    <w:rsid w:val="00E8475F"/>
    <w:rsid w:val="00EA14BE"/>
    <w:rsid w:val="00EA6209"/>
    <w:rsid w:val="00EC4F68"/>
    <w:rsid w:val="00ED5EA7"/>
    <w:rsid w:val="00ED694D"/>
    <w:rsid w:val="00EE0D8E"/>
    <w:rsid w:val="00F167D2"/>
    <w:rsid w:val="00F46BFB"/>
    <w:rsid w:val="00F55D4A"/>
    <w:rsid w:val="00F5659D"/>
    <w:rsid w:val="00FB33C0"/>
    <w:rsid w:val="00FC1340"/>
    <w:rsid w:val="00FD4675"/>
    <w:rsid w:val="00FE3D0F"/>
    <w:rsid w:val="00FF04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1"/>
    </o:shapelayout>
  </w:shapeDefaults>
  <w:decimalSymbol w:val="."/>
  <w:listSeparator w:val=","/>
  <w14:docId w14:val="565794C6"/>
  <w15:chartTrackingRefBased/>
  <w15:docId w15:val="{46C5DAF0-59B1-44C0-B4D7-A1B5678249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7342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7342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7342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7342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7342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7342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7342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7342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7342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7342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7342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7342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7342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7342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7342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7342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7342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7342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7342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7342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7342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7342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7342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7342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7342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7342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7342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7342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73427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A11A1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11A1F"/>
  </w:style>
  <w:style w:type="paragraph" w:styleId="Footer">
    <w:name w:val="footer"/>
    <w:basedOn w:val="Normal"/>
    <w:link w:val="FooterChar"/>
    <w:uiPriority w:val="99"/>
    <w:unhideWhenUsed/>
    <w:rsid w:val="00A11A1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11A1F"/>
  </w:style>
  <w:style w:type="paragraph" w:styleId="FootnoteText">
    <w:name w:val="footnote text"/>
    <w:basedOn w:val="Normal"/>
    <w:link w:val="FootnoteTextChar"/>
    <w:uiPriority w:val="99"/>
    <w:unhideWhenUsed/>
    <w:rsid w:val="00A11A1F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A11A1F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A11A1F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285D0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85D0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7479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5294321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743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127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7221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2538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0026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130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985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404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152295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0358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970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451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8088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82834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doi.org/10.2307/2865486" TargetMode="External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800B3EE209AA4D97BA9FE125897B7B2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BA075F0-D939-4844-B8B4-E54B4F52D545}"/>
      </w:docPartPr>
      <w:docPartBody>
        <w:p w:rsidR="00AE08CA" w:rsidRDefault="00AE08CA" w:rsidP="00AE08CA">
          <w:pPr>
            <w:pStyle w:val="800B3EE209AA4D97BA9FE125897B7B20"/>
          </w:pPr>
          <w:r>
            <w:rPr>
              <w:color w:val="156082" w:themeColor="accent1"/>
              <w:sz w:val="20"/>
              <w:szCs w:val="20"/>
            </w:rPr>
            <w:t>[Author name]</w:t>
          </w:r>
        </w:p>
      </w:docPartBody>
    </w:docPart>
    <w:docPart>
      <w:docPartPr>
        <w:name w:val="F61342456E11487E8A6DA1463A30017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7660AF4-D36F-4D5E-8A44-44D30ED23BC0}"/>
      </w:docPartPr>
      <w:docPartBody>
        <w:p w:rsidR="00AE08CA" w:rsidRDefault="00AE08CA" w:rsidP="00AE08CA">
          <w:pPr>
            <w:pStyle w:val="F61342456E11487E8A6DA1463A300170"/>
          </w:pPr>
          <w:r>
            <w:rPr>
              <w:caps/>
              <w:color w:val="156082" w:themeColor="accent1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08CA"/>
    <w:rsid w:val="00155894"/>
    <w:rsid w:val="00AE08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800B3EE209AA4D97BA9FE125897B7B20">
    <w:name w:val="800B3EE209AA4D97BA9FE125897B7B20"/>
    <w:rsid w:val="00AE08CA"/>
  </w:style>
  <w:style w:type="paragraph" w:customStyle="1" w:styleId="F61342456E11487E8A6DA1463A300170">
    <w:name w:val="F61342456E11487E8A6DA1463A300170"/>
    <w:rsid w:val="00AE08CA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97C9F88D65DB74786271CFA0B86C30A" ma:contentTypeVersion="9" ma:contentTypeDescription="Create a new document." ma:contentTypeScope="" ma:versionID="8c1749742396ef7fe6ec683c5daa5142">
  <xsd:schema xmlns:xsd="http://www.w3.org/2001/XMLSchema" xmlns:xs="http://www.w3.org/2001/XMLSchema" xmlns:p="http://schemas.microsoft.com/office/2006/metadata/properties" xmlns:ns3="60ab93c2-c2e2-4a82-ab36-09e8ba3f753e" xmlns:ns4="47a3e2db-67be-4841-b3a5-2f2fb1d7c7b3" targetNamespace="http://schemas.microsoft.com/office/2006/metadata/properties" ma:root="true" ma:fieldsID="0d1dc1b00062ba761a597a0934f3f0ac" ns3:_="" ns4:_="">
    <xsd:import namespace="60ab93c2-c2e2-4a82-ab36-09e8ba3f753e"/>
    <xsd:import namespace="47a3e2db-67be-4841-b3a5-2f2fb1d7c7b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ab93c2-c2e2-4a82-ab36-09e8ba3f753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7a3e2db-67be-4841-b3a5-2f2fb1d7c7b3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0ab93c2-c2e2-4a82-ab36-09e8ba3f753e" xsi:nil="true"/>
  </documentManagement>
</p:properties>
</file>

<file path=customXml/itemProps1.xml><?xml version="1.0" encoding="utf-8"?>
<ds:datastoreItem xmlns:ds="http://schemas.openxmlformats.org/officeDocument/2006/customXml" ds:itemID="{95255E7A-25D8-4643-B4CF-C7654BCD5CC0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9FB84E76-F343-485C-9902-7BC4231BCE1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0ab93c2-c2e2-4a82-ab36-09e8ba3f753e"/>
    <ds:schemaRef ds:uri="47a3e2db-67be-4841-b3a5-2f2fb1d7c7b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ED9ADC3-A07C-4BDB-A591-0828C65738E6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5CC4F03D-FD88-4290-A505-09D307B76288}">
  <ds:schemaRefs>
    <ds:schemaRef ds:uri="http://purl.org/dc/elements/1.1/"/>
    <ds:schemaRef ds:uri="http://schemas.microsoft.com/office/infopath/2007/PartnerControls"/>
    <ds:schemaRef ds:uri="http://purl.org/dc/dcmitype/"/>
    <ds:schemaRef ds:uri="60ab93c2-c2e2-4a82-ab36-09e8ba3f753e"/>
    <ds:schemaRef ds:uri="47a3e2db-67be-4841-b3a5-2f2fb1d7c7b3"/>
    <ds:schemaRef ds:uri="http://schemas.microsoft.com/office/2006/documentManagement/types"/>
    <ds:schemaRef ds:uri="http://www.w3.org/XML/1998/namespace"/>
    <ds:schemaRef ds:uri="http://schemas.microsoft.com/office/2006/metadata/properties"/>
    <ds:schemaRef ds:uri="http://purl.org/dc/terms/"/>
    <ds:schemaRef ds:uri="http://schemas.openxmlformats.org/package/2006/metadata/core-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1469</Words>
  <Characters>7125</Characters>
  <Application>Microsoft Office Word</Application>
  <DocSecurity>0</DocSecurity>
  <Lines>90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 Commentary on The Deeds of Count Roger of Calabria and Sicily and of Duke Robert Guiscard his brother</dc:title>
  <dc:subject/>
  <dc:creator>Evan Davies (2304228)</dc:creator>
  <cp:keywords/>
  <dc:description/>
  <cp:lastModifiedBy>Evan Davies (2304228)</cp:lastModifiedBy>
  <cp:revision>2</cp:revision>
  <dcterms:created xsi:type="dcterms:W3CDTF">2025-03-02T18:22:00Z</dcterms:created>
  <dcterms:modified xsi:type="dcterms:W3CDTF">2025-03-02T18:22:00Z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0x010100297C9F88D65DB74786271CFA0B86C30A</vt:lpwstr>
  </property>
</Properties>
</file>