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F7BF1" w14:textId="10842BB8" w:rsidR="00F95BA1" w:rsidRPr="00B90D29" w:rsidRDefault="00F95BA1">
      <w:pPr>
        <w:rPr>
          <w:rFonts w:ascii="Arial" w:hAnsi="Arial" w:cs="Arial"/>
          <w:b/>
          <w:bCs/>
          <w:sz w:val="22"/>
          <w:szCs w:val="22"/>
          <w:lang w:val="en-US"/>
        </w:rPr>
      </w:pPr>
      <w:r w:rsidRPr="00B90D29">
        <w:rPr>
          <w:rFonts w:ascii="Arial" w:hAnsi="Arial" w:cs="Arial"/>
          <w:b/>
          <w:bCs/>
          <w:sz w:val="22"/>
          <w:szCs w:val="22"/>
          <w:lang w:val="en-US"/>
        </w:rPr>
        <w:t xml:space="preserve">Digital Skills and Research Methods </w:t>
      </w:r>
    </w:p>
    <w:p w14:paraId="573110BF" w14:textId="7BDC4DDF" w:rsidR="00F95BA1" w:rsidRDefault="00F95BA1">
      <w:pPr>
        <w:rPr>
          <w:rFonts w:ascii="Arial" w:hAnsi="Arial" w:cs="Arial"/>
          <w:b/>
          <w:bCs/>
          <w:sz w:val="22"/>
          <w:szCs w:val="22"/>
        </w:rPr>
      </w:pPr>
      <w:r w:rsidRPr="00F95BA1">
        <w:rPr>
          <w:rFonts w:ascii="Arial" w:hAnsi="Arial" w:cs="Arial"/>
          <w:b/>
          <w:bCs/>
          <w:sz w:val="22"/>
          <w:szCs w:val="22"/>
        </w:rPr>
        <w:t>Assessment Component 2:</w:t>
      </w:r>
      <w:r>
        <w:rPr>
          <w:rFonts w:ascii="Arial" w:hAnsi="Arial" w:cs="Arial"/>
          <w:b/>
          <w:bCs/>
          <w:sz w:val="22"/>
          <w:szCs w:val="22"/>
        </w:rPr>
        <w:t xml:space="preserve"> </w:t>
      </w:r>
      <w:r w:rsidRPr="00F95BA1">
        <w:rPr>
          <w:rFonts w:ascii="Arial" w:hAnsi="Arial" w:cs="Arial"/>
          <w:b/>
          <w:bCs/>
          <w:sz w:val="22"/>
          <w:szCs w:val="22"/>
        </w:rPr>
        <w:t>Research Literacy- Learning How to Read a Research Paper</w:t>
      </w:r>
    </w:p>
    <w:p w14:paraId="7E2EC5E5" w14:textId="18000646" w:rsidR="00B90D29" w:rsidRDefault="00B90D29">
      <w:pPr>
        <w:rPr>
          <w:rFonts w:ascii="Arial" w:hAnsi="Arial" w:cs="Arial"/>
          <w:b/>
          <w:bCs/>
          <w:sz w:val="22"/>
          <w:szCs w:val="22"/>
        </w:rPr>
      </w:pPr>
      <w:r>
        <w:rPr>
          <w:rFonts w:ascii="Arial" w:hAnsi="Arial" w:cs="Arial"/>
          <w:b/>
          <w:bCs/>
          <w:sz w:val="22"/>
          <w:szCs w:val="22"/>
        </w:rPr>
        <w:t>Name: Comfort Agyeiwaa</w:t>
      </w:r>
    </w:p>
    <w:p w14:paraId="3CDDBD0B" w14:textId="40181DE5" w:rsidR="00B90D29" w:rsidRDefault="00B90D29">
      <w:pPr>
        <w:rPr>
          <w:rFonts w:ascii="Arial" w:hAnsi="Arial" w:cs="Arial"/>
          <w:b/>
          <w:bCs/>
          <w:sz w:val="22"/>
          <w:szCs w:val="22"/>
        </w:rPr>
      </w:pPr>
      <w:r>
        <w:rPr>
          <w:rFonts w:ascii="Arial" w:hAnsi="Arial" w:cs="Arial"/>
          <w:b/>
          <w:bCs/>
          <w:sz w:val="22"/>
          <w:szCs w:val="22"/>
        </w:rPr>
        <w:t>Student Number: 2526197</w:t>
      </w:r>
    </w:p>
    <w:p w14:paraId="41404DAE" w14:textId="339B6DF6" w:rsidR="00B90D29" w:rsidRDefault="00B90D29">
      <w:pPr>
        <w:rPr>
          <w:rFonts w:ascii="Arial" w:hAnsi="Arial" w:cs="Arial"/>
          <w:b/>
          <w:bCs/>
          <w:sz w:val="22"/>
          <w:szCs w:val="22"/>
        </w:rPr>
      </w:pPr>
      <w:r>
        <w:rPr>
          <w:rFonts w:ascii="Arial" w:hAnsi="Arial" w:cs="Arial"/>
          <w:b/>
          <w:bCs/>
          <w:sz w:val="22"/>
          <w:szCs w:val="22"/>
        </w:rPr>
        <w:t xml:space="preserve">Module Code: </w:t>
      </w:r>
      <w:r w:rsidRPr="00B90D29">
        <w:rPr>
          <w:rFonts w:ascii="Arial" w:hAnsi="Arial" w:cs="Arial"/>
          <w:b/>
          <w:bCs/>
          <w:sz w:val="22"/>
          <w:szCs w:val="22"/>
        </w:rPr>
        <w:t>LCHS4007</w:t>
      </w:r>
    </w:p>
    <w:p w14:paraId="546F028F" w14:textId="09C6CBB1" w:rsidR="00B90D29" w:rsidRDefault="00B90D29">
      <w:pPr>
        <w:rPr>
          <w:rFonts w:ascii="Arial" w:hAnsi="Arial" w:cs="Arial"/>
          <w:b/>
          <w:bCs/>
          <w:sz w:val="22"/>
          <w:szCs w:val="22"/>
        </w:rPr>
      </w:pPr>
      <w:r>
        <w:rPr>
          <w:rFonts w:ascii="Arial" w:hAnsi="Arial" w:cs="Arial"/>
          <w:b/>
          <w:bCs/>
          <w:sz w:val="22"/>
          <w:szCs w:val="22"/>
        </w:rPr>
        <w:t>Lecturer Name: Bianca Dodgen</w:t>
      </w:r>
    </w:p>
    <w:p w14:paraId="30EE9ACD" w14:textId="77777777" w:rsidR="00B90D29" w:rsidRDefault="00B90D29" w:rsidP="00F95BA1">
      <w:pPr>
        <w:spacing w:line="360" w:lineRule="auto"/>
        <w:rPr>
          <w:rFonts w:ascii="Arial" w:hAnsi="Arial" w:cs="Arial"/>
          <w:b/>
          <w:bCs/>
          <w:sz w:val="22"/>
          <w:szCs w:val="22"/>
        </w:rPr>
      </w:pPr>
    </w:p>
    <w:p w14:paraId="28C0B641" w14:textId="2A80F974" w:rsidR="00F95BA1" w:rsidRDefault="00F95BA1" w:rsidP="00F95BA1">
      <w:pPr>
        <w:spacing w:line="360" w:lineRule="auto"/>
        <w:rPr>
          <w:rFonts w:ascii="Arial" w:hAnsi="Arial" w:cs="Arial"/>
          <w:sz w:val="22"/>
          <w:szCs w:val="22"/>
        </w:rPr>
      </w:pPr>
      <w:r>
        <w:rPr>
          <w:rFonts w:ascii="Arial" w:hAnsi="Arial" w:cs="Arial"/>
          <w:sz w:val="22"/>
          <w:szCs w:val="22"/>
        </w:rPr>
        <w:t xml:space="preserve">Utilising research papers performs a fundamental role within health and social care as it provides vital evidence that supports healthcare professionals in developing knowledge, improving patient care standards and making evidence-based, informed decisions. Healthcare is continuing to become highly dependent on technology, therefore healthcare professionals need to obtain strong digital literacy skills </w:t>
      </w:r>
      <w:r w:rsidR="00B90D29">
        <w:rPr>
          <w:rFonts w:ascii="Arial" w:hAnsi="Arial" w:cs="Arial"/>
          <w:sz w:val="22"/>
          <w:szCs w:val="22"/>
        </w:rPr>
        <w:t xml:space="preserve">which </w:t>
      </w:r>
      <w:r>
        <w:rPr>
          <w:rFonts w:ascii="Arial" w:hAnsi="Arial" w:cs="Arial"/>
          <w:sz w:val="22"/>
          <w:szCs w:val="22"/>
        </w:rPr>
        <w:t xml:space="preserve">will support them in working more efficiently. Digital literacy is the ability to navigate digital technology efficiently, using technologies to evaluate, find and communicate vital information whilst maintaining confidentiality in protecting information and professionalism (Health Education England, 2018). Obtaining these skills is crucial, especially within progressive and modern healthcare settings where electronic records and online communication systems are utilised day to day (NHS England, 2022). </w:t>
      </w:r>
    </w:p>
    <w:p w14:paraId="51CB3B7A" w14:textId="0A9679C7" w:rsidR="00F95BA1" w:rsidRDefault="00F95BA1" w:rsidP="00F95BA1">
      <w:pPr>
        <w:spacing w:line="360" w:lineRule="auto"/>
        <w:rPr>
          <w:rFonts w:ascii="Arial" w:hAnsi="Arial" w:cs="Arial"/>
          <w:sz w:val="22"/>
          <w:szCs w:val="22"/>
        </w:rPr>
      </w:pPr>
      <w:r>
        <w:rPr>
          <w:rFonts w:ascii="Arial" w:hAnsi="Arial" w:cs="Arial"/>
          <w:sz w:val="22"/>
          <w:szCs w:val="22"/>
        </w:rPr>
        <w:t>This research report analyses the research article ‘</w:t>
      </w:r>
      <w:r w:rsidRPr="00F95BA1">
        <w:rPr>
          <w:rFonts w:ascii="Arial" w:hAnsi="Arial" w:cs="Arial"/>
          <w:i/>
          <w:iCs/>
          <w:sz w:val="22"/>
          <w:szCs w:val="22"/>
        </w:rPr>
        <w:t>A Cross-Sectional Study of Discipline-Based Self-Perceived Digital Literacy Competencies of Nursing Students</w:t>
      </w:r>
      <w:r>
        <w:rPr>
          <w:rFonts w:ascii="Arial" w:hAnsi="Arial" w:cs="Arial"/>
          <w:i/>
          <w:iCs/>
          <w:sz w:val="22"/>
          <w:szCs w:val="22"/>
        </w:rPr>
        <w:t>’</w:t>
      </w:r>
      <w:r>
        <w:rPr>
          <w:rFonts w:ascii="Arial" w:hAnsi="Arial" w:cs="Arial"/>
          <w:sz w:val="22"/>
          <w:szCs w:val="22"/>
        </w:rPr>
        <w:t xml:space="preserve"> by </w:t>
      </w:r>
      <w:proofErr w:type="spellStart"/>
      <w:r>
        <w:rPr>
          <w:rFonts w:ascii="Arial" w:hAnsi="Arial" w:cs="Arial"/>
          <w:sz w:val="22"/>
          <w:szCs w:val="22"/>
        </w:rPr>
        <w:t>Martzoukou</w:t>
      </w:r>
      <w:proofErr w:type="spellEnd"/>
      <w:r>
        <w:rPr>
          <w:rFonts w:ascii="Arial" w:hAnsi="Arial" w:cs="Arial"/>
          <w:sz w:val="22"/>
          <w:szCs w:val="22"/>
        </w:rPr>
        <w:t xml:space="preserve"> </w:t>
      </w:r>
      <w:r w:rsidRPr="00F95BA1">
        <w:rPr>
          <w:rFonts w:ascii="Arial" w:hAnsi="Arial" w:cs="Arial"/>
          <w:i/>
          <w:iCs/>
          <w:sz w:val="22"/>
          <w:szCs w:val="22"/>
        </w:rPr>
        <w:t>et al</w:t>
      </w:r>
      <w:r>
        <w:rPr>
          <w:rFonts w:ascii="Arial" w:hAnsi="Arial" w:cs="Arial"/>
          <w:sz w:val="22"/>
          <w:szCs w:val="22"/>
        </w:rPr>
        <w:t xml:space="preserve">. (2024). This research article was published by the </w:t>
      </w:r>
      <w:r w:rsidRPr="00F95BA1">
        <w:rPr>
          <w:rFonts w:ascii="Arial" w:hAnsi="Arial" w:cs="Arial"/>
          <w:i/>
          <w:iCs/>
          <w:sz w:val="22"/>
          <w:szCs w:val="22"/>
        </w:rPr>
        <w:t>Journal of Advanced Nursing</w:t>
      </w:r>
      <w:r>
        <w:rPr>
          <w:rFonts w:ascii="Arial" w:hAnsi="Arial" w:cs="Arial"/>
          <w:sz w:val="22"/>
          <w:szCs w:val="22"/>
        </w:rPr>
        <w:t xml:space="preserve">, which is a peer-reviewed journal with a focal point on improving standards and quality in nursing education and practices within healthcare. Investigations within the article outline how health care students such as nurses, midwives and paramedics viewed their own capabilities in digital literacy and whether there were substantial differences between the different healthcare disciplines. </w:t>
      </w:r>
    </w:p>
    <w:p w14:paraId="7FFDA795" w14:textId="2D6ECD63" w:rsidR="00F95BA1" w:rsidRDefault="00F95BA1" w:rsidP="00F95BA1">
      <w:pPr>
        <w:spacing w:line="360" w:lineRule="auto"/>
        <w:rPr>
          <w:rFonts w:ascii="Arial" w:hAnsi="Arial" w:cs="Arial"/>
          <w:sz w:val="22"/>
          <w:szCs w:val="22"/>
        </w:rPr>
      </w:pPr>
      <w:r>
        <w:rPr>
          <w:rFonts w:ascii="Arial" w:hAnsi="Arial" w:cs="Arial"/>
          <w:sz w:val="22"/>
          <w:szCs w:val="22"/>
        </w:rPr>
        <w:t xml:space="preserve">The research study was performed using a quantitative cross-sectional research design. This approach was appropriate to investigate this issue as it allowed researchers to gather numerical data from a large group of students using the structured questionnaire to analyse the results (Polit and Beck, 2021). This data was obtained through an online questionnaire which was completed by undergraduate healthcare students at a university in Scotland. Throughout the questionnaire, various aspects of digital literacy were explored, such as individual confidence in communication through digital platforms, confidence with technology </w:t>
      </w:r>
      <w:r>
        <w:rPr>
          <w:rFonts w:ascii="Arial" w:hAnsi="Arial" w:cs="Arial"/>
          <w:sz w:val="22"/>
          <w:szCs w:val="22"/>
        </w:rPr>
        <w:lastRenderedPageBreak/>
        <w:t xml:space="preserve">and awareness of maintaining professionalism through online channels. The researchers chose to develop this topic due to the increasing dependency on digital technologies, understanding that nurses are expected to confidently utilise digital resources, particularly with the rise in telehealth communication systems. Despite these students being avid users of social media and using smartphones day to day, many students did not possess the adequate skills required for a professional healthcare setting. Researchers were interested in understanding students strengths and weaknesses so universities could improve nursing education. </w:t>
      </w:r>
    </w:p>
    <w:p w14:paraId="0ABF6466" w14:textId="0026675E" w:rsidR="00F95BA1" w:rsidRDefault="00F95BA1" w:rsidP="00F95BA1">
      <w:pPr>
        <w:spacing w:line="360" w:lineRule="auto"/>
        <w:rPr>
          <w:rFonts w:ascii="Arial" w:hAnsi="Arial" w:cs="Arial"/>
          <w:sz w:val="22"/>
          <w:szCs w:val="22"/>
        </w:rPr>
      </w:pPr>
      <w:r>
        <w:rPr>
          <w:rFonts w:ascii="Arial" w:hAnsi="Arial" w:cs="Arial"/>
          <w:sz w:val="22"/>
          <w:szCs w:val="22"/>
        </w:rPr>
        <w:t xml:space="preserve">This topic is particularly prevalent in the UK health and social care system, highlighting the idea that  if nurses graduated without an essential understanding of digital literacy, there would be an increased risk of affecting patient safety and a decrease in the quality of care (NMC, 2018). By researching and identifying gaps in digital literacy, universities would be able to provide an education that enables students to work safely within increasingly digital healthcare settings. </w:t>
      </w:r>
    </w:p>
    <w:p w14:paraId="440B625F" w14:textId="64960ED8" w:rsidR="00F95BA1" w:rsidRDefault="00F95BA1" w:rsidP="00F95BA1">
      <w:pPr>
        <w:spacing w:line="360" w:lineRule="auto"/>
        <w:rPr>
          <w:rFonts w:ascii="Arial" w:hAnsi="Arial" w:cs="Arial"/>
          <w:sz w:val="22"/>
          <w:szCs w:val="22"/>
        </w:rPr>
      </w:pPr>
      <w:r>
        <w:rPr>
          <w:rFonts w:ascii="Arial" w:hAnsi="Arial" w:cs="Arial"/>
          <w:sz w:val="22"/>
          <w:szCs w:val="22"/>
        </w:rPr>
        <w:t>Research methods describe how researchers gather and analyse information to answer their research questions. There are three main types of approaches research use to collect information</w:t>
      </w:r>
    </w:p>
    <w:p w14:paraId="1F1549BA" w14:textId="57F4D61F" w:rsidR="00F95BA1" w:rsidRDefault="00F95BA1" w:rsidP="00F95BA1">
      <w:pPr>
        <w:spacing w:line="360" w:lineRule="auto"/>
        <w:rPr>
          <w:rFonts w:ascii="Arial" w:hAnsi="Arial" w:cs="Arial"/>
          <w:sz w:val="22"/>
          <w:szCs w:val="22"/>
        </w:rPr>
      </w:pPr>
      <w:r>
        <w:rPr>
          <w:rFonts w:ascii="Arial" w:hAnsi="Arial" w:cs="Arial"/>
          <w:sz w:val="22"/>
          <w:szCs w:val="22"/>
        </w:rPr>
        <w:t>Qualitative research refers to a focus of people’s beliefs, opinions and personal experiences to identify relationships, patterns or differences between groups through non-numerical data.  This data is typically collected through focus groups, interviews or observations, allowing the participants to describe induvial experiences in more depth (Creswell and Creswell, 2018).</w:t>
      </w:r>
    </w:p>
    <w:p w14:paraId="0565D5C6" w14:textId="25F07943" w:rsidR="00F95BA1" w:rsidRDefault="00F95BA1" w:rsidP="00F95BA1">
      <w:pPr>
        <w:spacing w:line="360" w:lineRule="auto"/>
        <w:rPr>
          <w:rFonts w:ascii="Arial" w:hAnsi="Arial" w:cs="Arial"/>
          <w:sz w:val="22"/>
          <w:szCs w:val="22"/>
        </w:rPr>
      </w:pPr>
      <w:r>
        <w:rPr>
          <w:rFonts w:ascii="Arial" w:hAnsi="Arial" w:cs="Arial"/>
          <w:sz w:val="22"/>
          <w:szCs w:val="22"/>
        </w:rPr>
        <w:t>Quantitative research is collected through the use of numerical data using statistical analysis to identify trends, relationships and differences between certain focal groups (Polit and Beck, 2021). This data is commonly gathered through structured research methods such as surveys or questionnaires with the finding being displayed in the form of graphs, percentages and statistical tests.</w:t>
      </w:r>
    </w:p>
    <w:p w14:paraId="6CF149F9" w14:textId="363E78B5" w:rsidR="00F95BA1" w:rsidRDefault="00F95BA1" w:rsidP="00F95BA1">
      <w:pPr>
        <w:spacing w:line="360" w:lineRule="auto"/>
        <w:rPr>
          <w:rFonts w:ascii="Arial" w:hAnsi="Arial" w:cs="Arial"/>
          <w:sz w:val="22"/>
          <w:szCs w:val="22"/>
        </w:rPr>
      </w:pPr>
      <w:r>
        <w:rPr>
          <w:rFonts w:ascii="Arial" w:hAnsi="Arial" w:cs="Arial"/>
          <w:sz w:val="22"/>
          <w:szCs w:val="22"/>
        </w:rPr>
        <w:t xml:space="preserve">Mixed research methods </w:t>
      </w:r>
      <w:r w:rsidR="00B90D29">
        <w:rPr>
          <w:rFonts w:ascii="Arial" w:hAnsi="Arial" w:cs="Arial"/>
          <w:sz w:val="22"/>
          <w:szCs w:val="22"/>
        </w:rPr>
        <w:t>utilise</w:t>
      </w:r>
      <w:r>
        <w:rPr>
          <w:rFonts w:ascii="Arial" w:hAnsi="Arial" w:cs="Arial"/>
          <w:sz w:val="22"/>
          <w:szCs w:val="22"/>
        </w:rPr>
        <w:t xml:space="preserve"> a combination of both qualitative and quantitative techniques in a single study, allowing researchers to </w:t>
      </w:r>
      <w:r w:rsidR="00B90D29">
        <w:rPr>
          <w:rFonts w:ascii="Arial" w:hAnsi="Arial" w:cs="Arial"/>
          <w:sz w:val="22"/>
          <w:szCs w:val="22"/>
        </w:rPr>
        <w:t>gather numerical data whilst simultaneously gaining a greater understanding of the participants individual experiences (Creswell and Creswell, 2018).</w:t>
      </w:r>
    </w:p>
    <w:p w14:paraId="23353D8F" w14:textId="4FCAC630" w:rsidR="00B90D29" w:rsidRDefault="00B90D29" w:rsidP="00F95BA1">
      <w:pPr>
        <w:spacing w:line="360" w:lineRule="auto"/>
        <w:rPr>
          <w:rFonts w:ascii="Arial" w:hAnsi="Arial" w:cs="Arial"/>
          <w:sz w:val="22"/>
          <w:szCs w:val="22"/>
        </w:rPr>
      </w:pPr>
      <w:r>
        <w:rPr>
          <w:rFonts w:ascii="Arial" w:hAnsi="Arial" w:cs="Arial"/>
          <w:sz w:val="22"/>
          <w:szCs w:val="22"/>
        </w:rPr>
        <w:t xml:space="preserve">The study used by </w:t>
      </w:r>
      <w:proofErr w:type="spellStart"/>
      <w:r>
        <w:rPr>
          <w:rFonts w:ascii="Arial" w:hAnsi="Arial" w:cs="Arial"/>
          <w:sz w:val="22"/>
          <w:szCs w:val="22"/>
        </w:rPr>
        <w:t>Martzoukou</w:t>
      </w:r>
      <w:proofErr w:type="spellEnd"/>
      <w:r>
        <w:rPr>
          <w:rFonts w:ascii="Arial" w:hAnsi="Arial" w:cs="Arial"/>
          <w:sz w:val="22"/>
          <w:szCs w:val="22"/>
        </w:rPr>
        <w:t xml:space="preserve"> et al. (2024) is described as a quantitative cross-sectional study, however it also included elements of a qualitative study through its use of open-ended questioning in surveying. Therefore, the study has the characteristics of mixed-methods research, however the primary design of the study remains quantitative as most of its data </w:t>
      </w:r>
      <w:r>
        <w:rPr>
          <w:rFonts w:ascii="Arial" w:hAnsi="Arial" w:cs="Arial"/>
          <w:sz w:val="22"/>
          <w:szCs w:val="22"/>
        </w:rPr>
        <w:lastRenderedPageBreak/>
        <w:t>that was collected was numerical and analysed through statistic techniques (</w:t>
      </w:r>
      <w:proofErr w:type="spellStart"/>
      <w:r>
        <w:rPr>
          <w:rFonts w:ascii="Arial" w:hAnsi="Arial" w:cs="Arial"/>
          <w:sz w:val="22"/>
          <w:szCs w:val="22"/>
        </w:rPr>
        <w:t>Martzoukou</w:t>
      </w:r>
      <w:proofErr w:type="spellEnd"/>
      <w:r>
        <w:rPr>
          <w:rFonts w:ascii="Arial" w:hAnsi="Arial" w:cs="Arial"/>
          <w:sz w:val="22"/>
          <w:szCs w:val="22"/>
        </w:rPr>
        <w:t xml:space="preserve"> et al., 2024).</w:t>
      </w:r>
    </w:p>
    <w:p w14:paraId="5DCB7FFF" w14:textId="2F9217B8" w:rsidR="00B90D29" w:rsidRDefault="00B90D29" w:rsidP="00F95BA1">
      <w:pPr>
        <w:spacing w:line="360" w:lineRule="auto"/>
        <w:rPr>
          <w:rFonts w:ascii="Arial" w:hAnsi="Arial" w:cs="Arial"/>
          <w:sz w:val="22"/>
          <w:szCs w:val="22"/>
        </w:rPr>
      </w:pPr>
      <w:r>
        <w:rPr>
          <w:rFonts w:ascii="Arial" w:hAnsi="Arial" w:cs="Arial"/>
          <w:sz w:val="22"/>
          <w:szCs w:val="22"/>
        </w:rPr>
        <w:t xml:space="preserve">A cross-sectional study is classified through the collection of information from participants at a specific point in time rather than following the participants over months or years. This method of design enables researchers to measure competencies, attitudes and behaviours more efficiently. In this particular study, </w:t>
      </w:r>
      <w:proofErr w:type="spellStart"/>
      <w:r>
        <w:rPr>
          <w:rFonts w:ascii="Arial" w:hAnsi="Arial" w:cs="Arial"/>
          <w:sz w:val="22"/>
          <w:szCs w:val="22"/>
        </w:rPr>
        <w:t>Martzoukou</w:t>
      </w:r>
      <w:proofErr w:type="spellEnd"/>
      <w:r>
        <w:rPr>
          <w:rFonts w:ascii="Arial" w:hAnsi="Arial" w:cs="Arial"/>
          <w:sz w:val="22"/>
          <w:szCs w:val="22"/>
        </w:rPr>
        <w:t xml:space="preserve"> et el. (2024) used a cross-sectional study to gain further insight into nursing students and their self-perceived digital literacy competencies. </w:t>
      </w:r>
    </w:p>
    <w:p w14:paraId="7E875C57" w14:textId="2F834937" w:rsidR="00B90D29" w:rsidRDefault="00B90D29" w:rsidP="00F95BA1">
      <w:pPr>
        <w:spacing w:line="360" w:lineRule="auto"/>
        <w:rPr>
          <w:rFonts w:ascii="Arial" w:hAnsi="Arial" w:cs="Arial"/>
          <w:sz w:val="22"/>
          <w:szCs w:val="22"/>
        </w:rPr>
      </w:pPr>
      <w:r>
        <w:rPr>
          <w:rFonts w:ascii="Arial" w:hAnsi="Arial" w:cs="Arial"/>
          <w:sz w:val="22"/>
          <w:szCs w:val="22"/>
        </w:rPr>
        <w:t xml:space="preserve">The researchers gathered data using primary data collection, allowing them to gather new information from participants instead of analysing pre-existing records or existing published studies (Polit and Beck, 2021). Primary data collection is commonly considered as more relevant in gaining answers to a research question being investigated. In comparison, secondary data involves analysing data that already exists, such as government or hospital records. Throughout this study, primary data was more useful as the researchers wanted to measure the students current understandings of their own digital literacy. </w:t>
      </w:r>
    </w:p>
    <w:p w14:paraId="1E446F8D" w14:textId="18E74BBF" w:rsidR="00B90D29" w:rsidRDefault="00B90D29" w:rsidP="00F95BA1">
      <w:pPr>
        <w:spacing w:line="360" w:lineRule="auto"/>
        <w:rPr>
          <w:rFonts w:ascii="Arial" w:hAnsi="Arial" w:cs="Arial"/>
          <w:sz w:val="22"/>
          <w:szCs w:val="22"/>
        </w:rPr>
      </w:pPr>
      <w:r>
        <w:rPr>
          <w:rFonts w:ascii="Arial" w:hAnsi="Arial" w:cs="Arial"/>
          <w:sz w:val="22"/>
          <w:szCs w:val="22"/>
        </w:rPr>
        <w:t xml:space="preserve">The data was collected between November and December 2021 through an online questionnaire that was distributed amongst nursing, paramedic and midwifery students at Robert Gordon University. This questionnaire aimed to assess the students confidence in various areas of digital literacy such as information literacy, digital research, ICT proficiency, digital innovation and digital wellbeing. The students were asked to rate their individual confidence using a five-point Likert scale, ranging from novices to experts in the specific area. This survey also included a few open-ended questions, allowing participants to describe their own development in their digital skills and any challenges they had experienced in doing this.  </w:t>
      </w:r>
    </w:p>
    <w:p w14:paraId="61B4A98C" w14:textId="029BC421" w:rsidR="00B90D29" w:rsidRDefault="00B90D29" w:rsidP="00F95BA1">
      <w:pPr>
        <w:spacing w:line="360" w:lineRule="auto"/>
        <w:rPr>
          <w:rFonts w:ascii="Arial" w:hAnsi="Arial" w:cs="Arial"/>
          <w:sz w:val="22"/>
          <w:szCs w:val="22"/>
        </w:rPr>
      </w:pPr>
      <w:r>
        <w:rPr>
          <w:rFonts w:ascii="Arial" w:hAnsi="Arial" w:cs="Arial"/>
          <w:sz w:val="22"/>
          <w:szCs w:val="22"/>
        </w:rPr>
        <w:t xml:space="preserve">The quantitative data was analysed using descriptive statistics in order to summarise the students’ responses. The researchers also used the Kruskal-Wallis test and Mann-Whitney U test, which are statistical tests used to compare differences between groups. These tests were used to determine whether differences in digital literacy competencies differed according to various factors such as age and programme type. The responses to the open-ended questions were analysed using thematic analysis, identifying common patterns and themes within the qualitative data (Braun and Clarke, 2006). This helped to understand how the students developed their digital skills beyond the numerical results. </w:t>
      </w:r>
    </w:p>
    <w:p w14:paraId="51F9BDBC" w14:textId="5E556DD7" w:rsidR="00B90D29" w:rsidRDefault="00B90D29" w:rsidP="00F95BA1">
      <w:pPr>
        <w:spacing w:line="360" w:lineRule="auto"/>
        <w:rPr>
          <w:rFonts w:ascii="Arial" w:hAnsi="Arial" w:cs="Arial"/>
          <w:sz w:val="22"/>
          <w:szCs w:val="22"/>
        </w:rPr>
      </w:pPr>
      <w:r>
        <w:rPr>
          <w:rFonts w:ascii="Arial" w:hAnsi="Arial" w:cs="Arial"/>
          <w:sz w:val="22"/>
          <w:szCs w:val="22"/>
        </w:rPr>
        <w:t xml:space="preserve">These findings highlighted that the students showed high levels of confidence in their ICT skills and digital communication. However, the students were less confidence in information literacy, innovation and digital research. These findings were vital as nurses have an </w:t>
      </w:r>
      <w:r>
        <w:rPr>
          <w:rFonts w:ascii="Arial" w:hAnsi="Arial" w:cs="Arial"/>
          <w:sz w:val="22"/>
          <w:szCs w:val="22"/>
        </w:rPr>
        <w:lastRenderedPageBreak/>
        <w:t>expectation to be able to locate reliable evidence, as well as the ability to navigate digital technologies safely and adapt to the increasing use of technology in healthcare settings (Nursing and Midwifery Council,2018; NHS England, 2022).</w:t>
      </w:r>
    </w:p>
    <w:p w14:paraId="6D78A0D8" w14:textId="229EA0B3" w:rsidR="00B90D29" w:rsidRDefault="00B90D29" w:rsidP="00F95BA1">
      <w:pPr>
        <w:spacing w:line="360" w:lineRule="auto"/>
        <w:rPr>
          <w:rFonts w:ascii="Arial" w:hAnsi="Arial" w:cs="Arial"/>
          <w:sz w:val="22"/>
          <w:szCs w:val="22"/>
        </w:rPr>
      </w:pPr>
      <w:r>
        <w:rPr>
          <w:rFonts w:ascii="Arial" w:hAnsi="Arial" w:cs="Arial"/>
          <w:sz w:val="22"/>
          <w:szCs w:val="22"/>
        </w:rPr>
        <w:t xml:space="preserve"> A strength of the study was that using a questionnaire to collect information allowed the researchers to gather evidence from a larger group of participants more efficiently, whereas the standardised questions made the statistical comparisons possible. However a limitation is that the study relied on self-perceived digital competency, meaning that participants may underestimate or overestimated their own capabilities regarding digital literacy. Furthermore, as the research was being conducted at a single university and through a cross-sectional design, the findings would not be generalisable to other nursing students and cannot portray how digital literacy changes over time. However, the study still provides vital evidence that can support universities in strengthening digital literacy and prepare nursing students for more modern-ay healthcare practices despite the limitations (</w:t>
      </w:r>
      <w:proofErr w:type="spellStart"/>
      <w:r>
        <w:rPr>
          <w:rFonts w:ascii="Arial" w:hAnsi="Arial" w:cs="Arial"/>
          <w:sz w:val="22"/>
          <w:szCs w:val="22"/>
        </w:rPr>
        <w:t>Martzoukou</w:t>
      </w:r>
      <w:proofErr w:type="spellEnd"/>
      <w:r>
        <w:rPr>
          <w:rFonts w:ascii="Arial" w:hAnsi="Arial" w:cs="Arial"/>
          <w:sz w:val="22"/>
          <w:szCs w:val="22"/>
        </w:rPr>
        <w:t xml:space="preserve"> et al., 2024). </w:t>
      </w:r>
    </w:p>
    <w:p w14:paraId="722F797F" w14:textId="00E61638" w:rsidR="00B90D29" w:rsidRDefault="00B90D29" w:rsidP="00F95BA1">
      <w:pPr>
        <w:spacing w:line="360" w:lineRule="auto"/>
        <w:rPr>
          <w:rFonts w:ascii="Arial" w:hAnsi="Arial" w:cs="Arial"/>
          <w:sz w:val="22"/>
          <w:szCs w:val="22"/>
        </w:rPr>
      </w:pPr>
      <w:r>
        <w:rPr>
          <w:rFonts w:ascii="Arial" w:hAnsi="Arial" w:cs="Arial"/>
          <w:sz w:val="22"/>
          <w:szCs w:val="22"/>
        </w:rPr>
        <w:t xml:space="preserve">This report has critically analysed and reviewed the study by </w:t>
      </w:r>
      <w:proofErr w:type="spellStart"/>
      <w:r>
        <w:rPr>
          <w:rFonts w:ascii="Arial" w:hAnsi="Arial" w:cs="Arial"/>
          <w:sz w:val="22"/>
          <w:szCs w:val="22"/>
        </w:rPr>
        <w:t>Martzoukou</w:t>
      </w:r>
      <w:proofErr w:type="spellEnd"/>
      <w:r>
        <w:rPr>
          <w:rFonts w:ascii="Arial" w:hAnsi="Arial" w:cs="Arial"/>
          <w:sz w:val="22"/>
          <w:szCs w:val="22"/>
        </w:rPr>
        <w:t xml:space="preserve"> et al. (2024), which assessed nursing students’ self-perceived digital literacy competencies. This study found that the students were mostly confident in basic ICT and communication skills but less confident in digital research, innovation and information literacy. This evidence is fundamental in highlighting the importance in integrating digital development in nursing education programmes. The study also engaged the use of a quantitative cross-sectional design, collecting primary data through the online questionnaire, analysing results with descriptive statistics. This research therefore provides substantial evidence for health educators and universities aiming to prepare students for digitally enhanced healthcare practice. This also aligns with the priorities for workforce digital capability which is identified by NHS England (2022). </w:t>
      </w:r>
    </w:p>
    <w:p w14:paraId="3BD08680" w14:textId="48DDA740" w:rsidR="00B90D29" w:rsidRDefault="00B90D29" w:rsidP="00F95BA1">
      <w:pPr>
        <w:spacing w:line="360" w:lineRule="auto"/>
        <w:rPr>
          <w:rFonts w:ascii="Arial" w:hAnsi="Arial" w:cs="Arial"/>
          <w:sz w:val="22"/>
          <w:szCs w:val="22"/>
        </w:rPr>
      </w:pPr>
      <w:r>
        <w:rPr>
          <w:rFonts w:ascii="Arial" w:hAnsi="Arial" w:cs="Arial"/>
          <w:sz w:val="22"/>
          <w:szCs w:val="22"/>
        </w:rPr>
        <w:t xml:space="preserve">By completing this report, I have improved my individual understanding of quantitative researching, primary data collection, cross-sectional study designs and statistical analysing in health and social care research. This has also furthered my ability to engage in research articles and critically analyse academic evidence and apply my research findings to professional practice, which will be fundamental for my future studies and career in a professional healthcare setting. </w:t>
      </w:r>
    </w:p>
    <w:p w14:paraId="39DD7533" w14:textId="1FCBAAE0" w:rsidR="00B90D29" w:rsidRDefault="00B90D29" w:rsidP="00F95BA1">
      <w:pPr>
        <w:spacing w:line="360" w:lineRule="auto"/>
        <w:rPr>
          <w:rFonts w:ascii="Arial" w:hAnsi="Arial" w:cs="Arial"/>
          <w:sz w:val="22"/>
          <w:szCs w:val="22"/>
        </w:rPr>
      </w:pPr>
      <w:r>
        <w:rPr>
          <w:rFonts w:ascii="Arial" w:hAnsi="Arial" w:cs="Arial"/>
          <w:sz w:val="22"/>
          <w:szCs w:val="22"/>
        </w:rPr>
        <w:t>Reference List</w:t>
      </w:r>
    </w:p>
    <w:p w14:paraId="2AD3FBC1" w14:textId="77777777" w:rsidR="00B90D29" w:rsidRPr="00B90D29" w:rsidRDefault="00B90D29" w:rsidP="00B90D29">
      <w:pPr>
        <w:spacing w:line="360" w:lineRule="auto"/>
        <w:rPr>
          <w:rFonts w:ascii="Arial" w:hAnsi="Arial" w:cs="Arial"/>
          <w:b/>
          <w:bCs/>
          <w:sz w:val="22"/>
          <w:szCs w:val="22"/>
        </w:rPr>
      </w:pPr>
      <w:r w:rsidRPr="00B90D29">
        <w:rPr>
          <w:rFonts w:ascii="Arial" w:hAnsi="Arial" w:cs="Arial"/>
          <w:b/>
          <w:bCs/>
          <w:sz w:val="22"/>
          <w:szCs w:val="22"/>
        </w:rPr>
        <w:t>Reference List</w:t>
      </w:r>
    </w:p>
    <w:p w14:paraId="216DDF86" w14:textId="77777777" w:rsidR="00B90D29" w:rsidRPr="00B90D29" w:rsidRDefault="00B90D29" w:rsidP="00B90D29">
      <w:pPr>
        <w:spacing w:line="360" w:lineRule="auto"/>
        <w:rPr>
          <w:rFonts w:ascii="Arial" w:hAnsi="Arial" w:cs="Arial"/>
          <w:sz w:val="22"/>
          <w:szCs w:val="22"/>
        </w:rPr>
      </w:pPr>
      <w:r w:rsidRPr="00B90D29">
        <w:rPr>
          <w:rFonts w:ascii="Arial" w:hAnsi="Arial" w:cs="Arial"/>
          <w:sz w:val="22"/>
          <w:szCs w:val="22"/>
        </w:rPr>
        <w:t xml:space="preserve">Braun, V. and Clarke, V. (2006) 'Using thematic analysis in psychology', </w:t>
      </w:r>
      <w:r w:rsidRPr="00B90D29">
        <w:rPr>
          <w:rFonts w:ascii="Arial" w:hAnsi="Arial" w:cs="Arial"/>
          <w:i/>
          <w:iCs/>
          <w:sz w:val="22"/>
          <w:szCs w:val="22"/>
        </w:rPr>
        <w:t>Qualitative Research in Psychology</w:t>
      </w:r>
      <w:r w:rsidRPr="00B90D29">
        <w:rPr>
          <w:rFonts w:ascii="Arial" w:hAnsi="Arial" w:cs="Arial"/>
          <w:sz w:val="22"/>
          <w:szCs w:val="22"/>
        </w:rPr>
        <w:t xml:space="preserve">, 3(2), pp. 77–101. </w:t>
      </w:r>
      <w:hyperlink r:id="rId6" w:history="1">
        <w:r w:rsidRPr="00B90D29">
          <w:rPr>
            <w:rStyle w:val="Hyperlink"/>
            <w:rFonts w:ascii="Arial" w:hAnsi="Arial" w:cs="Arial"/>
            <w:sz w:val="22"/>
            <w:szCs w:val="22"/>
          </w:rPr>
          <w:t>https://doi.org/10.1191/1478088706qp063oa</w:t>
        </w:r>
      </w:hyperlink>
    </w:p>
    <w:p w14:paraId="0F24EB4E" w14:textId="77777777" w:rsidR="00B90D29" w:rsidRPr="00B90D29" w:rsidRDefault="00B90D29" w:rsidP="00B90D29">
      <w:pPr>
        <w:spacing w:line="360" w:lineRule="auto"/>
        <w:rPr>
          <w:rFonts w:ascii="Arial" w:hAnsi="Arial" w:cs="Arial"/>
          <w:sz w:val="22"/>
          <w:szCs w:val="22"/>
        </w:rPr>
      </w:pPr>
      <w:r w:rsidRPr="00B90D29">
        <w:rPr>
          <w:rFonts w:ascii="Arial" w:hAnsi="Arial" w:cs="Arial"/>
          <w:sz w:val="22"/>
          <w:szCs w:val="22"/>
        </w:rPr>
        <w:lastRenderedPageBreak/>
        <w:t xml:space="preserve">Creswell, J.W. and Creswell, J.D. (2018) </w:t>
      </w:r>
      <w:r w:rsidRPr="00B90D29">
        <w:rPr>
          <w:rFonts w:ascii="Arial" w:hAnsi="Arial" w:cs="Arial"/>
          <w:i/>
          <w:iCs/>
          <w:sz w:val="22"/>
          <w:szCs w:val="22"/>
        </w:rPr>
        <w:t>Research design: Qualitative, quantitative, and mixed methods approaches</w:t>
      </w:r>
      <w:r w:rsidRPr="00B90D29">
        <w:rPr>
          <w:rFonts w:ascii="Arial" w:hAnsi="Arial" w:cs="Arial"/>
          <w:sz w:val="22"/>
          <w:szCs w:val="22"/>
        </w:rPr>
        <w:t xml:space="preserve">. 5th </w:t>
      </w:r>
      <w:proofErr w:type="spellStart"/>
      <w:r w:rsidRPr="00B90D29">
        <w:rPr>
          <w:rFonts w:ascii="Arial" w:hAnsi="Arial" w:cs="Arial"/>
          <w:sz w:val="22"/>
          <w:szCs w:val="22"/>
        </w:rPr>
        <w:t>edn</w:t>
      </w:r>
      <w:proofErr w:type="spellEnd"/>
      <w:r w:rsidRPr="00B90D29">
        <w:rPr>
          <w:rFonts w:ascii="Arial" w:hAnsi="Arial" w:cs="Arial"/>
          <w:sz w:val="22"/>
          <w:szCs w:val="22"/>
        </w:rPr>
        <w:t>. Thousand Oaks, CA: Sage Publications.</w:t>
      </w:r>
    </w:p>
    <w:p w14:paraId="1663B7BA" w14:textId="77777777" w:rsidR="00B90D29" w:rsidRPr="00B90D29" w:rsidRDefault="00B90D29" w:rsidP="00B90D29">
      <w:pPr>
        <w:spacing w:line="360" w:lineRule="auto"/>
        <w:rPr>
          <w:rFonts w:ascii="Arial" w:hAnsi="Arial" w:cs="Arial"/>
          <w:sz w:val="22"/>
          <w:szCs w:val="22"/>
        </w:rPr>
      </w:pPr>
      <w:r w:rsidRPr="00B90D29">
        <w:rPr>
          <w:rFonts w:ascii="Arial" w:hAnsi="Arial" w:cs="Arial"/>
          <w:sz w:val="22"/>
          <w:szCs w:val="22"/>
        </w:rPr>
        <w:t xml:space="preserve">Health Education England (2018) </w:t>
      </w:r>
      <w:r w:rsidRPr="00B90D29">
        <w:rPr>
          <w:rFonts w:ascii="Arial" w:hAnsi="Arial" w:cs="Arial"/>
          <w:i/>
          <w:iCs/>
          <w:sz w:val="22"/>
          <w:szCs w:val="22"/>
        </w:rPr>
        <w:t>A health and care digital capabilities framework</w:t>
      </w:r>
      <w:r w:rsidRPr="00B90D29">
        <w:rPr>
          <w:rFonts w:ascii="Arial" w:hAnsi="Arial" w:cs="Arial"/>
          <w:sz w:val="22"/>
          <w:szCs w:val="22"/>
        </w:rPr>
        <w:t xml:space="preserve">. Available at: </w:t>
      </w:r>
      <w:hyperlink r:id="rId7" w:history="1">
        <w:r w:rsidRPr="00B90D29">
          <w:rPr>
            <w:rStyle w:val="Hyperlink"/>
            <w:rFonts w:ascii="Arial" w:hAnsi="Arial" w:cs="Arial"/>
            <w:sz w:val="22"/>
            <w:szCs w:val="22"/>
          </w:rPr>
          <w:t>https://www.hee.nhs.uk/our-work/digital-literacy</w:t>
        </w:r>
      </w:hyperlink>
      <w:r w:rsidRPr="00B90D29">
        <w:rPr>
          <w:rFonts w:ascii="Arial" w:hAnsi="Arial" w:cs="Arial"/>
          <w:sz w:val="22"/>
          <w:szCs w:val="22"/>
        </w:rPr>
        <w:t xml:space="preserve"> (Accessed: 19 July 2026).</w:t>
      </w:r>
    </w:p>
    <w:p w14:paraId="0A8C0A61" w14:textId="77777777" w:rsidR="00B90D29" w:rsidRPr="00B90D29" w:rsidRDefault="00B90D29" w:rsidP="00B90D29">
      <w:pPr>
        <w:spacing w:line="360" w:lineRule="auto"/>
        <w:rPr>
          <w:rFonts w:ascii="Arial" w:hAnsi="Arial" w:cs="Arial"/>
          <w:sz w:val="22"/>
          <w:szCs w:val="22"/>
        </w:rPr>
      </w:pPr>
      <w:proofErr w:type="spellStart"/>
      <w:r w:rsidRPr="00B90D29">
        <w:rPr>
          <w:rFonts w:ascii="Arial" w:hAnsi="Arial" w:cs="Arial"/>
          <w:sz w:val="22"/>
          <w:szCs w:val="22"/>
        </w:rPr>
        <w:t>Martzoukou</w:t>
      </w:r>
      <w:proofErr w:type="spellEnd"/>
      <w:r w:rsidRPr="00B90D29">
        <w:rPr>
          <w:rFonts w:ascii="Arial" w:hAnsi="Arial" w:cs="Arial"/>
          <w:sz w:val="22"/>
          <w:szCs w:val="22"/>
        </w:rPr>
        <w:t xml:space="preserve">, K., Fulton, C., </w:t>
      </w:r>
      <w:proofErr w:type="spellStart"/>
      <w:r w:rsidRPr="00B90D29">
        <w:rPr>
          <w:rFonts w:ascii="Arial" w:hAnsi="Arial" w:cs="Arial"/>
          <w:sz w:val="22"/>
          <w:szCs w:val="22"/>
        </w:rPr>
        <w:t>Kostagiolas</w:t>
      </w:r>
      <w:proofErr w:type="spellEnd"/>
      <w:r w:rsidRPr="00B90D29">
        <w:rPr>
          <w:rFonts w:ascii="Arial" w:hAnsi="Arial" w:cs="Arial"/>
          <w:sz w:val="22"/>
          <w:szCs w:val="22"/>
        </w:rPr>
        <w:t xml:space="preserve">, P., </w:t>
      </w:r>
      <w:proofErr w:type="spellStart"/>
      <w:r w:rsidRPr="00B90D29">
        <w:rPr>
          <w:rFonts w:ascii="Arial" w:hAnsi="Arial" w:cs="Arial"/>
          <w:sz w:val="22"/>
          <w:szCs w:val="22"/>
        </w:rPr>
        <w:t>Lavranos</w:t>
      </w:r>
      <w:proofErr w:type="spellEnd"/>
      <w:r w:rsidRPr="00B90D29">
        <w:rPr>
          <w:rFonts w:ascii="Arial" w:hAnsi="Arial" w:cs="Arial"/>
          <w:sz w:val="22"/>
          <w:szCs w:val="22"/>
        </w:rPr>
        <w:t xml:space="preserve">, C., Mavragani, E., Robertson, C. and Morrison, J. (2024) 'A cross-sectional study of discipline-based self-perceived digital literacy competencies of nursing students', </w:t>
      </w:r>
      <w:r w:rsidRPr="00B90D29">
        <w:rPr>
          <w:rFonts w:ascii="Arial" w:hAnsi="Arial" w:cs="Arial"/>
          <w:i/>
          <w:iCs/>
          <w:sz w:val="22"/>
          <w:szCs w:val="22"/>
        </w:rPr>
        <w:t>Journal of Advanced Nursing</w:t>
      </w:r>
      <w:r w:rsidRPr="00B90D29">
        <w:rPr>
          <w:rFonts w:ascii="Arial" w:hAnsi="Arial" w:cs="Arial"/>
          <w:sz w:val="22"/>
          <w:szCs w:val="22"/>
        </w:rPr>
        <w:t xml:space="preserve">, 80(2), pp. 679–695. </w:t>
      </w:r>
      <w:hyperlink r:id="rId8" w:history="1">
        <w:r w:rsidRPr="00B90D29">
          <w:rPr>
            <w:rStyle w:val="Hyperlink"/>
            <w:rFonts w:ascii="Arial" w:hAnsi="Arial" w:cs="Arial"/>
            <w:sz w:val="22"/>
            <w:szCs w:val="22"/>
          </w:rPr>
          <w:t>https://doi.org/10.1111/jan.15852</w:t>
        </w:r>
      </w:hyperlink>
    </w:p>
    <w:p w14:paraId="3976DA5E" w14:textId="77777777" w:rsidR="00B90D29" w:rsidRPr="00B90D29" w:rsidRDefault="00B90D29" w:rsidP="00B90D29">
      <w:pPr>
        <w:spacing w:line="360" w:lineRule="auto"/>
        <w:rPr>
          <w:rFonts w:ascii="Arial" w:hAnsi="Arial" w:cs="Arial"/>
          <w:sz w:val="22"/>
          <w:szCs w:val="22"/>
        </w:rPr>
      </w:pPr>
      <w:r w:rsidRPr="00B90D29">
        <w:rPr>
          <w:rFonts w:ascii="Arial" w:hAnsi="Arial" w:cs="Arial"/>
          <w:sz w:val="22"/>
          <w:szCs w:val="22"/>
        </w:rPr>
        <w:t xml:space="preserve">NHS England (2022) </w:t>
      </w:r>
      <w:r w:rsidRPr="00B90D29">
        <w:rPr>
          <w:rFonts w:ascii="Arial" w:hAnsi="Arial" w:cs="Arial"/>
          <w:i/>
          <w:iCs/>
          <w:sz w:val="22"/>
          <w:szCs w:val="22"/>
        </w:rPr>
        <w:t>A plan for digital health and social care</w:t>
      </w:r>
      <w:r w:rsidRPr="00B90D29">
        <w:rPr>
          <w:rFonts w:ascii="Arial" w:hAnsi="Arial" w:cs="Arial"/>
          <w:sz w:val="22"/>
          <w:szCs w:val="22"/>
        </w:rPr>
        <w:t xml:space="preserve">. Available at: </w:t>
      </w:r>
      <w:hyperlink r:id="rId9" w:history="1">
        <w:r w:rsidRPr="00B90D29">
          <w:rPr>
            <w:rStyle w:val="Hyperlink"/>
            <w:rFonts w:ascii="Arial" w:hAnsi="Arial" w:cs="Arial"/>
            <w:sz w:val="22"/>
            <w:szCs w:val="22"/>
          </w:rPr>
          <w:t>https://www.england.nhs.uk/digitaltechnology/</w:t>
        </w:r>
      </w:hyperlink>
      <w:r w:rsidRPr="00B90D29">
        <w:rPr>
          <w:rFonts w:ascii="Arial" w:hAnsi="Arial" w:cs="Arial"/>
          <w:sz w:val="22"/>
          <w:szCs w:val="22"/>
        </w:rPr>
        <w:t xml:space="preserve"> (Accessed: 19 July 2026).</w:t>
      </w:r>
    </w:p>
    <w:p w14:paraId="1FA42BA8" w14:textId="77777777" w:rsidR="00B90D29" w:rsidRPr="00B90D29" w:rsidRDefault="00B90D29" w:rsidP="00B90D29">
      <w:pPr>
        <w:spacing w:line="360" w:lineRule="auto"/>
        <w:rPr>
          <w:rFonts w:ascii="Arial" w:hAnsi="Arial" w:cs="Arial"/>
          <w:sz w:val="22"/>
          <w:szCs w:val="22"/>
        </w:rPr>
      </w:pPr>
      <w:r w:rsidRPr="00B90D29">
        <w:rPr>
          <w:rFonts w:ascii="Arial" w:hAnsi="Arial" w:cs="Arial"/>
          <w:sz w:val="22"/>
          <w:szCs w:val="22"/>
        </w:rPr>
        <w:t xml:space="preserve">Nursing and Midwifery Council (2018) </w:t>
      </w:r>
      <w:r w:rsidRPr="00B90D29">
        <w:rPr>
          <w:rFonts w:ascii="Arial" w:hAnsi="Arial" w:cs="Arial"/>
          <w:i/>
          <w:iCs/>
          <w:sz w:val="22"/>
          <w:szCs w:val="22"/>
        </w:rPr>
        <w:t>Future nurse: Standards of proficiency for registered nurses</w:t>
      </w:r>
      <w:r w:rsidRPr="00B90D29">
        <w:rPr>
          <w:rFonts w:ascii="Arial" w:hAnsi="Arial" w:cs="Arial"/>
          <w:sz w:val="22"/>
          <w:szCs w:val="22"/>
        </w:rPr>
        <w:t xml:space="preserve">. London: Nursing and Midwifery Council. Available at: </w:t>
      </w:r>
      <w:hyperlink r:id="rId10" w:history="1">
        <w:r w:rsidRPr="00B90D29">
          <w:rPr>
            <w:rStyle w:val="Hyperlink"/>
            <w:rFonts w:ascii="Arial" w:hAnsi="Arial" w:cs="Arial"/>
            <w:sz w:val="22"/>
            <w:szCs w:val="22"/>
          </w:rPr>
          <w:t>https://www.nmc.org.uk/standards/standards-for-nurses/future-nurse/</w:t>
        </w:r>
      </w:hyperlink>
      <w:r w:rsidRPr="00B90D29">
        <w:rPr>
          <w:rFonts w:ascii="Arial" w:hAnsi="Arial" w:cs="Arial"/>
          <w:sz w:val="22"/>
          <w:szCs w:val="22"/>
        </w:rPr>
        <w:t xml:space="preserve"> (Accessed: 19 July 2026).</w:t>
      </w:r>
    </w:p>
    <w:p w14:paraId="782B87E5" w14:textId="77777777" w:rsidR="00B90D29" w:rsidRPr="00B90D29" w:rsidRDefault="00B90D29" w:rsidP="00B90D29">
      <w:pPr>
        <w:spacing w:line="360" w:lineRule="auto"/>
        <w:rPr>
          <w:rFonts w:ascii="Arial" w:hAnsi="Arial" w:cs="Arial"/>
          <w:sz w:val="22"/>
          <w:szCs w:val="22"/>
        </w:rPr>
      </w:pPr>
      <w:r w:rsidRPr="00B90D29">
        <w:rPr>
          <w:rFonts w:ascii="Arial" w:hAnsi="Arial" w:cs="Arial"/>
          <w:sz w:val="22"/>
          <w:szCs w:val="22"/>
        </w:rPr>
        <w:t xml:space="preserve">Polit, D.F. and Beck, C.T. (2021) </w:t>
      </w:r>
      <w:r w:rsidRPr="00B90D29">
        <w:rPr>
          <w:rFonts w:ascii="Arial" w:hAnsi="Arial" w:cs="Arial"/>
          <w:i/>
          <w:iCs/>
          <w:sz w:val="22"/>
          <w:szCs w:val="22"/>
        </w:rPr>
        <w:t>Nursing research: Generating and assessing evidence for nursing practice</w:t>
      </w:r>
      <w:r w:rsidRPr="00B90D29">
        <w:rPr>
          <w:rFonts w:ascii="Arial" w:hAnsi="Arial" w:cs="Arial"/>
          <w:sz w:val="22"/>
          <w:szCs w:val="22"/>
        </w:rPr>
        <w:t xml:space="preserve">. 11th </w:t>
      </w:r>
      <w:proofErr w:type="spellStart"/>
      <w:r w:rsidRPr="00B90D29">
        <w:rPr>
          <w:rFonts w:ascii="Arial" w:hAnsi="Arial" w:cs="Arial"/>
          <w:sz w:val="22"/>
          <w:szCs w:val="22"/>
        </w:rPr>
        <w:t>edn</w:t>
      </w:r>
      <w:proofErr w:type="spellEnd"/>
      <w:r w:rsidRPr="00B90D29">
        <w:rPr>
          <w:rFonts w:ascii="Arial" w:hAnsi="Arial" w:cs="Arial"/>
          <w:sz w:val="22"/>
          <w:szCs w:val="22"/>
        </w:rPr>
        <w:t>. Philadelphia: Wolters Kluwer.</w:t>
      </w:r>
    </w:p>
    <w:p w14:paraId="062200F8" w14:textId="77777777" w:rsidR="00B90D29" w:rsidRDefault="00B90D29" w:rsidP="00F95BA1">
      <w:pPr>
        <w:spacing w:line="360" w:lineRule="auto"/>
        <w:rPr>
          <w:rFonts w:ascii="Arial" w:hAnsi="Arial" w:cs="Arial"/>
          <w:sz w:val="22"/>
          <w:szCs w:val="22"/>
        </w:rPr>
      </w:pPr>
    </w:p>
    <w:p w14:paraId="372BF7AE" w14:textId="77777777" w:rsidR="00B90D29" w:rsidRDefault="00B90D29" w:rsidP="00F95BA1">
      <w:pPr>
        <w:spacing w:line="360" w:lineRule="auto"/>
        <w:rPr>
          <w:rFonts w:ascii="Arial" w:hAnsi="Arial" w:cs="Arial"/>
          <w:sz w:val="22"/>
          <w:szCs w:val="22"/>
        </w:rPr>
      </w:pPr>
    </w:p>
    <w:p w14:paraId="2A77183A" w14:textId="77777777" w:rsidR="00B90D29" w:rsidRDefault="00B90D29" w:rsidP="00F95BA1">
      <w:pPr>
        <w:spacing w:line="360" w:lineRule="auto"/>
        <w:rPr>
          <w:rFonts w:ascii="Arial" w:hAnsi="Arial" w:cs="Arial"/>
          <w:sz w:val="22"/>
          <w:szCs w:val="22"/>
        </w:rPr>
      </w:pPr>
    </w:p>
    <w:p w14:paraId="509917BD" w14:textId="77777777" w:rsidR="00B90D29" w:rsidRDefault="00B90D29" w:rsidP="00F95BA1">
      <w:pPr>
        <w:spacing w:line="360" w:lineRule="auto"/>
        <w:rPr>
          <w:rFonts w:ascii="Arial" w:hAnsi="Arial" w:cs="Arial"/>
          <w:sz w:val="22"/>
          <w:szCs w:val="22"/>
        </w:rPr>
      </w:pPr>
    </w:p>
    <w:p w14:paraId="26E7CCC6" w14:textId="77777777" w:rsidR="00F95BA1" w:rsidRDefault="00F95BA1" w:rsidP="00F95BA1">
      <w:pPr>
        <w:spacing w:line="360" w:lineRule="auto"/>
        <w:rPr>
          <w:rFonts w:ascii="Arial" w:hAnsi="Arial" w:cs="Arial"/>
          <w:sz w:val="22"/>
          <w:szCs w:val="22"/>
        </w:rPr>
      </w:pPr>
    </w:p>
    <w:p w14:paraId="51998A45" w14:textId="77777777" w:rsidR="00F95BA1" w:rsidRDefault="00F95BA1" w:rsidP="00F95BA1">
      <w:pPr>
        <w:spacing w:line="360" w:lineRule="auto"/>
        <w:rPr>
          <w:rFonts w:ascii="Arial" w:hAnsi="Arial" w:cs="Arial"/>
          <w:sz w:val="22"/>
          <w:szCs w:val="22"/>
        </w:rPr>
      </w:pPr>
    </w:p>
    <w:p w14:paraId="22A53D2B" w14:textId="77777777" w:rsidR="00F95BA1" w:rsidRPr="00F95BA1" w:rsidRDefault="00F95BA1" w:rsidP="00F95BA1">
      <w:pPr>
        <w:spacing w:line="360" w:lineRule="auto"/>
        <w:rPr>
          <w:rFonts w:ascii="Arial" w:hAnsi="Arial" w:cs="Arial"/>
          <w:sz w:val="22"/>
          <w:szCs w:val="22"/>
        </w:rPr>
      </w:pPr>
    </w:p>
    <w:p w14:paraId="4975A797" w14:textId="77777777" w:rsidR="00F95BA1" w:rsidRPr="00F95BA1" w:rsidRDefault="00F95BA1">
      <w:pPr>
        <w:rPr>
          <w:rFonts w:ascii="Arial" w:hAnsi="Arial" w:cs="Arial"/>
          <w:sz w:val="22"/>
          <w:szCs w:val="22"/>
          <w:lang w:val="en-US"/>
        </w:rPr>
      </w:pPr>
    </w:p>
    <w:sectPr w:rsidR="00F95BA1" w:rsidRPr="00F95BA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F841B" w14:textId="77777777" w:rsidR="00B920EA" w:rsidRDefault="00B920EA" w:rsidP="00B90D29">
      <w:pPr>
        <w:spacing w:after="0" w:line="240" w:lineRule="auto"/>
      </w:pPr>
      <w:r>
        <w:separator/>
      </w:r>
    </w:p>
  </w:endnote>
  <w:endnote w:type="continuationSeparator" w:id="0">
    <w:p w14:paraId="713F6DF9" w14:textId="77777777" w:rsidR="00B920EA" w:rsidRDefault="00B920EA" w:rsidP="00B90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716340"/>
      <w:docPartObj>
        <w:docPartGallery w:val="Page Numbers (Bottom of Page)"/>
        <w:docPartUnique/>
      </w:docPartObj>
    </w:sdtPr>
    <w:sdtEndPr>
      <w:rPr>
        <w:noProof/>
      </w:rPr>
    </w:sdtEndPr>
    <w:sdtContent>
      <w:p w14:paraId="24C033A5" w14:textId="569A3A34" w:rsidR="00B90D29" w:rsidRDefault="00B90D29">
        <w:pPr>
          <w:pStyle w:val="Footer"/>
        </w:pPr>
        <w:r>
          <w:fldChar w:fldCharType="begin"/>
        </w:r>
        <w:r>
          <w:instrText xml:space="preserve"> PAGE   \* MERGEFORMAT </w:instrText>
        </w:r>
        <w:r>
          <w:fldChar w:fldCharType="separate"/>
        </w:r>
        <w:r>
          <w:rPr>
            <w:noProof/>
          </w:rPr>
          <w:t>2</w:t>
        </w:r>
        <w:r>
          <w:rPr>
            <w:noProof/>
          </w:rPr>
          <w:fldChar w:fldCharType="end"/>
        </w:r>
      </w:p>
    </w:sdtContent>
  </w:sdt>
  <w:p w14:paraId="3954862C" w14:textId="77777777" w:rsidR="00B90D29" w:rsidRDefault="00B90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91DDF" w14:textId="77777777" w:rsidR="00B920EA" w:rsidRDefault="00B920EA" w:rsidP="00B90D29">
      <w:pPr>
        <w:spacing w:after="0" w:line="240" w:lineRule="auto"/>
      </w:pPr>
      <w:r>
        <w:separator/>
      </w:r>
    </w:p>
  </w:footnote>
  <w:footnote w:type="continuationSeparator" w:id="0">
    <w:p w14:paraId="5DFE8816" w14:textId="77777777" w:rsidR="00B920EA" w:rsidRDefault="00B920EA" w:rsidP="00B90D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BA1"/>
    <w:rsid w:val="009009A6"/>
    <w:rsid w:val="00B90D29"/>
    <w:rsid w:val="00B920EA"/>
    <w:rsid w:val="00F95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FAF06"/>
  <w15:chartTrackingRefBased/>
  <w15:docId w15:val="{D841D8A7-2563-4C0A-9A8D-D7F477CB2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B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B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B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B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B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B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B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B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B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B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BA1"/>
    <w:rPr>
      <w:rFonts w:eastAsiaTheme="majorEastAsia" w:cstheme="majorBidi"/>
      <w:color w:val="272727" w:themeColor="text1" w:themeTint="D8"/>
    </w:rPr>
  </w:style>
  <w:style w:type="paragraph" w:styleId="Title">
    <w:name w:val="Title"/>
    <w:basedOn w:val="Normal"/>
    <w:next w:val="Normal"/>
    <w:link w:val="TitleChar"/>
    <w:uiPriority w:val="10"/>
    <w:qFormat/>
    <w:rsid w:val="00F95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BA1"/>
    <w:pPr>
      <w:spacing w:before="160"/>
      <w:jc w:val="center"/>
    </w:pPr>
    <w:rPr>
      <w:i/>
      <w:iCs/>
      <w:color w:val="404040" w:themeColor="text1" w:themeTint="BF"/>
    </w:rPr>
  </w:style>
  <w:style w:type="character" w:customStyle="1" w:styleId="QuoteChar">
    <w:name w:val="Quote Char"/>
    <w:basedOn w:val="DefaultParagraphFont"/>
    <w:link w:val="Quote"/>
    <w:uiPriority w:val="29"/>
    <w:rsid w:val="00F95BA1"/>
    <w:rPr>
      <w:i/>
      <w:iCs/>
      <w:color w:val="404040" w:themeColor="text1" w:themeTint="BF"/>
    </w:rPr>
  </w:style>
  <w:style w:type="paragraph" w:styleId="ListParagraph">
    <w:name w:val="List Paragraph"/>
    <w:basedOn w:val="Normal"/>
    <w:uiPriority w:val="34"/>
    <w:qFormat/>
    <w:rsid w:val="00F95BA1"/>
    <w:pPr>
      <w:ind w:left="720"/>
      <w:contextualSpacing/>
    </w:pPr>
  </w:style>
  <w:style w:type="character" w:styleId="IntenseEmphasis">
    <w:name w:val="Intense Emphasis"/>
    <w:basedOn w:val="DefaultParagraphFont"/>
    <w:uiPriority w:val="21"/>
    <w:qFormat/>
    <w:rsid w:val="00F95BA1"/>
    <w:rPr>
      <w:i/>
      <w:iCs/>
      <w:color w:val="0F4761" w:themeColor="accent1" w:themeShade="BF"/>
    </w:rPr>
  </w:style>
  <w:style w:type="paragraph" w:styleId="IntenseQuote">
    <w:name w:val="Intense Quote"/>
    <w:basedOn w:val="Normal"/>
    <w:next w:val="Normal"/>
    <w:link w:val="IntenseQuoteChar"/>
    <w:uiPriority w:val="30"/>
    <w:qFormat/>
    <w:rsid w:val="00F95B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BA1"/>
    <w:rPr>
      <w:i/>
      <w:iCs/>
      <w:color w:val="0F4761" w:themeColor="accent1" w:themeShade="BF"/>
    </w:rPr>
  </w:style>
  <w:style w:type="character" w:styleId="IntenseReference">
    <w:name w:val="Intense Reference"/>
    <w:basedOn w:val="DefaultParagraphFont"/>
    <w:uiPriority w:val="32"/>
    <w:qFormat/>
    <w:rsid w:val="00F95BA1"/>
    <w:rPr>
      <w:b/>
      <w:bCs/>
      <w:smallCaps/>
      <w:color w:val="0F4761" w:themeColor="accent1" w:themeShade="BF"/>
      <w:spacing w:val="5"/>
    </w:rPr>
  </w:style>
  <w:style w:type="paragraph" w:styleId="Header">
    <w:name w:val="header"/>
    <w:basedOn w:val="Normal"/>
    <w:link w:val="HeaderChar"/>
    <w:uiPriority w:val="99"/>
    <w:unhideWhenUsed/>
    <w:rsid w:val="00B90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D29"/>
  </w:style>
  <w:style w:type="paragraph" w:styleId="Footer">
    <w:name w:val="footer"/>
    <w:basedOn w:val="Normal"/>
    <w:link w:val="FooterChar"/>
    <w:uiPriority w:val="99"/>
    <w:unhideWhenUsed/>
    <w:rsid w:val="00B90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D29"/>
  </w:style>
  <w:style w:type="character" w:styleId="Hyperlink">
    <w:name w:val="Hyperlink"/>
    <w:basedOn w:val="DefaultParagraphFont"/>
    <w:uiPriority w:val="99"/>
    <w:unhideWhenUsed/>
    <w:rsid w:val="00B90D29"/>
    <w:rPr>
      <w:color w:val="467886" w:themeColor="hyperlink"/>
      <w:u w:val="single"/>
    </w:rPr>
  </w:style>
  <w:style w:type="character" w:styleId="UnresolvedMention">
    <w:name w:val="Unresolved Mention"/>
    <w:basedOn w:val="DefaultParagraphFont"/>
    <w:uiPriority w:val="99"/>
    <w:semiHidden/>
    <w:unhideWhenUsed/>
    <w:rsid w:val="00B90D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an.1585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ee.nhs.uk/our-work/digital-literac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91/1478088706qp063oa"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nmc.org.uk/standards/standards-for-nurses/future-nurse/" TargetMode="External"/><Relationship Id="rId4" Type="http://schemas.openxmlformats.org/officeDocument/2006/relationships/footnotes" Target="footnotes.xml"/><Relationship Id="rId9" Type="http://schemas.openxmlformats.org/officeDocument/2006/relationships/hyperlink" Target="https://www.england.nhs.uk/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1587</TotalTime>
  <Pages>5</Pages>
  <Words>1835</Words>
  <Characters>10464</Characters>
  <Application>Microsoft Office Word</Application>
  <DocSecurity>0</DocSecurity>
  <Lines>87</Lines>
  <Paragraphs>24</Paragraphs>
  <ScaleCrop>false</ScaleCrop>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Comfort Agyeiwaa (2526197)</dc:creator>
  <cp:keywords/>
  <dc:description/>
  <cp:lastModifiedBy>Comfort Agyeiwaa (2526197)</cp:lastModifiedBy>
  <cp:revision>2</cp:revision>
  <dcterms:created xsi:type="dcterms:W3CDTF">2026-07-18T16:22:00Z</dcterms:created>
  <dcterms:modified xsi:type="dcterms:W3CDTF">2026-07-19T19:07:00Z</dcterms:modified>
</cp:coreProperties>
</file>