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color w:val="5B9BD5" w:themeColor="accent1"/>
          <w:sz w:val="24"/>
          <w:szCs w:val="24"/>
          <w:lang w:val="en-GB"/>
        </w:rPr>
        <w:id w:val="-1522475554"/>
        <w:docPartObj>
          <w:docPartGallery w:val="Cover Pages"/>
          <w:docPartUnique/>
        </w:docPartObj>
      </w:sdtPr>
      <w:sdtEndPr>
        <w:rPr>
          <w:color w:val="auto"/>
        </w:rPr>
      </w:sdtEndPr>
      <w:sdtContent>
        <w:p w14:paraId="67315332" w14:textId="77777777" w:rsidR="008B12C7" w:rsidRDefault="008B12C7" w:rsidP="008B12C7">
          <w:pPr>
            <w:pStyle w:val="NoSpacing"/>
            <w:spacing w:before="1540" w:after="240" w:line="360" w:lineRule="auto"/>
            <w:rPr>
              <w:rFonts w:ascii="Times New Roman" w:eastAsiaTheme="minorHAnsi" w:hAnsi="Times New Roman" w:cs="Times New Roman"/>
              <w:color w:val="5B9BD5" w:themeColor="accent1"/>
              <w:sz w:val="24"/>
              <w:szCs w:val="24"/>
              <w:lang w:val="en-GB"/>
            </w:rPr>
          </w:pPr>
          <w:r w:rsidRPr="008B4D32">
            <w:rPr>
              <w:rFonts w:cs="Arial"/>
              <w:noProof/>
            </w:rPr>
            <w:drawing>
              <wp:inline distT="0" distB="0" distL="0" distR="0" wp14:anchorId="3285BD6C" wp14:editId="4FC0B419">
                <wp:extent cx="1918335" cy="708572"/>
                <wp:effectExtent l="0" t="0" r="5715"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7020" cy="741329"/>
                        </a:xfrm>
                        <a:prstGeom prst="rect">
                          <a:avLst/>
                        </a:prstGeom>
                        <a:noFill/>
                        <a:ln>
                          <a:noFill/>
                        </a:ln>
                      </pic:spPr>
                    </pic:pic>
                  </a:graphicData>
                </a:graphic>
              </wp:inline>
            </w:drawing>
          </w:r>
        </w:p>
        <w:p w14:paraId="6A518D50" w14:textId="77777777" w:rsidR="008B12C7" w:rsidRPr="00E22036" w:rsidRDefault="008B12C7" w:rsidP="008B12C7">
          <w:pPr>
            <w:pStyle w:val="NoSpacing"/>
            <w:spacing w:before="1540" w:after="240" w:line="360" w:lineRule="auto"/>
            <w:jc w:val="center"/>
            <w:rPr>
              <w:rFonts w:ascii="Times New Roman" w:hAnsi="Times New Roman" w:cs="Times New Roman"/>
              <w:b/>
              <w:color w:val="000000" w:themeColor="text1"/>
              <w:sz w:val="24"/>
              <w:szCs w:val="24"/>
              <w:lang w:val="en-GB"/>
            </w:rPr>
          </w:pPr>
          <w:r w:rsidRPr="00E22036">
            <w:rPr>
              <w:rFonts w:ascii="Times New Roman" w:hAnsi="Times New Roman" w:cs="Times New Roman"/>
              <w:b/>
              <w:noProof/>
              <w:color w:val="000000" w:themeColor="text1"/>
              <w:sz w:val="24"/>
              <w:szCs w:val="24"/>
              <w:lang w:val="en-GB" w:eastAsia="en-GB"/>
            </w:rPr>
            <w:drawing>
              <wp:inline distT="0" distB="0" distL="0" distR="0" wp14:anchorId="2EC9F115" wp14:editId="0E641ECF">
                <wp:extent cx="1417320" cy="750898"/>
                <wp:effectExtent l="0" t="0" r="0" b="0"/>
                <wp:docPr id="611011409" name="Picture 611011409"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011409" name="Picture 611011409" descr="A black background with grey leaves&#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caps/>
              <w:color w:val="000000" w:themeColor="text1"/>
              <w:sz w:val="24"/>
              <w:szCs w:val="24"/>
              <w:lang w:val="en-GB"/>
            </w:rPr>
            <w:alias w:val="Title"/>
            <w:tag w:val=""/>
            <w:id w:val="-1889716497"/>
            <w:dataBinding w:prefixMappings="xmlns:ns0='http://purl.org/dc/elements/1.1/' xmlns:ns1='http://schemas.openxmlformats.org/package/2006/metadata/core-properties' " w:xpath="/ns1:coreProperties[1]/ns0:title[1]" w:storeItemID="{6C3C8BC8-F283-45AE-878A-BAB7291924A1}"/>
            <w:text/>
          </w:sdtPr>
          <w:sdtEndPr/>
          <w:sdtContent>
            <w:p w14:paraId="55A72255" w14:textId="77777777" w:rsidR="008B12C7" w:rsidRPr="00E22036" w:rsidRDefault="008B12C7" w:rsidP="008B12C7">
              <w:pPr>
                <w:pStyle w:val="NoSpacing"/>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b/>
                  <w:caps/>
                  <w:color w:val="000000" w:themeColor="text1"/>
                  <w:sz w:val="24"/>
                  <w:szCs w:val="24"/>
                  <w:lang w:val="en-GB"/>
                </w:rPr>
              </w:pPr>
              <w:r w:rsidRPr="00E22036">
                <w:rPr>
                  <w:rFonts w:ascii="Times New Roman" w:eastAsiaTheme="majorEastAsia" w:hAnsi="Times New Roman" w:cs="Times New Roman"/>
                  <w:b/>
                  <w:caps/>
                  <w:color w:val="000000" w:themeColor="text1"/>
                  <w:sz w:val="24"/>
                  <w:szCs w:val="24"/>
                  <w:lang w:val="en-GB"/>
                </w:rPr>
                <w:t>GLOBAL BUSINESS CHALLENGES</w:t>
              </w:r>
            </w:p>
          </w:sdtContent>
        </w:sdt>
        <w:sdt>
          <w:sdtPr>
            <w:rPr>
              <w:rFonts w:ascii="Times New Roman" w:hAnsi="Times New Roman" w:cs="Times New Roman"/>
              <w:b/>
              <w:color w:val="000000" w:themeColor="text1"/>
              <w:sz w:val="24"/>
              <w:szCs w:val="24"/>
              <w:lang w:val="en-GB"/>
            </w:rPr>
            <w:alias w:val="Subtitle"/>
            <w:tag w:val=""/>
            <w:id w:val="-995793672"/>
            <w:dataBinding w:prefixMappings="xmlns:ns0='http://purl.org/dc/elements/1.1/' xmlns:ns1='http://schemas.openxmlformats.org/package/2006/metadata/core-properties' " w:xpath="/ns1:coreProperties[1]/ns0:subject[1]" w:storeItemID="{6C3C8BC8-F283-45AE-878A-BAB7291924A1}"/>
            <w:text/>
          </w:sdtPr>
          <w:sdtEndPr/>
          <w:sdtContent>
            <w:p w14:paraId="07DD02C8" w14:textId="77777777" w:rsidR="008B12C7" w:rsidRPr="00E22036" w:rsidRDefault="008B12C7" w:rsidP="008B12C7">
              <w:pPr>
                <w:pStyle w:val="NoSpacing"/>
                <w:spacing w:line="360" w:lineRule="auto"/>
                <w:jc w:val="center"/>
                <w:rPr>
                  <w:rFonts w:ascii="Times New Roman" w:hAnsi="Times New Roman" w:cs="Times New Roman"/>
                  <w:b/>
                  <w:color w:val="000000" w:themeColor="text1"/>
                  <w:sz w:val="24"/>
                  <w:szCs w:val="24"/>
                  <w:lang w:val="en-GB"/>
                </w:rPr>
              </w:pPr>
              <w:r w:rsidRPr="00E22036">
                <w:rPr>
                  <w:rFonts w:ascii="Times New Roman" w:hAnsi="Times New Roman" w:cs="Times New Roman"/>
                  <w:b/>
                  <w:color w:val="000000" w:themeColor="text1"/>
                  <w:sz w:val="24"/>
                  <w:szCs w:val="24"/>
                  <w:lang w:val="en-GB"/>
                </w:rPr>
                <w:t>TESLA</w:t>
              </w:r>
            </w:p>
          </w:sdtContent>
        </w:sdt>
        <w:p w14:paraId="44C05559" w14:textId="77777777" w:rsidR="008B12C7" w:rsidRPr="00E22036" w:rsidRDefault="008B12C7" w:rsidP="008B12C7">
          <w:pPr>
            <w:pStyle w:val="NoSpacing"/>
            <w:spacing w:before="480" w:line="360" w:lineRule="auto"/>
            <w:jc w:val="center"/>
            <w:rPr>
              <w:rFonts w:ascii="Times New Roman" w:hAnsi="Times New Roman" w:cs="Times New Roman"/>
              <w:color w:val="5B9BD5" w:themeColor="accent1"/>
              <w:sz w:val="24"/>
              <w:szCs w:val="24"/>
              <w:lang w:val="en-GB"/>
            </w:rPr>
          </w:pPr>
          <w:r w:rsidRPr="00E22036">
            <w:rPr>
              <w:rFonts w:ascii="Times New Roman" w:hAnsi="Times New Roman" w:cs="Times New Roman"/>
              <w:noProof/>
              <w:color w:val="5B9BD5" w:themeColor="accent1"/>
              <w:sz w:val="24"/>
              <w:szCs w:val="24"/>
              <w:lang w:val="en-GB" w:eastAsia="en-GB"/>
            </w:rPr>
            <mc:AlternateContent>
              <mc:Choice Requires="wps">
                <w:drawing>
                  <wp:anchor distT="0" distB="0" distL="114300" distR="114300" simplePos="0" relativeHeight="251661312" behindDoc="0" locked="0" layoutInCell="1" allowOverlap="1" wp14:anchorId="72C50371" wp14:editId="0B220C2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583565"/>
                    <wp:effectExtent l="0" t="0" r="0" b="0"/>
                    <wp:wrapNone/>
                    <wp:docPr id="10031225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8970" cy="583565"/>
                            </a:xfrm>
                            <a:prstGeom prst="rect">
                              <a:avLst/>
                            </a:prstGeom>
                            <a:noFill/>
                            <a:ln w="6350">
                              <a:noFill/>
                            </a:ln>
                            <a:effectLst/>
                          </wps:spPr>
                          <wps:txbx>
                            <w:txbxContent>
                              <w:p w14:paraId="67F57AEE" w14:textId="77777777" w:rsidR="008B12C7" w:rsidRPr="00E22036" w:rsidRDefault="008B12C7" w:rsidP="008B12C7">
                                <w:pPr>
                                  <w:pStyle w:val="NoSpacing"/>
                                  <w:spacing w:after="40"/>
                                  <w:jc w:val="center"/>
                                  <w:rPr>
                                    <w:caps/>
                                    <w:color w:val="ACB9CA" w:themeColor="text2" w:themeTint="66"/>
                                    <w:sz w:val="28"/>
                                    <w:szCs w:val="28"/>
                                  </w:rPr>
                                </w:pPr>
                              </w:p>
                              <w:p w14:paraId="4F79F3E5" w14:textId="2091A498" w:rsidR="008B12C7" w:rsidRPr="00E22036" w:rsidRDefault="00460009" w:rsidP="008B12C7">
                                <w:pPr>
                                  <w:pStyle w:val="NoSpacing"/>
                                  <w:jc w:val="center"/>
                                  <w:rPr>
                                    <w:b/>
                                    <w:bCs/>
                                    <w:color w:val="8496B0" w:themeColor="text2" w:themeTint="99"/>
                                  </w:rPr>
                                </w:pPr>
                                <w:sdt>
                                  <w:sdtPr>
                                    <w:rPr>
                                      <w:b/>
                                      <w:bCs/>
                                      <w:caps/>
                                      <w:color w:val="8496B0" w:themeColor="text2" w:themeTint="99"/>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B12C7">
                                      <w:rPr>
                                        <w:b/>
                                        <w:bCs/>
                                        <w:caps/>
                                        <w:color w:val="8496B0" w:themeColor="text2" w:themeTint="99"/>
                                      </w:rPr>
                                      <w:t>University of Wales Trinity Saint David</w:t>
                                    </w:r>
                                  </w:sdtContent>
                                </w:sdt>
                              </w:p>
                              <w:p w14:paraId="148E8690" w14:textId="77777777" w:rsidR="008B12C7" w:rsidRDefault="00460009" w:rsidP="008B12C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B12C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C50371" id="_x0000_t202" coordsize="21600,21600" o:spt="202" path="m,l,21600r21600,l21600,xe">
                    <v:stroke joinstyle="miter"/>
                    <v:path gradientshapeok="t" o:connecttype="rect"/>
                  </v:shapetype>
                  <v:shape id="Text Box 2" o:spid="_x0000_s1026" type="#_x0000_t202" style="position:absolute;left:0;text-align:left;margin-left:0;margin-top:0;width:451.1pt;height:45.95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" filled="f" stroked="f" strokeweight=".5pt">
                    <v:textbox style="mso-fit-shape-to-text:t" inset="0,0,0,0">
                      <w:txbxContent>
                        <w:p w14:paraId="67F57AEE" w14:textId="77777777" w:rsidR="008B12C7" w:rsidRPr="00E22036" w:rsidRDefault="008B12C7" w:rsidP="008B12C7">
                          <w:pPr>
                            <w:pStyle w:val="NoSpacing"/>
                            <w:spacing w:after="40"/>
                            <w:jc w:val="center"/>
                            <w:rPr>
                              <w:caps/>
                              <w:color w:val="ACB9CA" w:themeColor="text2" w:themeTint="66"/>
                              <w:sz w:val="28"/>
                              <w:szCs w:val="28"/>
                            </w:rPr>
                          </w:pPr>
                        </w:p>
                        <w:p w14:paraId="4F79F3E5" w14:textId="2091A498" w:rsidR="008B12C7" w:rsidRPr="00E22036" w:rsidRDefault="008B12C7" w:rsidP="008B12C7">
                          <w:pPr>
                            <w:pStyle w:val="NoSpacing"/>
                            <w:jc w:val="center"/>
                            <w:rPr>
                              <w:b/>
                              <w:bCs/>
                              <w:color w:val="8496B0" w:themeColor="text2" w:themeTint="99"/>
                            </w:rPr>
                          </w:pPr>
                          <w:sdt>
                            <w:sdtPr>
                              <w:rPr>
                                <w:b/>
                                <w:bCs/>
                                <w:caps/>
                                <w:color w:val="8496B0" w:themeColor="text2" w:themeTint="99"/>
                              </w:rPr>
                              <w:alias w:val="Company"/>
                              <w:tag w:val=""/>
                              <w:id w:val="1390145197"/>
                              <w:dataBinding w:prefixMappings="xmlns:ns0='http://schemas.openxmlformats.org/officeDocument/2006/extended-properties' " w:xpath="/ns0:Properties[1]/ns0:Company[1]" w:storeItemID="{6668398D-A668-4E3E-A5EB-62B293D839F1}"/>
                              <w:text/>
                            </w:sdtPr>
                            <w:sdtContent>
                              <w:r>
                                <w:rPr>
                                  <w:b/>
                                  <w:bCs/>
                                  <w:caps/>
                                  <w:color w:val="8496B0" w:themeColor="text2" w:themeTint="99"/>
                                </w:rPr>
                                <w:t>University of Wales Trinity Saint David</w:t>
                              </w:r>
                            </w:sdtContent>
                          </w:sdt>
                        </w:p>
                        <w:p w14:paraId="148E8690" w14:textId="77777777" w:rsidR="008B12C7" w:rsidRDefault="008B12C7" w:rsidP="008B12C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E22036">
            <w:rPr>
              <w:rFonts w:ascii="Times New Roman" w:hAnsi="Times New Roman" w:cs="Times New Roman"/>
              <w:noProof/>
              <w:color w:val="5B9BD5" w:themeColor="accent1"/>
              <w:sz w:val="24"/>
              <w:szCs w:val="24"/>
              <w:lang w:val="en-GB" w:eastAsia="en-GB"/>
            </w:rPr>
            <w:drawing>
              <wp:inline distT="0" distB="0" distL="0" distR="0" wp14:anchorId="3439D338" wp14:editId="31FE9888">
                <wp:extent cx="758952" cy="478932"/>
                <wp:effectExtent l="0" t="0" r="3175" b="0"/>
                <wp:docPr id="2043999423" name="Picture 2043999423"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999423" name="Picture 2043999423" descr="A grey logo on a black background&#10;&#10;Description automatically generated"/>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9714FF" w14:textId="77777777" w:rsidR="008B12C7" w:rsidRPr="00367699" w:rsidRDefault="008B12C7" w:rsidP="008B12C7">
          <w:pPr>
            <w:rPr>
              <w:rFonts w:cstheme="minorHAnsi"/>
              <w:szCs w:val="24"/>
              <w:lang w:val="en-US"/>
            </w:rPr>
          </w:pPr>
          <w:r w:rsidRPr="00AA46A4">
            <w:rPr>
              <w:rFonts w:cstheme="minorHAnsi"/>
              <w:b/>
              <w:bCs/>
              <w:szCs w:val="24"/>
              <w:lang w:val="en-US"/>
            </w:rPr>
            <w:t>Student Name:</w:t>
          </w:r>
          <w:r>
            <w:rPr>
              <w:rFonts w:cstheme="minorHAnsi"/>
              <w:szCs w:val="24"/>
              <w:lang w:val="en-US"/>
            </w:rPr>
            <w:t xml:space="preserve"> Robert Nagy</w:t>
          </w:r>
        </w:p>
        <w:p w14:paraId="3C0D3010" w14:textId="77777777" w:rsidR="008B12C7" w:rsidRDefault="008B12C7" w:rsidP="008B12C7">
          <w:pPr>
            <w:rPr>
              <w:rFonts w:cstheme="minorHAnsi"/>
              <w:szCs w:val="24"/>
              <w:lang w:val="en-US"/>
            </w:rPr>
          </w:pPr>
          <w:r w:rsidRPr="00AA46A4">
            <w:rPr>
              <w:rFonts w:cstheme="minorHAnsi"/>
              <w:b/>
              <w:bCs/>
              <w:szCs w:val="24"/>
              <w:lang w:val="en-US"/>
            </w:rPr>
            <w:t>Student ID:</w:t>
          </w:r>
          <w:r>
            <w:rPr>
              <w:rFonts w:cstheme="minorHAnsi"/>
              <w:szCs w:val="24"/>
              <w:lang w:val="en-US"/>
            </w:rPr>
            <w:t xml:space="preserve"> 1922896</w:t>
          </w:r>
        </w:p>
        <w:p w14:paraId="60F99CD8" w14:textId="77777777" w:rsidR="008B12C7" w:rsidRDefault="008B12C7" w:rsidP="008B12C7">
          <w:pPr>
            <w:rPr>
              <w:rFonts w:cstheme="minorHAnsi"/>
              <w:szCs w:val="24"/>
            </w:rPr>
          </w:pPr>
          <w:r w:rsidRPr="00AA46A4">
            <w:rPr>
              <w:rFonts w:cstheme="minorHAnsi"/>
              <w:b/>
              <w:bCs/>
              <w:szCs w:val="24"/>
            </w:rPr>
            <w:t>Module Code:</w:t>
          </w:r>
          <w:r>
            <w:rPr>
              <w:rFonts w:cstheme="minorHAnsi"/>
              <w:szCs w:val="24"/>
            </w:rPr>
            <w:t xml:space="preserve"> BMMB7006</w:t>
          </w:r>
        </w:p>
        <w:p w14:paraId="074530E8" w14:textId="77777777" w:rsidR="008B12C7" w:rsidRDefault="008B12C7" w:rsidP="008B12C7">
          <w:pPr>
            <w:rPr>
              <w:rFonts w:cstheme="minorHAnsi"/>
              <w:szCs w:val="24"/>
            </w:rPr>
          </w:pPr>
          <w:r w:rsidRPr="00AA46A4">
            <w:rPr>
              <w:rFonts w:cstheme="minorHAnsi"/>
              <w:b/>
              <w:bCs/>
              <w:szCs w:val="24"/>
            </w:rPr>
            <w:t>Module name:</w:t>
          </w:r>
          <w:r>
            <w:rPr>
              <w:rFonts w:cstheme="minorHAnsi"/>
              <w:szCs w:val="24"/>
            </w:rPr>
            <w:t xml:space="preserve"> Global Business Challenges</w:t>
          </w:r>
        </w:p>
        <w:p w14:paraId="2170082B" w14:textId="77777777" w:rsidR="008B12C7" w:rsidRDefault="008B12C7" w:rsidP="008B12C7">
          <w:pPr>
            <w:ind w:firstLine="720"/>
            <w:jc w:val="center"/>
            <w:rPr>
              <w:rFonts w:cstheme="minorHAnsi"/>
              <w:b/>
              <w:bCs/>
              <w:szCs w:val="24"/>
            </w:rPr>
          </w:pPr>
        </w:p>
        <w:p w14:paraId="17A67D8A" w14:textId="0471EBCF" w:rsidR="003221D8" w:rsidRPr="008B12C7" w:rsidRDefault="008B12C7" w:rsidP="008B12C7">
          <w:pPr>
            <w:ind w:firstLine="720"/>
            <w:jc w:val="center"/>
            <w:rPr>
              <w:rFonts w:cstheme="minorHAnsi"/>
              <w:szCs w:val="24"/>
            </w:rPr>
          </w:pPr>
          <w:r w:rsidRPr="00AA46A4">
            <w:rPr>
              <w:rFonts w:cstheme="minorHAnsi"/>
              <w:b/>
              <w:bCs/>
              <w:szCs w:val="24"/>
            </w:rPr>
            <w:t>Lecturer:</w:t>
          </w:r>
          <w:r>
            <w:rPr>
              <w:rFonts w:cstheme="minorHAnsi"/>
              <w:szCs w:val="24"/>
            </w:rPr>
            <w:t xml:space="preserve"> Mrs Marie Pitson</w:t>
          </w:r>
        </w:p>
        <w:p w14:paraId="2C35371E" w14:textId="77777777" w:rsidR="003221D8" w:rsidRDefault="003221D8" w:rsidP="005B4DD7">
          <w:pPr>
            <w:pStyle w:val="NoSpacing"/>
            <w:spacing w:before="1540" w:after="240" w:line="360" w:lineRule="auto"/>
            <w:jc w:val="center"/>
            <w:rPr>
              <w:rFonts w:ascii="Times New Roman" w:eastAsiaTheme="minorHAnsi" w:hAnsi="Times New Roman" w:cs="Times New Roman"/>
              <w:color w:val="5B9BD5" w:themeColor="accent1"/>
              <w:sz w:val="24"/>
              <w:szCs w:val="24"/>
              <w:lang w:val="en-GB"/>
            </w:rPr>
          </w:pPr>
        </w:p>
        <w:p w14:paraId="1A9C7FDA" w14:textId="77777777" w:rsidR="007D1947" w:rsidRDefault="007D1947" w:rsidP="005B4DD7">
          <w:pPr>
            <w:jc w:val="center"/>
            <w:rPr>
              <w:b/>
            </w:rPr>
          </w:pPr>
          <w:r w:rsidRPr="005B4DD7">
            <w:rPr>
              <w:b/>
            </w:rPr>
            <w:br w:type="page"/>
          </w:r>
          <w:r w:rsidRPr="005B4DD7">
            <w:rPr>
              <w:b/>
            </w:rPr>
            <w:lastRenderedPageBreak/>
            <w:t>Executive Summary</w:t>
          </w:r>
        </w:p>
        <w:p w14:paraId="7B3633F7" w14:textId="77777777" w:rsidR="004762F7" w:rsidRPr="005B4DD7" w:rsidRDefault="004762F7" w:rsidP="005B4DD7">
          <w:pPr>
            <w:jc w:val="center"/>
            <w:rPr>
              <w:b/>
            </w:rPr>
          </w:pPr>
        </w:p>
        <w:p w14:paraId="00E18592" w14:textId="56363FDE" w:rsidR="00731981" w:rsidRDefault="007A1E39" w:rsidP="005B4DD7">
          <w:pPr>
            <w:rPr>
              <w:rFonts w:cs="Times New Roman"/>
              <w:szCs w:val="24"/>
            </w:rPr>
          </w:pPr>
          <w:r w:rsidRPr="005B4DD7">
            <w:rPr>
              <w:rFonts w:cs="Times New Roman"/>
              <w:szCs w:val="24"/>
            </w:rPr>
            <w:t>Challenges faced within business organisation are diverse, especially if the business organisation operates globally. The discussions that have been made within this study have helped in the determination of the fact that Tesla has a range of global challenges to encounter. It could be determined that political factors, technological factors and ecological factors in the business environment provide opportunities for the organisation. However, economic factors, social factors and legal factors pos</w:t>
          </w:r>
          <w:r w:rsidR="00E6132A">
            <w:rPr>
              <w:rFonts w:cs="Times New Roman"/>
              <w:szCs w:val="24"/>
            </w:rPr>
            <w:t xml:space="preserve">e several negative influences. </w:t>
          </w:r>
          <w:r w:rsidR="00E6132A" w:rsidRPr="00361802">
            <w:rPr>
              <w:rFonts w:cs="Times New Roman"/>
              <w:szCs w:val="24"/>
            </w:rPr>
            <w:t xml:space="preserve">Social factors such as the Tesla Boycott are having several negative influences on the organisation. </w:t>
          </w:r>
          <w:r w:rsidRPr="005B4DD7">
            <w:rPr>
              <w:rFonts w:cs="Times New Roman"/>
              <w:szCs w:val="24"/>
            </w:rPr>
            <w:t xml:space="preserve">Similarly, new market entries and suppliers are not a threat for the organisation. However, existing competitors, substitute products and bargaining power of buyers are a challenge. On the other hand, despite high strengths and opportunities, Tesla has several weaknesses and threats </w:t>
          </w:r>
          <w:r w:rsidR="00D742A8" w:rsidRPr="005B4DD7">
            <w:rPr>
              <w:rFonts w:cs="Times New Roman"/>
              <w:szCs w:val="24"/>
            </w:rPr>
            <w:t>(Möller, Nenonen and Storbacka, 2020).</w:t>
          </w:r>
        </w:p>
        <w:p w14:paraId="66CDEE6E" w14:textId="4BC9AD73" w:rsidR="00731981" w:rsidRPr="00361802" w:rsidRDefault="00835698" w:rsidP="005B4DD7">
          <w:pPr>
            <w:rPr>
              <w:rFonts w:cs="Times New Roman"/>
              <w:szCs w:val="24"/>
            </w:rPr>
          </w:pPr>
          <w:r w:rsidRPr="00361802">
            <w:rPr>
              <w:rFonts w:cs="Times New Roman"/>
              <w:szCs w:val="24"/>
            </w:rPr>
            <w:t>Audi, BMW, Mercedes, Toyota, Lexus, Volvo, General Motors and Ford have been determined as the few primary competitors of Tesla</w:t>
          </w:r>
          <w:r w:rsidR="000212F4">
            <w:rPr>
              <w:rFonts w:cs="Times New Roman"/>
              <w:szCs w:val="24"/>
            </w:rPr>
            <w:t xml:space="preserve"> </w:t>
          </w:r>
          <w:r w:rsidR="000212F4" w:rsidRPr="00F249CB">
            <w:rPr>
              <w:rFonts w:cs="Times New Roman"/>
              <w:szCs w:val="24"/>
            </w:rPr>
            <w:t>(Gustafsson and Holster Krantz, 2022).</w:t>
          </w:r>
          <w:r w:rsidRPr="00361802">
            <w:rPr>
              <w:rFonts w:cs="Times New Roman"/>
              <w:szCs w:val="24"/>
            </w:rPr>
            <w:t xml:space="preserve"> </w:t>
          </w:r>
          <w:r w:rsidR="00534E5E" w:rsidRPr="00361802">
            <w:rPr>
              <w:rFonts w:cs="Times New Roman"/>
              <w:szCs w:val="24"/>
            </w:rPr>
            <w:t xml:space="preserve">The SWOT </w:t>
          </w:r>
          <w:r w:rsidR="00DB0BDF" w:rsidRPr="00361802">
            <w:rPr>
              <w:rFonts w:cs="Times New Roman"/>
              <w:szCs w:val="24"/>
            </w:rPr>
            <w:t>analysis</w:t>
          </w:r>
          <w:r w:rsidR="0085484A" w:rsidRPr="00361802">
            <w:rPr>
              <w:rFonts w:cs="Times New Roman"/>
              <w:szCs w:val="24"/>
            </w:rPr>
            <w:t xml:space="preserve"> </w:t>
          </w:r>
          <w:r w:rsidR="009D2E6A">
            <w:rPr>
              <w:rFonts w:cs="Times New Roman"/>
              <w:szCs w:val="24"/>
            </w:rPr>
            <w:t xml:space="preserve">that </w:t>
          </w:r>
          <w:r w:rsidR="005F0287">
            <w:rPr>
              <w:rFonts w:cs="Times New Roman"/>
              <w:szCs w:val="24"/>
            </w:rPr>
            <w:t>was</w:t>
          </w:r>
          <w:r w:rsidR="0085484A" w:rsidRPr="00361802">
            <w:rPr>
              <w:rFonts w:cs="Times New Roman"/>
              <w:szCs w:val="24"/>
            </w:rPr>
            <w:t xml:space="preserve"> conducted for the organisation helped </w:t>
          </w:r>
          <w:r w:rsidR="00875CF0">
            <w:rPr>
              <w:rFonts w:cs="Times New Roman"/>
              <w:szCs w:val="24"/>
            </w:rPr>
            <w:t>to</w:t>
          </w:r>
          <w:r w:rsidR="0085484A" w:rsidRPr="00361802">
            <w:rPr>
              <w:rFonts w:cs="Times New Roman"/>
              <w:szCs w:val="24"/>
            </w:rPr>
            <w:t xml:space="preserve"> identify </w:t>
          </w:r>
          <w:r w:rsidR="00592513">
            <w:rPr>
              <w:rFonts w:cs="Times New Roman"/>
              <w:szCs w:val="24"/>
            </w:rPr>
            <w:t xml:space="preserve">what </w:t>
          </w:r>
          <w:r w:rsidR="0085484A" w:rsidRPr="00361802">
            <w:rPr>
              <w:rFonts w:cs="Times New Roman"/>
              <w:szCs w:val="24"/>
            </w:rPr>
            <w:t xml:space="preserve">the </w:t>
          </w:r>
          <w:r w:rsidR="008868B9">
            <w:rPr>
              <w:rFonts w:cs="Times New Roman"/>
              <w:szCs w:val="24"/>
            </w:rPr>
            <w:t xml:space="preserve">organisation’s </w:t>
          </w:r>
          <w:r w:rsidR="0085484A" w:rsidRPr="00361802">
            <w:rPr>
              <w:rFonts w:cs="Times New Roman"/>
              <w:szCs w:val="24"/>
            </w:rPr>
            <w:t>strengths are. This is because the organisation is one of the top employers in the US that has great diversity and inclusion along with high market capitalisation.</w:t>
          </w:r>
          <w:r w:rsidR="006E33BB" w:rsidRPr="00361802">
            <w:rPr>
              <w:rFonts w:cs="Times New Roman"/>
              <w:szCs w:val="24"/>
            </w:rPr>
            <w:t xml:space="preserve"> The weaknesses are limited but premium pricing strategy and financial uncertainty acts as a major limitation for this organisation.</w:t>
          </w:r>
          <w:r w:rsidR="00BF1F8E" w:rsidRPr="00361802">
            <w:rPr>
              <w:rFonts w:cs="Times New Roman"/>
              <w:szCs w:val="24"/>
            </w:rPr>
            <w:t xml:space="preserve"> </w:t>
          </w:r>
          <w:r w:rsidR="00731981" w:rsidRPr="00361802">
            <w:rPr>
              <w:rFonts w:cs="Times New Roman"/>
              <w:szCs w:val="24"/>
            </w:rPr>
            <w:t>Apart from this</w:t>
          </w:r>
          <w:r w:rsidR="00BF1F8E" w:rsidRPr="00361802">
            <w:rPr>
              <w:rFonts w:cs="Times New Roman"/>
              <w:szCs w:val="24"/>
            </w:rPr>
            <w:t>, the opportunities of the organisation are several, the main one being the introduction of affordable vehicles</w:t>
          </w:r>
          <w:r w:rsidR="00534E5E" w:rsidRPr="00361802">
            <w:rPr>
              <w:rFonts w:cs="Times New Roman"/>
              <w:szCs w:val="24"/>
            </w:rPr>
            <w:t xml:space="preserve"> </w:t>
          </w:r>
          <w:r w:rsidR="00E07F89" w:rsidRPr="005B4DD7">
            <w:rPr>
              <w:rFonts w:cs="Times New Roman"/>
              <w:szCs w:val="24"/>
            </w:rPr>
            <w:t xml:space="preserve">(Czakon </w:t>
          </w:r>
          <w:r w:rsidR="00E07F89" w:rsidRPr="005B4DD7">
            <w:rPr>
              <w:rFonts w:cs="Times New Roman"/>
              <w:i/>
              <w:szCs w:val="24"/>
            </w:rPr>
            <w:t>et al</w:t>
          </w:r>
          <w:r w:rsidR="00E07F89" w:rsidRPr="005B4DD7">
            <w:rPr>
              <w:rFonts w:cs="Times New Roman"/>
              <w:szCs w:val="24"/>
            </w:rPr>
            <w:t>., 2020)</w:t>
          </w:r>
        </w:p>
        <w:p w14:paraId="0540DB3E" w14:textId="7477D211" w:rsidR="007D1947" w:rsidRPr="005B4DD7" w:rsidRDefault="00731981" w:rsidP="005B4DD7">
          <w:pPr>
            <w:rPr>
              <w:rFonts w:cs="Times New Roman"/>
              <w:szCs w:val="24"/>
            </w:rPr>
          </w:pPr>
          <w:r w:rsidRPr="00361802">
            <w:rPr>
              <w:rFonts w:cs="Times New Roman"/>
              <w:szCs w:val="24"/>
            </w:rPr>
            <w:t xml:space="preserve">Competitors are a major threat for the organisation. </w:t>
          </w:r>
          <w:r>
            <w:rPr>
              <w:rFonts w:cs="Times New Roman"/>
              <w:szCs w:val="24"/>
            </w:rPr>
            <w:t>On the other hand</w:t>
          </w:r>
          <w:r w:rsidR="007A1E39" w:rsidRPr="005B4DD7">
            <w:rPr>
              <w:rFonts w:cs="Times New Roman"/>
              <w:szCs w:val="24"/>
            </w:rPr>
            <w:t>, the microeconomic decisions that are made within the business organisation have been helpful for it in terms of ensuring future development. To increase the affordability of its offering, to ensure technological advancements and to exploit the opportunity of adopting autonomous technology are the main recommendations through which Tesla can ensure future developments</w:t>
          </w:r>
          <w:r w:rsidR="00BF1F8E">
            <w:rPr>
              <w:rFonts w:cs="Times New Roman"/>
              <w:szCs w:val="24"/>
            </w:rPr>
            <w:t xml:space="preserve">. </w:t>
          </w:r>
          <w:r w:rsidRPr="004762F7">
            <w:rPr>
              <w:rFonts w:cs="Times New Roman"/>
              <w:szCs w:val="24"/>
            </w:rPr>
            <w:t>Following these recommendations provided for the organisation is going to enable it to improve its sales figure as well as reduce its production costs</w:t>
          </w:r>
          <w:r w:rsidR="00AB4C8A" w:rsidRPr="00AB4C8A">
            <w:rPr>
              <w:rFonts w:cs="Times New Roman"/>
              <w:szCs w:val="24"/>
            </w:rPr>
            <w:t xml:space="preserve"> </w:t>
          </w:r>
          <w:r w:rsidR="00AB4C8A" w:rsidRPr="005B4DD7">
            <w:rPr>
              <w:rFonts w:cs="Times New Roman"/>
              <w:szCs w:val="24"/>
            </w:rPr>
            <w:t>(Ali and Anwar, 2021).</w:t>
          </w:r>
        </w:p>
        <w:p w14:paraId="197EEB86" w14:textId="0A955599" w:rsidR="007D1947" w:rsidRPr="005B4DD7" w:rsidRDefault="00B4058F" w:rsidP="004762F7">
          <w:pPr>
            <w:spacing w:line="259" w:lineRule="auto"/>
            <w:jc w:val="left"/>
            <w:rPr>
              <w:rFonts w:cs="Times New Roman"/>
              <w:szCs w:val="24"/>
            </w:rPr>
          </w:pPr>
          <w:r>
            <w:rPr>
              <w:rFonts w:cs="Times New Roman"/>
              <w:szCs w:val="24"/>
            </w:rPr>
            <w:br w:type="page"/>
          </w:r>
        </w:p>
        <w:sdt>
          <w:sdtPr>
            <w:rPr>
              <w:rFonts w:eastAsiaTheme="minorHAnsi" w:cs="Times New Roman"/>
              <w:b w:val="0"/>
              <w:color w:val="auto"/>
              <w:szCs w:val="24"/>
              <w:lang w:val="en-GB"/>
            </w:rPr>
            <w:id w:val="-1297214018"/>
            <w:docPartObj>
              <w:docPartGallery w:val="Table of Contents"/>
              <w:docPartUnique/>
            </w:docPartObj>
          </w:sdtPr>
          <w:sdtEndPr>
            <w:rPr>
              <w:bCs/>
              <w:noProof/>
            </w:rPr>
          </w:sdtEndPr>
          <w:sdtContent>
            <w:p w14:paraId="351E31A5" w14:textId="77777777" w:rsidR="007D1947" w:rsidRPr="005B4DD7" w:rsidRDefault="007D1947" w:rsidP="005B4DD7">
              <w:pPr>
                <w:pStyle w:val="TOCHeading"/>
                <w:jc w:val="center"/>
                <w:rPr>
                  <w:rFonts w:cs="Times New Roman"/>
                  <w:szCs w:val="24"/>
                  <w:lang w:val="en-GB"/>
                </w:rPr>
              </w:pPr>
              <w:r w:rsidRPr="005B4DD7">
                <w:rPr>
                  <w:rFonts w:cs="Times New Roman"/>
                  <w:szCs w:val="24"/>
                  <w:lang w:val="en-GB"/>
                </w:rPr>
                <w:t>Table of Contents</w:t>
              </w:r>
            </w:p>
            <w:p w14:paraId="77D2FB3E" w14:textId="3FFEC83F" w:rsidR="002F24C9" w:rsidRDefault="009E1192">
              <w:pPr>
                <w:pStyle w:val="TOC1"/>
                <w:tabs>
                  <w:tab w:val="right" w:leader="dot" w:pos="9016"/>
                </w:tabs>
                <w:rPr>
                  <w:rFonts w:asciiTheme="minorHAnsi" w:eastAsiaTheme="minorEastAsia" w:hAnsiTheme="minorHAnsi"/>
                  <w:noProof/>
                  <w:kern w:val="2"/>
                  <w:szCs w:val="24"/>
                  <w:lang w:eastAsia="en-GB"/>
                  <w14:ligatures w14:val="standardContextual"/>
                </w:rPr>
              </w:pPr>
              <w:r w:rsidRPr="005B4DD7">
                <w:rPr>
                  <w:rFonts w:cs="Times New Roman"/>
                  <w:szCs w:val="24"/>
                </w:rPr>
                <w:fldChar w:fldCharType="begin"/>
              </w:r>
              <w:r w:rsidR="007D1947" w:rsidRPr="005B4DD7">
                <w:rPr>
                  <w:rFonts w:cs="Times New Roman"/>
                  <w:szCs w:val="24"/>
                </w:rPr>
                <w:instrText xml:space="preserve"> TOC \o "1-3" \h \z \u </w:instrText>
              </w:r>
              <w:r w:rsidRPr="005B4DD7">
                <w:rPr>
                  <w:rFonts w:cs="Times New Roman"/>
                  <w:szCs w:val="24"/>
                </w:rPr>
                <w:fldChar w:fldCharType="separate"/>
              </w:r>
              <w:hyperlink w:anchor="_Toc171687105" w:history="1">
                <w:r w:rsidR="002F24C9" w:rsidRPr="005B75B5">
                  <w:rPr>
                    <w:rStyle w:val="Hyperlink"/>
                    <w:rFonts w:cs="Times New Roman"/>
                    <w:noProof/>
                  </w:rPr>
                  <w:t>Introduction</w:t>
                </w:r>
                <w:r w:rsidR="002F24C9">
                  <w:rPr>
                    <w:noProof/>
                    <w:webHidden/>
                  </w:rPr>
                  <w:tab/>
                </w:r>
                <w:r w:rsidR="002F24C9">
                  <w:rPr>
                    <w:noProof/>
                    <w:webHidden/>
                  </w:rPr>
                  <w:fldChar w:fldCharType="begin"/>
                </w:r>
                <w:r w:rsidR="002F24C9">
                  <w:rPr>
                    <w:noProof/>
                    <w:webHidden/>
                  </w:rPr>
                  <w:instrText xml:space="preserve"> PAGEREF _Toc171687105 \h </w:instrText>
                </w:r>
                <w:r w:rsidR="002F24C9">
                  <w:rPr>
                    <w:noProof/>
                    <w:webHidden/>
                  </w:rPr>
                </w:r>
                <w:r w:rsidR="002F24C9">
                  <w:rPr>
                    <w:noProof/>
                    <w:webHidden/>
                  </w:rPr>
                  <w:fldChar w:fldCharType="separate"/>
                </w:r>
                <w:r w:rsidR="00850F02">
                  <w:rPr>
                    <w:noProof/>
                    <w:webHidden/>
                  </w:rPr>
                  <w:t>3</w:t>
                </w:r>
                <w:r w:rsidR="002F24C9">
                  <w:rPr>
                    <w:noProof/>
                    <w:webHidden/>
                  </w:rPr>
                  <w:fldChar w:fldCharType="end"/>
                </w:r>
              </w:hyperlink>
            </w:p>
            <w:p w14:paraId="73FD72E8" w14:textId="21D420F2" w:rsidR="002F24C9" w:rsidRDefault="0046000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1687106" w:history="1">
                <w:r w:rsidR="002F24C9" w:rsidRPr="005B75B5">
                  <w:rPr>
                    <w:rStyle w:val="Hyperlink"/>
                    <w:rFonts w:cs="Times New Roman"/>
                    <w:noProof/>
                  </w:rPr>
                  <w:t>Main Findings</w:t>
                </w:r>
                <w:r w:rsidR="002F24C9">
                  <w:rPr>
                    <w:noProof/>
                    <w:webHidden/>
                  </w:rPr>
                  <w:tab/>
                </w:r>
                <w:r w:rsidR="002F24C9">
                  <w:rPr>
                    <w:noProof/>
                    <w:webHidden/>
                  </w:rPr>
                  <w:fldChar w:fldCharType="begin"/>
                </w:r>
                <w:r w:rsidR="002F24C9">
                  <w:rPr>
                    <w:noProof/>
                    <w:webHidden/>
                  </w:rPr>
                  <w:instrText xml:space="preserve"> PAGEREF _Toc171687106 \h </w:instrText>
                </w:r>
                <w:r w:rsidR="002F24C9">
                  <w:rPr>
                    <w:noProof/>
                    <w:webHidden/>
                  </w:rPr>
                </w:r>
                <w:r w:rsidR="002F24C9">
                  <w:rPr>
                    <w:noProof/>
                    <w:webHidden/>
                  </w:rPr>
                  <w:fldChar w:fldCharType="separate"/>
                </w:r>
                <w:r w:rsidR="00850F02">
                  <w:rPr>
                    <w:noProof/>
                    <w:webHidden/>
                  </w:rPr>
                  <w:t>5</w:t>
                </w:r>
                <w:r w:rsidR="002F24C9">
                  <w:rPr>
                    <w:noProof/>
                    <w:webHidden/>
                  </w:rPr>
                  <w:fldChar w:fldCharType="end"/>
                </w:r>
              </w:hyperlink>
            </w:p>
            <w:p w14:paraId="5D2E1202" w14:textId="4D29B893" w:rsidR="002F24C9" w:rsidRDefault="0046000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1687107" w:history="1">
                <w:r w:rsidR="002F24C9" w:rsidRPr="005B75B5">
                  <w:rPr>
                    <w:rStyle w:val="Hyperlink"/>
                    <w:rFonts w:cs="Times New Roman"/>
                    <w:noProof/>
                  </w:rPr>
                  <w:t>An assessment of the business’ competitive environment</w:t>
                </w:r>
                <w:r w:rsidR="002F24C9">
                  <w:rPr>
                    <w:noProof/>
                    <w:webHidden/>
                  </w:rPr>
                  <w:tab/>
                </w:r>
                <w:r w:rsidR="002F24C9">
                  <w:rPr>
                    <w:noProof/>
                    <w:webHidden/>
                  </w:rPr>
                  <w:fldChar w:fldCharType="begin"/>
                </w:r>
                <w:r w:rsidR="002F24C9">
                  <w:rPr>
                    <w:noProof/>
                    <w:webHidden/>
                  </w:rPr>
                  <w:instrText xml:space="preserve"> PAGEREF _Toc171687107 \h </w:instrText>
                </w:r>
                <w:r w:rsidR="002F24C9">
                  <w:rPr>
                    <w:noProof/>
                    <w:webHidden/>
                  </w:rPr>
                </w:r>
                <w:r w:rsidR="002F24C9">
                  <w:rPr>
                    <w:noProof/>
                    <w:webHidden/>
                  </w:rPr>
                  <w:fldChar w:fldCharType="separate"/>
                </w:r>
                <w:r w:rsidR="00850F02">
                  <w:rPr>
                    <w:noProof/>
                    <w:webHidden/>
                  </w:rPr>
                  <w:t>5</w:t>
                </w:r>
                <w:r w:rsidR="002F24C9">
                  <w:rPr>
                    <w:noProof/>
                    <w:webHidden/>
                  </w:rPr>
                  <w:fldChar w:fldCharType="end"/>
                </w:r>
              </w:hyperlink>
            </w:p>
            <w:p w14:paraId="4B75CDF0" w14:textId="50BE1A4E" w:rsidR="002F24C9" w:rsidRDefault="0046000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1687108" w:history="1">
                <w:r w:rsidR="002F24C9" w:rsidRPr="005B75B5">
                  <w:rPr>
                    <w:rStyle w:val="Hyperlink"/>
                    <w:rFonts w:cs="Times New Roman"/>
                    <w:noProof/>
                  </w:rPr>
                  <w:t>Comprehensive conclusion evaluating the current position of Tesla</w:t>
                </w:r>
                <w:r w:rsidR="002F24C9">
                  <w:rPr>
                    <w:noProof/>
                    <w:webHidden/>
                  </w:rPr>
                  <w:tab/>
                </w:r>
                <w:r w:rsidR="002F24C9">
                  <w:rPr>
                    <w:noProof/>
                    <w:webHidden/>
                  </w:rPr>
                  <w:fldChar w:fldCharType="begin"/>
                </w:r>
                <w:r w:rsidR="002F24C9">
                  <w:rPr>
                    <w:noProof/>
                    <w:webHidden/>
                  </w:rPr>
                  <w:instrText xml:space="preserve"> PAGEREF _Toc171687108 \h </w:instrText>
                </w:r>
                <w:r w:rsidR="002F24C9">
                  <w:rPr>
                    <w:noProof/>
                    <w:webHidden/>
                  </w:rPr>
                </w:r>
                <w:r w:rsidR="002F24C9">
                  <w:rPr>
                    <w:noProof/>
                    <w:webHidden/>
                  </w:rPr>
                  <w:fldChar w:fldCharType="separate"/>
                </w:r>
                <w:r w:rsidR="00850F02">
                  <w:rPr>
                    <w:noProof/>
                    <w:webHidden/>
                  </w:rPr>
                  <w:t>13</w:t>
                </w:r>
                <w:r w:rsidR="002F24C9">
                  <w:rPr>
                    <w:noProof/>
                    <w:webHidden/>
                  </w:rPr>
                  <w:fldChar w:fldCharType="end"/>
                </w:r>
              </w:hyperlink>
            </w:p>
            <w:p w14:paraId="016A49A8" w14:textId="3BC8BDB4" w:rsidR="002F24C9" w:rsidRDefault="0046000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1687109" w:history="1">
                <w:r w:rsidR="002F24C9" w:rsidRPr="005B75B5">
                  <w:rPr>
                    <w:rStyle w:val="Hyperlink"/>
                    <w:rFonts w:cs="Times New Roman"/>
                    <w:noProof/>
                  </w:rPr>
                  <w:t>Final recommendations for the way forward of the organisation</w:t>
                </w:r>
                <w:r w:rsidR="002F24C9">
                  <w:rPr>
                    <w:noProof/>
                    <w:webHidden/>
                  </w:rPr>
                  <w:tab/>
                </w:r>
                <w:r w:rsidR="002F24C9">
                  <w:rPr>
                    <w:noProof/>
                    <w:webHidden/>
                  </w:rPr>
                  <w:fldChar w:fldCharType="begin"/>
                </w:r>
                <w:r w:rsidR="002F24C9">
                  <w:rPr>
                    <w:noProof/>
                    <w:webHidden/>
                  </w:rPr>
                  <w:instrText xml:space="preserve"> PAGEREF _Toc171687109 \h </w:instrText>
                </w:r>
                <w:r w:rsidR="002F24C9">
                  <w:rPr>
                    <w:noProof/>
                    <w:webHidden/>
                  </w:rPr>
                </w:r>
                <w:r w:rsidR="002F24C9">
                  <w:rPr>
                    <w:noProof/>
                    <w:webHidden/>
                  </w:rPr>
                  <w:fldChar w:fldCharType="separate"/>
                </w:r>
                <w:r w:rsidR="00850F02">
                  <w:rPr>
                    <w:noProof/>
                    <w:webHidden/>
                  </w:rPr>
                  <w:t>15</w:t>
                </w:r>
                <w:r w:rsidR="002F24C9">
                  <w:rPr>
                    <w:noProof/>
                    <w:webHidden/>
                  </w:rPr>
                  <w:fldChar w:fldCharType="end"/>
                </w:r>
              </w:hyperlink>
            </w:p>
            <w:p w14:paraId="659860DC" w14:textId="057B3DD9" w:rsidR="002F24C9" w:rsidRDefault="0046000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1687110" w:history="1">
                <w:r w:rsidR="002F24C9" w:rsidRPr="005B75B5">
                  <w:rPr>
                    <w:rStyle w:val="Hyperlink"/>
                    <w:rFonts w:cs="Times New Roman"/>
                    <w:noProof/>
                  </w:rPr>
                  <w:t>Conclusion</w:t>
                </w:r>
                <w:r w:rsidR="002F24C9">
                  <w:rPr>
                    <w:noProof/>
                    <w:webHidden/>
                  </w:rPr>
                  <w:tab/>
                </w:r>
                <w:r w:rsidR="002F24C9">
                  <w:rPr>
                    <w:noProof/>
                    <w:webHidden/>
                  </w:rPr>
                  <w:fldChar w:fldCharType="begin"/>
                </w:r>
                <w:r w:rsidR="002F24C9">
                  <w:rPr>
                    <w:noProof/>
                    <w:webHidden/>
                  </w:rPr>
                  <w:instrText xml:space="preserve"> PAGEREF _Toc171687110 \h </w:instrText>
                </w:r>
                <w:r w:rsidR="002F24C9">
                  <w:rPr>
                    <w:noProof/>
                    <w:webHidden/>
                  </w:rPr>
                </w:r>
                <w:r w:rsidR="002F24C9">
                  <w:rPr>
                    <w:noProof/>
                    <w:webHidden/>
                  </w:rPr>
                  <w:fldChar w:fldCharType="separate"/>
                </w:r>
                <w:r w:rsidR="00850F02">
                  <w:rPr>
                    <w:noProof/>
                    <w:webHidden/>
                  </w:rPr>
                  <w:t>16</w:t>
                </w:r>
                <w:r w:rsidR="002F24C9">
                  <w:rPr>
                    <w:noProof/>
                    <w:webHidden/>
                  </w:rPr>
                  <w:fldChar w:fldCharType="end"/>
                </w:r>
              </w:hyperlink>
            </w:p>
            <w:p w14:paraId="21C8C5EC" w14:textId="7CA210E1" w:rsidR="002F24C9" w:rsidRDefault="0046000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1687111" w:history="1">
                <w:r w:rsidR="002F24C9" w:rsidRPr="005B75B5">
                  <w:rPr>
                    <w:rStyle w:val="Hyperlink"/>
                    <w:rFonts w:cs="Times New Roman"/>
                    <w:noProof/>
                  </w:rPr>
                  <w:t>Bibliography</w:t>
                </w:r>
                <w:r w:rsidR="002F24C9">
                  <w:rPr>
                    <w:noProof/>
                    <w:webHidden/>
                  </w:rPr>
                  <w:tab/>
                </w:r>
                <w:r w:rsidR="002F24C9">
                  <w:rPr>
                    <w:noProof/>
                    <w:webHidden/>
                  </w:rPr>
                  <w:fldChar w:fldCharType="begin"/>
                </w:r>
                <w:r w:rsidR="002F24C9">
                  <w:rPr>
                    <w:noProof/>
                    <w:webHidden/>
                  </w:rPr>
                  <w:instrText xml:space="preserve"> PAGEREF _Toc171687111 \h </w:instrText>
                </w:r>
                <w:r w:rsidR="002F24C9">
                  <w:rPr>
                    <w:noProof/>
                    <w:webHidden/>
                  </w:rPr>
                </w:r>
                <w:r w:rsidR="002F24C9">
                  <w:rPr>
                    <w:noProof/>
                    <w:webHidden/>
                  </w:rPr>
                  <w:fldChar w:fldCharType="separate"/>
                </w:r>
                <w:r w:rsidR="00850F02">
                  <w:rPr>
                    <w:noProof/>
                    <w:webHidden/>
                  </w:rPr>
                  <w:t>18</w:t>
                </w:r>
                <w:r w:rsidR="002F24C9">
                  <w:rPr>
                    <w:noProof/>
                    <w:webHidden/>
                  </w:rPr>
                  <w:fldChar w:fldCharType="end"/>
                </w:r>
              </w:hyperlink>
            </w:p>
            <w:p w14:paraId="6B4DA40E" w14:textId="2E5DA030" w:rsidR="007D1947" w:rsidRPr="005B4DD7" w:rsidRDefault="009E1192" w:rsidP="005B4DD7">
              <w:pPr>
                <w:rPr>
                  <w:rFonts w:cs="Times New Roman"/>
                  <w:szCs w:val="24"/>
                </w:rPr>
              </w:pPr>
              <w:r w:rsidRPr="005B4DD7">
                <w:rPr>
                  <w:rFonts w:cs="Times New Roman"/>
                  <w:b/>
                  <w:bCs/>
                  <w:noProof/>
                  <w:szCs w:val="24"/>
                </w:rPr>
                <w:fldChar w:fldCharType="end"/>
              </w:r>
            </w:p>
          </w:sdtContent>
        </w:sdt>
        <w:p w14:paraId="1C9BA62C" w14:textId="77777777" w:rsidR="007D1947" w:rsidRPr="005B4DD7" w:rsidRDefault="007D1947" w:rsidP="005B4DD7">
          <w:pPr>
            <w:rPr>
              <w:rFonts w:cs="Times New Roman"/>
              <w:szCs w:val="24"/>
            </w:rPr>
          </w:pPr>
        </w:p>
        <w:p w14:paraId="1A42ADD8" w14:textId="77777777" w:rsidR="007D1947" w:rsidRPr="005B4DD7" w:rsidRDefault="007D1947" w:rsidP="005B4DD7">
          <w:pPr>
            <w:rPr>
              <w:rFonts w:cs="Times New Roman"/>
              <w:szCs w:val="24"/>
            </w:rPr>
          </w:pPr>
        </w:p>
        <w:p w14:paraId="0B13F25E" w14:textId="77777777" w:rsidR="007D1947" w:rsidRPr="005B4DD7" w:rsidRDefault="007D1947" w:rsidP="005B4DD7">
          <w:pPr>
            <w:rPr>
              <w:rFonts w:cs="Times New Roman"/>
              <w:szCs w:val="24"/>
            </w:rPr>
          </w:pPr>
        </w:p>
        <w:p w14:paraId="1745AAC9" w14:textId="77777777" w:rsidR="005B4DD7" w:rsidRDefault="005B4DD7">
          <w:pPr>
            <w:spacing w:line="259" w:lineRule="auto"/>
            <w:jc w:val="left"/>
            <w:rPr>
              <w:rFonts w:eastAsiaTheme="majorEastAsia" w:cs="Times New Roman"/>
              <w:b/>
              <w:color w:val="000000" w:themeColor="text1"/>
              <w:szCs w:val="24"/>
            </w:rPr>
          </w:pPr>
          <w:r>
            <w:rPr>
              <w:rFonts w:cs="Times New Roman"/>
              <w:szCs w:val="24"/>
            </w:rPr>
            <w:br w:type="page"/>
          </w:r>
        </w:p>
        <w:p w14:paraId="66B5A20E" w14:textId="77777777" w:rsidR="004A11F6" w:rsidRDefault="007D1947" w:rsidP="005B4DD7">
          <w:pPr>
            <w:pStyle w:val="Heading1"/>
            <w:rPr>
              <w:rFonts w:cs="Times New Roman"/>
              <w:szCs w:val="24"/>
            </w:rPr>
          </w:pPr>
          <w:bookmarkStart w:id="0" w:name="_Toc171687105"/>
          <w:r w:rsidRPr="005B4DD7">
            <w:rPr>
              <w:rFonts w:cs="Times New Roman"/>
              <w:szCs w:val="24"/>
            </w:rPr>
            <w:lastRenderedPageBreak/>
            <w:t>Introduction</w:t>
          </w:r>
          <w:bookmarkEnd w:id="0"/>
        </w:p>
        <w:p w14:paraId="6CFE5634" w14:textId="77777777" w:rsidR="00A83A5F" w:rsidRPr="00A83A5F" w:rsidRDefault="00A83A5F" w:rsidP="00A83A5F"/>
        <w:p w14:paraId="6116E666" w14:textId="0ED1EDBB" w:rsidR="007A1E39" w:rsidRPr="005B4DD7" w:rsidRDefault="007A1E39" w:rsidP="005B4DD7">
          <w:pPr>
            <w:rPr>
              <w:rFonts w:cs="Times New Roman"/>
              <w:szCs w:val="24"/>
            </w:rPr>
          </w:pPr>
          <w:r w:rsidRPr="005B4DD7">
            <w:rPr>
              <w:rFonts w:cs="Times New Roman"/>
              <w:szCs w:val="24"/>
            </w:rPr>
            <w:t xml:space="preserve">There is a range of challenges that a business organisation encounters, especially when the business organisation is a globally operating one. The few common global challenges encountered in a globally operating business organisation are the trends in international trade and regional trend agreements. Apart from this, organisational cultures, changing societies, the market environment of a business organisation along with the changes in demand and supply are the few main global challenges. However, one of the most important global challenges encountered within a business organisation is the business environment. The business environment in which a business organisation operates has a huge effect on its decisions, processes, strategies as well as performance. In this environment, there are diverse factors present, which are beyond the control of a business organisation. The business environment usually dictates the </w:t>
          </w:r>
          <w:r w:rsidR="0049538C" w:rsidRPr="005B4DD7">
            <w:rPr>
              <w:rFonts w:cs="Times New Roman"/>
              <w:szCs w:val="24"/>
            </w:rPr>
            <w:t>way</w:t>
          </w:r>
          <w:r w:rsidRPr="005B4DD7">
            <w:rPr>
              <w:rFonts w:cs="Times New Roman"/>
              <w:szCs w:val="24"/>
            </w:rPr>
            <w:t xml:space="preserve"> a business organisation operates. Since global business organisations operate in different global markets, the business environmental factors in all these markets largely affect their decisions, processes, strategies as well as performance</w:t>
          </w:r>
          <w:r w:rsidR="00716B56">
            <w:rPr>
              <w:rFonts w:cs="Times New Roman"/>
              <w:szCs w:val="24"/>
            </w:rPr>
            <w:t xml:space="preserve"> (</w:t>
          </w:r>
          <w:r w:rsidR="00716B56" w:rsidRPr="005B4DD7">
            <w:rPr>
              <w:rFonts w:cs="Times New Roman"/>
              <w:szCs w:val="24"/>
            </w:rPr>
            <w:t xml:space="preserve">Hassan </w:t>
          </w:r>
          <w:r w:rsidR="00716B56" w:rsidRPr="005B4DD7">
            <w:rPr>
              <w:rFonts w:cs="Times New Roman"/>
              <w:i/>
              <w:szCs w:val="24"/>
            </w:rPr>
            <w:t>et al</w:t>
          </w:r>
          <w:r w:rsidR="00716B56" w:rsidRPr="005B4DD7">
            <w:rPr>
              <w:rFonts w:cs="Times New Roman"/>
              <w:szCs w:val="24"/>
            </w:rPr>
            <w:t>., 2020)</w:t>
          </w:r>
        </w:p>
        <w:p w14:paraId="4691C5CC" w14:textId="7FFB11F6" w:rsidR="007A1E39" w:rsidRPr="005B4DD7" w:rsidRDefault="007A1E39" w:rsidP="005B4DD7">
          <w:pPr>
            <w:rPr>
              <w:rFonts w:cs="Times New Roman"/>
              <w:szCs w:val="24"/>
            </w:rPr>
          </w:pPr>
          <w:r w:rsidRPr="005B4DD7">
            <w:rPr>
              <w:rFonts w:cs="Times New Roman"/>
              <w:szCs w:val="24"/>
            </w:rPr>
            <w:t>Tesla is an American multinational clean energy and automobile company that is headquartered in Austin, Texas. The company is concerned with the designing, manufacturing as well as selling of battery electric vehicles. It is also concerned with designing, manufacturing as well as selling stationary battery engage storage devices from solar panels, home to grid-scale and solar shingles along with related goods and services. The business organisation accelerates the transition of the world to sustainable energy (Tesla, 2024</w:t>
          </w:r>
          <w:r w:rsidR="00820EAC">
            <w:rPr>
              <w:rFonts w:cs="Times New Roman"/>
              <w:szCs w:val="24"/>
            </w:rPr>
            <w:t>a</w:t>
          </w:r>
          <w:r w:rsidRPr="005B4DD7">
            <w:rPr>
              <w:rFonts w:cs="Times New Roman"/>
              <w:szCs w:val="24"/>
            </w:rPr>
            <w:t>). Tesla is currently moving towards building a world that is powered through solar energy by running on batteries as well as being transported by electric vehicles. According to Statista (2023), Tesla and its subsidiaries employed more than 140,700 employees all over the world at the ending of 2023. During the fourth quarter of 2023, the business organisation produced more than 495,000 vehicles. The core operations of Tesla can be divided into two major segments, which are clean energy generation and storage and high-performance electric vehicles.</w:t>
          </w:r>
        </w:p>
        <w:p w14:paraId="615E0EC8" w14:textId="77777777" w:rsidR="00040765" w:rsidRPr="00A83A5F" w:rsidRDefault="007A1E39" w:rsidP="00C164E0">
          <w:pPr>
            <w:rPr>
              <w:rFonts w:cs="Times New Roman"/>
              <w:szCs w:val="24"/>
            </w:rPr>
          </w:pPr>
          <w:r w:rsidRPr="005B4DD7">
            <w:rPr>
              <w:rFonts w:cs="Times New Roman"/>
              <w:szCs w:val="24"/>
            </w:rPr>
            <w:t>In this business organisation, there is a uniq</w:t>
          </w:r>
          <w:r w:rsidR="00C164E0">
            <w:rPr>
              <w:rFonts w:cs="Times New Roman"/>
              <w:szCs w:val="24"/>
            </w:rPr>
            <w:t>ue business model existent. The</w:t>
          </w:r>
          <w:r w:rsidRPr="005B4DD7">
            <w:rPr>
              <w:rFonts w:cs="Times New Roman"/>
              <w:szCs w:val="24"/>
            </w:rPr>
            <w:t xml:space="preserve"> business model involves the maintenance of a control on sales and services</w:t>
          </w:r>
          <w:r w:rsidR="00C164E0">
            <w:rPr>
              <w:rFonts w:cs="Times New Roman"/>
              <w:szCs w:val="24"/>
            </w:rPr>
            <w:t xml:space="preserve"> (</w:t>
          </w:r>
          <w:r w:rsidR="00C164E0" w:rsidRPr="00A83A5F">
            <w:rPr>
              <w:rFonts w:cs="Times New Roman"/>
              <w:szCs w:val="24"/>
            </w:rPr>
            <w:t>Lang, Reber and Aldori, 2021</w:t>
          </w:r>
          <w:r w:rsidR="00C164E0">
            <w:rPr>
              <w:rFonts w:cs="Times New Roman"/>
              <w:szCs w:val="24"/>
            </w:rPr>
            <w:t>)</w:t>
          </w:r>
          <w:r w:rsidRPr="005B4DD7">
            <w:rPr>
              <w:rFonts w:cs="Times New Roman"/>
              <w:szCs w:val="24"/>
            </w:rPr>
            <w:t xml:space="preserve">. </w:t>
          </w:r>
          <w:r w:rsidR="00C164E0">
            <w:rPr>
              <w:rFonts w:cs="Times New Roman"/>
              <w:szCs w:val="24"/>
            </w:rPr>
            <w:t>This</w:t>
          </w:r>
          <w:r w:rsidRPr="005B4DD7">
            <w:rPr>
              <w:rFonts w:cs="Times New Roman"/>
              <w:szCs w:val="24"/>
            </w:rPr>
            <w:t xml:space="preserve"> </w:t>
          </w:r>
          <w:r w:rsidR="00C164E0">
            <w:rPr>
              <w:rFonts w:cs="Times New Roman"/>
              <w:szCs w:val="24"/>
            </w:rPr>
            <w:t xml:space="preserve">business model </w:t>
          </w:r>
          <w:r w:rsidRPr="005B4DD7">
            <w:rPr>
              <w:rFonts w:cs="Times New Roman"/>
              <w:szCs w:val="24"/>
            </w:rPr>
            <w:t xml:space="preserve">is one of the main reasons because of which the stock of the business organisation has soared since its initial public offering. The business environment in which Tesla operates is a dynamic one since it operates all over the world in areas that include Europe, </w:t>
          </w:r>
          <w:r w:rsidRPr="005B4DD7">
            <w:rPr>
              <w:rFonts w:cs="Times New Roman"/>
              <w:szCs w:val="24"/>
            </w:rPr>
            <w:lastRenderedPageBreak/>
            <w:t>Middle East, East Asia, Oceania, North America and Southeast Asia. In this report, there is going to be a detailed assessment of the competitive environment of Tesla using the tools PESTLE, SWOT and Porter’s Five Forces</w:t>
          </w:r>
          <w:r w:rsidRPr="00A83A5F">
            <w:rPr>
              <w:rFonts w:cs="Times New Roman"/>
              <w:szCs w:val="24"/>
            </w:rPr>
            <w:t>.</w:t>
          </w:r>
          <w:r w:rsidR="00794D61" w:rsidRPr="00A83A5F">
            <w:rPr>
              <w:rFonts w:cs="Times New Roman"/>
              <w:szCs w:val="24"/>
            </w:rPr>
            <w:t xml:space="preserve"> The PESTLE analysis is going to be conducted for the analysis of the external business environment of the organisation. </w:t>
          </w:r>
        </w:p>
        <w:p w14:paraId="7069E92B" w14:textId="77777777" w:rsidR="004A11F6" w:rsidRPr="00A83A5F" w:rsidRDefault="00794D61" w:rsidP="00C164E0">
          <w:pPr>
            <w:rPr>
              <w:rFonts w:cs="Times New Roman"/>
              <w:szCs w:val="24"/>
            </w:rPr>
          </w:pPr>
          <w:r w:rsidRPr="00A83A5F">
            <w:rPr>
              <w:rFonts w:cs="Times New Roman"/>
              <w:szCs w:val="24"/>
            </w:rPr>
            <w:t>On the other hand, the SWOT analysis will be conducted for the evaluation of the strengths, weaknesses, opportunities along with threats of Tesla. The application of Porter’s Five Forces is going to be don</w:t>
          </w:r>
          <w:r w:rsidR="00040765" w:rsidRPr="00A83A5F">
            <w:rPr>
              <w:rFonts w:cs="Times New Roman"/>
              <w:szCs w:val="24"/>
            </w:rPr>
            <w:t>e to understand the competitive environment in which this business organisation is operating.</w:t>
          </w:r>
          <w:r w:rsidR="007A1E39" w:rsidRPr="00A83A5F">
            <w:rPr>
              <w:rFonts w:cs="Times New Roman"/>
              <w:szCs w:val="24"/>
            </w:rPr>
            <w:t xml:space="preserve"> </w:t>
          </w:r>
          <w:r w:rsidR="007A1E39" w:rsidRPr="005B4DD7">
            <w:rPr>
              <w:rFonts w:cs="Times New Roman"/>
              <w:szCs w:val="24"/>
            </w:rPr>
            <w:t xml:space="preserve">Apart from this, there </w:t>
          </w:r>
          <w:r w:rsidR="00C164E0" w:rsidRPr="00A83A5F">
            <w:rPr>
              <w:rFonts w:cs="Times New Roman"/>
              <w:szCs w:val="24"/>
            </w:rPr>
            <w:t>will</w:t>
          </w:r>
          <w:r w:rsidR="007A1E39" w:rsidRPr="005B4DD7">
            <w:rPr>
              <w:rFonts w:cs="Times New Roman"/>
              <w:szCs w:val="24"/>
            </w:rPr>
            <w:t xml:space="preserve"> be a comprehensive analysis of the current position of the business organisation within the global market. There is going to be an outlook of the future organisational decisions and developments in the business organisation. Moreover, </w:t>
          </w:r>
          <w:r w:rsidR="007A1E39" w:rsidRPr="00A83A5F">
            <w:rPr>
              <w:rFonts w:cs="Times New Roman"/>
              <w:szCs w:val="24"/>
            </w:rPr>
            <w:t xml:space="preserve">an analysis </w:t>
          </w:r>
          <w:r w:rsidR="00C164E0" w:rsidRPr="00A83A5F">
            <w:rPr>
              <w:rFonts w:cs="Times New Roman"/>
              <w:szCs w:val="24"/>
            </w:rPr>
            <w:t xml:space="preserve">will be performed </w:t>
          </w:r>
          <w:r w:rsidR="00C164E0">
            <w:rPr>
              <w:rFonts w:cs="Times New Roman"/>
              <w:szCs w:val="24"/>
            </w:rPr>
            <w:t>on</w:t>
          </w:r>
          <w:r w:rsidR="007A1E39" w:rsidRPr="005B4DD7">
            <w:rPr>
              <w:rFonts w:cs="Times New Roman"/>
              <w:szCs w:val="24"/>
            </w:rPr>
            <w:t xml:space="preserve"> the thinking present behind the micro-economic decisions made in the business organisation previously. Recommendations will also</w:t>
          </w:r>
          <w:r w:rsidR="00040765">
            <w:rPr>
              <w:rFonts w:cs="Times New Roman"/>
              <w:szCs w:val="24"/>
            </w:rPr>
            <w:t xml:space="preserve"> be provided on its way </w:t>
          </w:r>
          <w:r w:rsidR="00040765" w:rsidRPr="00A83A5F">
            <w:rPr>
              <w:rFonts w:cs="Times New Roman"/>
              <w:szCs w:val="24"/>
            </w:rPr>
            <w:t>forward in a manner such that the business organisation can improve its overall performance in the future.</w:t>
          </w:r>
          <w:r w:rsidR="00BF1F8E" w:rsidRPr="00A83A5F">
            <w:rPr>
              <w:rFonts w:cs="Times New Roman"/>
              <w:szCs w:val="24"/>
            </w:rPr>
            <w:t xml:space="preserve"> </w:t>
          </w:r>
        </w:p>
        <w:p w14:paraId="2A2300A5" w14:textId="77777777" w:rsidR="004A11F6" w:rsidRPr="005B4DD7" w:rsidRDefault="004A11F6" w:rsidP="005B4DD7">
          <w:pPr>
            <w:rPr>
              <w:rFonts w:cs="Times New Roman"/>
              <w:szCs w:val="24"/>
            </w:rPr>
          </w:pPr>
        </w:p>
        <w:p w14:paraId="1BDC94AF" w14:textId="77777777" w:rsidR="004A11F6" w:rsidRPr="005B4DD7" w:rsidRDefault="004A11F6" w:rsidP="005B4DD7">
          <w:pPr>
            <w:rPr>
              <w:rFonts w:cs="Times New Roman"/>
              <w:szCs w:val="24"/>
            </w:rPr>
          </w:pPr>
        </w:p>
        <w:p w14:paraId="7840AFC6" w14:textId="77777777" w:rsidR="004A11F6" w:rsidRPr="005B4DD7" w:rsidRDefault="004A11F6" w:rsidP="005B4DD7">
          <w:pPr>
            <w:rPr>
              <w:rFonts w:cs="Times New Roman"/>
              <w:szCs w:val="24"/>
            </w:rPr>
          </w:pPr>
        </w:p>
        <w:p w14:paraId="64A43397" w14:textId="77777777" w:rsidR="004A11F6" w:rsidRPr="005B4DD7" w:rsidRDefault="004A11F6" w:rsidP="005B4DD7">
          <w:pPr>
            <w:rPr>
              <w:rFonts w:cs="Times New Roman"/>
              <w:szCs w:val="24"/>
            </w:rPr>
          </w:pPr>
        </w:p>
        <w:p w14:paraId="0A5C2105" w14:textId="77777777" w:rsidR="004A11F6" w:rsidRPr="005B4DD7" w:rsidRDefault="004A11F6" w:rsidP="005B4DD7">
          <w:pPr>
            <w:rPr>
              <w:rFonts w:cs="Times New Roman"/>
              <w:szCs w:val="24"/>
            </w:rPr>
          </w:pPr>
        </w:p>
        <w:p w14:paraId="0B6B6548" w14:textId="77777777" w:rsidR="004A11F6" w:rsidRPr="005B4DD7" w:rsidRDefault="004A11F6" w:rsidP="005B4DD7">
          <w:pPr>
            <w:rPr>
              <w:rFonts w:cs="Times New Roman"/>
              <w:szCs w:val="24"/>
            </w:rPr>
          </w:pPr>
        </w:p>
        <w:p w14:paraId="321931EE" w14:textId="77777777" w:rsidR="004A11F6" w:rsidRPr="005B4DD7" w:rsidRDefault="004A11F6" w:rsidP="005B4DD7">
          <w:pPr>
            <w:rPr>
              <w:rFonts w:cs="Times New Roman"/>
              <w:szCs w:val="24"/>
            </w:rPr>
          </w:pPr>
        </w:p>
        <w:p w14:paraId="0B9D48D6" w14:textId="77777777" w:rsidR="004A11F6" w:rsidRPr="005B4DD7" w:rsidRDefault="004A11F6" w:rsidP="005B4DD7">
          <w:pPr>
            <w:rPr>
              <w:rFonts w:cs="Times New Roman"/>
              <w:szCs w:val="24"/>
            </w:rPr>
          </w:pPr>
        </w:p>
        <w:p w14:paraId="2BFFF743" w14:textId="77777777" w:rsidR="004A11F6" w:rsidRPr="005B4DD7" w:rsidRDefault="004A11F6" w:rsidP="005B4DD7">
          <w:pPr>
            <w:rPr>
              <w:rFonts w:cs="Times New Roman"/>
              <w:szCs w:val="24"/>
            </w:rPr>
          </w:pPr>
        </w:p>
        <w:p w14:paraId="15BD7DB0" w14:textId="77777777" w:rsidR="004A11F6" w:rsidRPr="005B4DD7" w:rsidRDefault="004A11F6" w:rsidP="005B4DD7">
          <w:pPr>
            <w:rPr>
              <w:rFonts w:cs="Times New Roman"/>
              <w:szCs w:val="24"/>
            </w:rPr>
          </w:pPr>
        </w:p>
        <w:p w14:paraId="218B9332" w14:textId="77777777" w:rsidR="004A11F6" w:rsidRPr="005B4DD7" w:rsidRDefault="004A11F6" w:rsidP="005B4DD7">
          <w:pPr>
            <w:rPr>
              <w:rFonts w:cs="Times New Roman"/>
              <w:szCs w:val="24"/>
            </w:rPr>
          </w:pPr>
        </w:p>
        <w:p w14:paraId="029A98DE" w14:textId="77777777" w:rsidR="004A11F6" w:rsidRPr="005B4DD7" w:rsidRDefault="004A11F6" w:rsidP="005B4DD7">
          <w:pPr>
            <w:rPr>
              <w:rFonts w:cs="Times New Roman"/>
              <w:szCs w:val="24"/>
            </w:rPr>
          </w:pPr>
        </w:p>
        <w:p w14:paraId="7FE73CDC" w14:textId="77777777" w:rsidR="004A11F6" w:rsidRPr="005B4DD7" w:rsidRDefault="004A11F6" w:rsidP="005B4DD7">
          <w:pPr>
            <w:rPr>
              <w:rFonts w:cs="Times New Roman"/>
              <w:szCs w:val="24"/>
            </w:rPr>
          </w:pPr>
        </w:p>
        <w:p w14:paraId="6516B750" w14:textId="77777777" w:rsidR="005B4DD7" w:rsidRDefault="005B4DD7">
          <w:pPr>
            <w:spacing w:line="259" w:lineRule="auto"/>
            <w:jc w:val="left"/>
            <w:rPr>
              <w:rFonts w:eastAsiaTheme="majorEastAsia" w:cs="Times New Roman"/>
              <w:b/>
              <w:color w:val="000000" w:themeColor="text1"/>
              <w:szCs w:val="24"/>
            </w:rPr>
          </w:pPr>
        </w:p>
        <w:p w14:paraId="33835E7E" w14:textId="77777777" w:rsidR="00480872" w:rsidRPr="005B4DD7" w:rsidRDefault="00480872" w:rsidP="005B4DD7">
          <w:pPr>
            <w:pStyle w:val="Heading1"/>
            <w:rPr>
              <w:rFonts w:cs="Times New Roman"/>
              <w:szCs w:val="24"/>
            </w:rPr>
          </w:pPr>
          <w:bookmarkStart w:id="1" w:name="_Toc171687106"/>
          <w:r w:rsidRPr="005B4DD7">
            <w:rPr>
              <w:rFonts w:cs="Times New Roman"/>
              <w:szCs w:val="24"/>
            </w:rPr>
            <w:lastRenderedPageBreak/>
            <w:t>Main Findings</w:t>
          </w:r>
          <w:bookmarkEnd w:id="1"/>
        </w:p>
        <w:p w14:paraId="51CCC6DD" w14:textId="77777777" w:rsidR="007A1E39" w:rsidRPr="005B4DD7" w:rsidRDefault="007A1E39" w:rsidP="005B4DD7">
          <w:pPr>
            <w:pStyle w:val="Heading2"/>
            <w:rPr>
              <w:rFonts w:cs="Times New Roman"/>
              <w:szCs w:val="24"/>
            </w:rPr>
          </w:pPr>
          <w:bookmarkStart w:id="2" w:name="_Toc171687107"/>
          <w:r w:rsidRPr="005B4DD7">
            <w:rPr>
              <w:rFonts w:cs="Times New Roman"/>
              <w:szCs w:val="24"/>
            </w:rPr>
            <w:t>An assessment of the business’ competitive environment</w:t>
          </w:r>
          <w:bookmarkEnd w:id="2"/>
        </w:p>
        <w:p w14:paraId="37F5E3E1" w14:textId="77777777" w:rsidR="007A1E39" w:rsidRPr="005B4DD7" w:rsidRDefault="007A1E39" w:rsidP="005B4DD7">
          <w:pPr>
            <w:rPr>
              <w:rFonts w:cs="Times New Roman"/>
              <w:szCs w:val="24"/>
            </w:rPr>
          </w:pPr>
          <w:r w:rsidRPr="005B4DD7">
            <w:rPr>
              <w:rFonts w:cs="Times New Roman"/>
              <w:szCs w:val="24"/>
            </w:rPr>
            <w:t xml:space="preserve">As defined by Ghauri, Strange and Cooke (2021), business environment is the collection or sum of all the internal as well as external factors such as customers, employees, demand, supply, social trends and others. This environment and its various factors have a huge influence on the functions of a business organisation in addition to how it works indirectly or directly. The sum of all these factors has an influence on a business organisation. All influences caused by the business environment can be considered as the layers around a business organisation (Möller, Nenonen and Storbacka, 2020). The outer layer makes up the macro environment while the middle layer makes up the industry or sector. In the inner layer, there are various market segments and strategic groups present. The analysis of the business environment of a business organisation is helpful in terms of the recognition of its business opportunities (Hassan </w:t>
          </w:r>
          <w:r w:rsidRPr="005B4DD7">
            <w:rPr>
              <w:rFonts w:cs="Times New Roman"/>
              <w:i/>
              <w:szCs w:val="24"/>
            </w:rPr>
            <w:t>et al</w:t>
          </w:r>
          <w:r w:rsidRPr="005B4DD7">
            <w:rPr>
              <w:rFonts w:cs="Times New Roman"/>
              <w:szCs w:val="24"/>
            </w:rPr>
            <w:t xml:space="preserve">., 2020). It is also important in terms of tapping the useful resources of a business organisation along with being helpful for planning and improving its overall growth and performance. </w:t>
          </w:r>
        </w:p>
        <w:p w14:paraId="6F33EF2D" w14:textId="79E54EE5" w:rsidR="007A1E39" w:rsidRPr="005B4DD7" w:rsidRDefault="00C164E0" w:rsidP="005B4DD7">
          <w:pPr>
            <w:rPr>
              <w:rFonts w:cs="Times New Roman"/>
              <w:szCs w:val="24"/>
            </w:rPr>
          </w:pPr>
          <w:r w:rsidRPr="00770266">
            <w:rPr>
              <w:rFonts w:cs="Times New Roman"/>
              <w:szCs w:val="24"/>
            </w:rPr>
            <w:t>On the other hand</w:t>
          </w:r>
          <w:r w:rsidR="007A1E39" w:rsidRPr="005B4DD7">
            <w:rPr>
              <w:rFonts w:cs="Times New Roman"/>
              <w:szCs w:val="24"/>
            </w:rPr>
            <w:t xml:space="preserve">, the competitive environment indicates the system wherein various business organisations compete with one another through the utilisation of diverse marketing channels, pricing methods and promotional strategies (Ali and Anwar, 2021). It shows the </w:t>
          </w:r>
          <w:r w:rsidR="00770266" w:rsidRPr="005B4DD7">
            <w:rPr>
              <w:rFonts w:cs="Times New Roman"/>
              <w:szCs w:val="24"/>
            </w:rPr>
            <w:t>way</w:t>
          </w:r>
          <w:r w:rsidR="007A1E39" w:rsidRPr="005B4DD7">
            <w:rPr>
              <w:rFonts w:cs="Times New Roman"/>
              <w:szCs w:val="24"/>
            </w:rPr>
            <w:t xml:space="preserve"> there is an effect of competition on business organisations along with the </w:t>
          </w:r>
          <w:r w:rsidR="00063F9D" w:rsidRPr="005B4DD7">
            <w:rPr>
              <w:rFonts w:cs="Times New Roman"/>
              <w:szCs w:val="24"/>
            </w:rPr>
            <w:t>way</w:t>
          </w:r>
          <w:r w:rsidR="007A1E39" w:rsidRPr="005B4DD7">
            <w:rPr>
              <w:rFonts w:cs="Times New Roman"/>
              <w:szCs w:val="24"/>
            </w:rPr>
            <w:t xml:space="preserve"> they adjust their strategies for competing effectively. In the section below, there has been a detailed assessment of the Tesla’s business and competitive environment –</w:t>
          </w:r>
        </w:p>
        <w:p w14:paraId="366B7348" w14:textId="0AC07D83" w:rsidR="007A1E39" w:rsidRPr="005B4DD7" w:rsidRDefault="007A1E39" w:rsidP="005B4DD7">
          <w:pPr>
            <w:rPr>
              <w:rFonts w:cs="Times New Roman"/>
              <w:b/>
              <w:i/>
              <w:szCs w:val="24"/>
            </w:rPr>
          </w:pPr>
          <w:r w:rsidRPr="005B4DD7">
            <w:rPr>
              <w:rFonts w:cs="Times New Roman"/>
              <w:b/>
              <w:i/>
              <w:szCs w:val="24"/>
            </w:rPr>
            <w:t>PEST</w:t>
          </w:r>
          <w:r w:rsidR="00770266">
            <w:rPr>
              <w:rFonts w:cs="Times New Roman"/>
              <w:b/>
              <w:i/>
              <w:szCs w:val="24"/>
            </w:rPr>
            <w:t>LE</w:t>
          </w:r>
          <w:r w:rsidRPr="005B4DD7">
            <w:rPr>
              <w:rFonts w:cs="Times New Roman"/>
              <w:b/>
              <w:i/>
              <w:szCs w:val="24"/>
            </w:rPr>
            <w:t xml:space="preserve"> </w:t>
          </w:r>
        </w:p>
        <w:p w14:paraId="53325437" w14:textId="77777777" w:rsidR="007A1E39" w:rsidRPr="005B4DD7" w:rsidRDefault="007A1E39" w:rsidP="005B4DD7">
          <w:pPr>
            <w:rPr>
              <w:rFonts w:cs="Times New Roman"/>
              <w:szCs w:val="24"/>
            </w:rPr>
          </w:pPr>
          <w:r w:rsidRPr="005B4DD7">
            <w:rPr>
              <w:rFonts w:cs="Times New Roman"/>
              <w:szCs w:val="24"/>
            </w:rPr>
            <w:t>The PESTLE framework is an important framework, which helps in the categorization of the environmental factors of a business organisation into six main types (Buye, 2021). These types include political factors, economic factors, social factors, technological factors, ecological factors and legal factors. The application of PESTLE assists in the determination of the potentially significant issues, which influences organisational strategy (Dalirazar and Sabzi, 2023). It enables business organisations in understanding their present and potential markets followed by recognising potential risks and opportunities while making more informed decisions. The discussion below conducts the assessment of the competitive environment of Tesla based on the application of the PESTLE framework –</w:t>
          </w:r>
        </w:p>
        <w:p w14:paraId="4CD5B1A0" w14:textId="1B0BA988" w:rsidR="007A1E39" w:rsidRDefault="007A1E39" w:rsidP="005B4DD7">
          <w:pPr>
            <w:pStyle w:val="ListParagraph"/>
            <w:numPr>
              <w:ilvl w:val="0"/>
              <w:numId w:val="1"/>
            </w:numPr>
            <w:rPr>
              <w:szCs w:val="24"/>
            </w:rPr>
          </w:pPr>
          <w:r w:rsidRPr="005B4DD7">
            <w:rPr>
              <w:b/>
              <w:i/>
              <w:szCs w:val="24"/>
            </w:rPr>
            <w:lastRenderedPageBreak/>
            <w:t>Political factors</w:t>
          </w:r>
          <w:r w:rsidRPr="005B4DD7">
            <w:rPr>
              <w:szCs w:val="24"/>
            </w:rPr>
            <w:t xml:space="preserve"> – The political factors help in the identification of the role of the state along with government policies, foreign trade regulations and such other aspects, which affect a business organisation (Hu </w:t>
          </w:r>
          <w:r w:rsidRPr="005B4DD7">
            <w:rPr>
              <w:i/>
              <w:szCs w:val="24"/>
            </w:rPr>
            <w:t>et al</w:t>
          </w:r>
          <w:r w:rsidRPr="005B4DD7">
            <w:rPr>
              <w:szCs w:val="24"/>
            </w:rPr>
            <w:t xml:space="preserve">., 2021). Analysis of the political factors that </w:t>
          </w:r>
          <w:r w:rsidR="00B173DE" w:rsidRPr="005B4DD7">
            <w:rPr>
              <w:szCs w:val="24"/>
            </w:rPr>
            <w:t>influence</w:t>
          </w:r>
          <w:r w:rsidRPr="005B4DD7">
            <w:rPr>
              <w:szCs w:val="24"/>
            </w:rPr>
            <w:t xml:space="preserve"> Tesla helps to determine that the role of the state, which is the US Government, is that of a supplier for the business organisation. The US Government provides various incentives and support for the organisation to prosper. There are various incentives that the US Government and other governments such as the UK government provide for electric vehicles, which benefits Tesla largely. Moreover, the foreign trade policies of the US market along with the other markets in which it operates are strong (Cavallo </w:t>
          </w:r>
          <w:r w:rsidRPr="005B4DD7">
            <w:rPr>
              <w:i/>
              <w:szCs w:val="24"/>
            </w:rPr>
            <w:t>et al</w:t>
          </w:r>
          <w:r w:rsidRPr="005B4DD7">
            <w:rPr>
              <w:szCs w:val="24"/>
            </w:rPr>
            <w:t>., 2021). The increasing regulations on supply chain and renewable energy policies adopted by the governments are in favour of electric cars, which is the main product of this business organisation. Besides, the US tax credits for electric vehicles and the increasing number of new global trade agreements are providing opportunities to the organisation. Good political stability in majority of the markets in which it operates.</w:t>
          </w:r>
        </w:p>
        <w:p w14:paraId="17BDB293" w14:textId="77777777" w:rsidR="00AC2415" w:rsidRPr="005B4DD7" w:rsidRDefault="00AC2415" w:rsidP="00AC2415">
          <w:pPr>
            <w:pStyle w:val="ListParagraph"/>
            <w:rPr>
              <w:szCs w:val="24"/>
            </w:rPr>
          </w:pPr>
        </w:p>
        <w:p w14:paraId="3D0C1354" w14:textId="05EA9D39" w:rsidR="007A1E39" w:rsidRDefault="007A1E39" w:rsidP="005B4DD7">
          <w:pPr>
            <w:pStyle w:val="ListParagraph"/>
            <w:numPr>
              <w:ilvl w:val="0"/>
              <w:numId w:val="1"/>
            </w:numPr>
            <w:rPr>
              <w:szCs w:val="24"/>
            </w:rPr>
          </w:pPr>
          <w:r w:rsidRPr="005B4DD7">
            <w:rPr>
              <w:b/>
              <w:i/>
              <w:szCs w:val="24"/>
            </w:rPr>
            <w:t>Economic factors</w:t>
          </w:r>
          <w:r w:rsidRPr="005B4DD7">
            <w:rPr>
              <w:szCs w:val="24"/>
            </w:rPr>
            <w:t xml:space="preserve"> – The economic factors assist in evaluating the macro-economic factors such as disposable income, interest rates, inflation, unemployment rates and others, which affect a business organisation (Onyshchenko, Maslii and Ivaniuk, 2020). Analysis of the economic factors that </w:t>
          </w:r>
          <w:r w:rsidR="000006D1" w:rsidRPr="005B4DD7">
            <w:rPr>
              <w:szCs w:val="24"/>
            </w:rPr>
            <w:t>influence</w:t>
          </w:r>
          <w:r w:rsidRPr="005B4DD7">
            <w:rPr>
              <w:szCs w:val="24"/>
            </w:rPr>
            <w:t xml:space="preserve"> Tesla helps to determine that international economic fluctuations are causing an influence on how much people can spend on purchasing cars. This is affecting the organisation largely. Increasing energy prices in the international macroeconomic environment are unlikely to affect Tesla since it manufactures energy efficient electric cars (Agnello </w:t>
          </w:r>
          <w:r w:rsidRPr="005B4DD7">
            <w:rPr>
              <w:i/>
              <w:szCs w:val="24"/>
            </w:rPr>
            <w:t>et al</w:t>
          </w:r>
          <w:r w:rsidRPr="005B4DD7">
            <w:rPr>
              <w:szCs w:val="24"/>
            </w:rPr>
            <w:t>., 2020). The other international macroeconomic indicators such as increasing inflation in Asian countries as well as European countries such as the UK are reducing the consumer spending power. This reduces the sale of Tesla. According to Trading Economics (2024), the national unemployment rate in the US was 3.8% as of March 2024. Such low unemployment predicts good income level amongst people, thereby reflecting chances of high disposable income, which has positive effects on Tesla. However, interest rates are high the both the national and international macroeconomic level. Since customers purchase cars on credit, high interest rates have a direct effect on its performance.</w:t>
          </w:r>
        </w:p>
        <w:p w14:paraId="1BC8C8AA" w14:textId="77777777" w:rsidR="00AC2415" w:rsidRPr="005B4DD7" w:rsidRDefault="00AC2415" w:rsidP="00AC2415">
          <w:pPr>
            <w:pStyle w:val="ListParagraph"/>
            <w:rPr>
              <w:szCs w:val="24"/>
            </w:rPr>
          </w:pPr>
        </w:p>
        <w:p w14:paraId="134E4CF1" w14:textId="4D964A98" w:rsidR="00B36C35" w:rsidRPr="00B36C35" w:rsidRDefault="007A1E39" w:rsidP="005B4DD7">
          <w:pPr>
            <w:pStyle w:val="ListParagraph"/>
            <w:numPr>
              <w:ilvl w:val="0"/>
              <w:numId w:val="1"/>
            </w:numPr>
            <w:rPr>
              <w:color w:val="FF0000"/>
              <w:szCs w:val="24"/>
            </w:rPr>
          </w:pPr>
          <w:r w:rsidRPr="005B4DD7">
            <w:rPr>
              <w:b/>
              <w:i/>
              <w:szCs w:val="24"/>
            </w:rPr>
            <w:lastRenderedPageBreak/>
            <w:t>Social factors</w:t>
          </w:r>
          <w:r w:rsidRPr="005B4DD7">
            <w:rPr>
              <w:szCs w:val="24"/>
            </w:rPr>
            <w:t xml:space="preserve"> – The social factors help in the identification of the various social and cultural factors in the market such as income distribution, ageing population, lifestyle changes and others, which affect a business organisation (Valaskova, Gajdosikova and Pavić Kramarić, 2022). Analysis of the social factors that </w:t>
          </w:r>
          <w:r w:rsidR="00B173DE" w:rsidRPr="005B4DD7">
            <w:rPr>
              <w:szCs w:val="24"/>
            </w:rPr>
            <w:t>influence</w:t>
          </w:r>
          <w:r w:rsidRPr="005B4DD7">
            <w:rPr>
              <w:szCs w:val="24"/>
            </w:rPr>
            <w:t xml:space="preserve"> Tesla helps to determine that in the US as well as the other markets in which the business organisation operates, climate change is a concern. Apart from this, a higher population is showing that people are always for trying out new technology and embracing technological advancements. The changing consumer lifestyle trends help to determine that younger generations now prefer ethically produced and sustainable products, which include electric vehicles instead of vehicles driven by fuel. Demographic shifts reflect that younger generations are now more interested in electric vehicles (Muratori </w:t>
          </w:r>
          <w:r w:rsidRPr="005B4DD7">
            <w:rPr>
              <w:i/>
              <w:szCs w:val="24"/>
            </w:rPr>
            <w:t>et al</w:t>
          </w:r>
          <w:r w:rsidRPr="005B4DD7">
            <w:rPr>
              <w:szCs w:val="24"/>
            </w:rPr>
            <w:t xml:space="preserve">., 2021). </w:t>
          </w:r>
        </w:p>
        <w:p w14:paraId="3DEA81B5" w14:textId="558313E4" w:rsidR="007A1E39" w:rsidRDefault="007A1E39" w:rsidP="00B36C35">
          <w:pPr>
            <w:pStyle w:val="ListParagraph"/>
            <w:rPr>
              <w:szCs w:val="24"/>
            </w:rPr>
          </w:pPr>
          <w:r w:rsidRPr="005B4DD7">
            <w:rPr>
              <w:szCs w:val="24"/>
            </w:rPr>
            <w:t>However, the ageing population in Western societies are increasing largely. This is a major threat for Tesla since people with ageing population do not purchase cars. Especially, the cars that Tesla sells are for the younger generation. Changes in culture and fashion are unlikely to affect the organisation, as it operates in the automobile segment.</w:t>
          </w:r>
          <w:r w:rsidR="00D11C3F">
            <w:rPr>
              <w:szCs w:val="24"/>
            </w:rPr>
            <w:t xml:space="preserve"> </w:t>
          </w:r>
          <w:r w:rsidR="00D11C3F" w:rsidRPr="004179C0">
            <w:rPr>
              <w:szCs w:val="24"/>
            </w:rPr>
            <w:t>The Tesla Boycott is yet another social issue that is encountered in the organisation. During the past few months, there has been a silent boycott taking shape against Tesla.</w:t>
          </w:r>
          <w:r w:rsidR="00B36C35" w:rsidRPr="004179C0">
            <w:rPr>
              <w:szCs w:val="24"/>
            </w:rPr>
            <w:t xml:space="preserve"> The silent boycott is taking place since there has been a growing backlash against the usage of self-driving technology.</w:t>
          </w:r>
          <w:r w:rsidR="00D11C3F" w:rsidRPr="004179C0">
            <w:rPr>
              <w:szCs w:val="24"/>
            </w:rPr>
            <w:t xml:space="preserve"> This has been providing an opportunity for other automobile manufacturers for the promotion of environmental profile. It is also creating need for paying attention to social aspects such as environmental, social and governance (ESG) principles.</w:t>
          </w:r>
          <w:r w:rsidR="00DE1AB3" w:rsidRPr="004179C0">
            <w:rPr>
              <w:szCs w:val="24"/>
            </w:rPr>
            <w:t xml:space="preserve"> Thus, this is yet one of the m</w:t>
          </w:r>
          <w:r w:rsidR="00D12DEE" w:rsidRPr="004179C0">
            <w:rPr>
              <w:szCs w:val="24"/>
            </w:rPr>
            <w:t>ost important</w:t>
          </w:r>
          <w:r w:rsidR="00DE1AB3" w:rsidRPr="004179C0">
            <w:rPr>
              <w:szCs w:val="24"/>
            </w:rPr>
            <w:t xml:space="preserve"> social factors that are </w:t>
          </w:r>
          <w:r w:rsidR="00B173DE" w:rsidRPr="004179C0">
            <w:rPr>
              <w:szCs w:val="24"/>
            </w:rPr>
            <w:t>influencing</w:t>
          </w:r>
          <w:r w:rsidR="00DE1AB3" w:rsidRPr="004179C0">
            <w:rPr>
              <w:szCs w:val="24"/>
            </w:rPr>
            <w:t xml:space="preserve"> </w:t>
          </w:r>
          <w:r w:rsidR="00D12DEE" w:rsidRPr="004179C0">
            <w:rPr>
              <w:szCs w:val="24"/>
            </w:rPr>
            <w:t>Tesla.</w:t>
          </w:r>
        </w:p>
        <w:p w14:paraId="68DABA5A" w14:textId="77777777" w:rsidR="00AC2415" w:rsidRPr="00D11C3F" w:rsidRDefault="00AC2415" w:rsidP="00B36C35">
          <w:pPr>
            <w:pStyle w:val="ListParagraph"/>
            <w:rPr>
              <w:color w:val="FF0000"/>
              <w:szCs w:val="24"/>
            </w:rPr>
          </w:pPr>
        </w:p>
        <w:p w14:paraId="687ED385" w14:textId="368DA28C" w:rsidR="007A1E39" w:rsidRDefault="007A1E39" w:rsidP="005B4DD7">
          <w:pPr>
            <w:pStyle w:val="ListParagraph"/>
            <w:numPr>
              <w:ilvl w:val="0"/>
              <w:numId w:val="1"/>
            </w:numPr>
            <w:rPr>
              <w:szCs w:val="24"/>
            </w:rPr>
          </w:pPr>
          <w:r w:rsidRPr="005B4DD7">
            <w:rPr>
              <w:b/>
              <w:i/>
              <w:szCs w:val="24"/>
            </w:rPr>
            <w:t>Technological factors</w:t>
          </w:r>
          <w:r w:rsidRPr="005B4DD7">
            <w:rPr>
              <w:szCs w:val="24"/>
            </w:rPr>
            <w:t xml:space="preserve"> – The technological factors assist in evaluating the various new technological developments and discoveries, which affect a business organisation (Mihailova, 2020). Analysis of the technological factors that </w:t>
          </w:r>
          <w:r w:rsidR="009C614A" w:rsidRPr="005B4DD7">
            <w:rPr>
              <w:szCs w:val="24"/>
            </w:rPr>
            <w:t>influence</w:t>
          </w:r>
          <w:r w:rsidRPr="005B4DD7">
            <w:rPr>
              <w:szCs w:val="24"/>
            </w:rPr>
            <w:t xml:space="preserve"> Tesla helps to determine that new discoveries as well as technology developments are one of the main positive aspects of the US market and other Western countries in which it operates. However, in the current scenario, even Asian markets are focusing on technology development. In the global automobile segment, there is an increasing emphasis on autopilot capabilities in addition to battery technology innovations. Other technological advancements that can be identified include energy storage solutions and integration of renewable energy. Apart from this, automation of vehicle manufacturing as well as </w:t>
          </w:r>
          <w:r w:rsidRPr="005B4DD7">
            <w:rPr>
              <w:szCs w:val="24"/>
            </w:rPr>
            <w:lastRenderedPageBreak/>
            <w:t xml:space="preserve">materials science is the main technological factors identified (Bathla </w:t>
          </w:r>
          <w:r w:rsidRPr="005B4DD7">
            <w:rPr>
              <w:i/>
              <w:szCs w:val="24"/>
            </w:rPr>
            <w:t>et al</w:t>
          </w:r>
          <w:r w:rsidRPr="005B4DD7">
            <w:rPr>
              <w:szCs w:val="24"/>
            </w:rPr>
            <w:t xml:space="preserve">., 2022). In the context of Tesla, many of these technological advancements have been embraced. The autopilot and full self-driving car technologies are presently in the forefront of developing autonomous vehicles. Billions of miles of driving data </w:t>
          </w:r>
          <w:r w:rsidR="00D87DC6" w:rsidRPr="005B4DD7">
            <w:rPr>
              <w:szCs w:val="24"/>
            </w:rPr>
            <w:t>have</w:t>
          </w:r>
          <w:r w:rsidRPr="005B4DD7">
            <w:rPr>
              <w:szCs w:val="24"/>
            </w:rPr>
            <w:t xml:space="preserve"> been gathered in the organisation for training its systems for ensuring that it is able to offer features such as auto park, auto lane change and summon.</w:t>
          </w:r>
        </w:p>
        <w:p w14:paraId="7513E3E8" w14:textId="77777777" w:rsidR="00AC2415" w:rsidRPr="005B4DD7" w:rsidRDefault="00AC2415" w:rsidP="00AC2415">
          <w:pPr>
            <w:pStyle w:val="ListParagraph"/>
            <w:rPr>
              <w:szCs w:val="24"/>
            </w:rPr>
          </w:pPr>
        </w:p>
        <w:p w14:paraId="64857C31" w14:textId="13A3A9EA" w:rsidR="007A1E39" w:rsidRDefault="007A1E39" w:rsidP="005B4DD7">
          <w:pPr>
            <w:pStyle w:val="ListParagraph"/>
            <w:numPr>
              <w:ilvl w:val="0"/>
              <w:numId w:val="1"/>
            </w:numPr>
            <w:rPr>
              <w:szCs w:val="24"/>
            </w:rPr>
          </w:pPr>
          <w:r w:rsidRPr="005B4DD7">
            <w:rPr>
              <w:b/>
              <w:i/>
              <w:szCs w:val="24"/>
            </w:rPr>
            <w:t>Ecological factors</w:t>
          </w:r>
          <w:r w:rsidRPr="005B4DD7">
            <w:rPr>
              <w:szCs w:val="24"/>
            </w:rPr>
            <w:t xml:space="preserve"> – The ecological factors help in the identification of the various environmental issues or environmental protection initiatives, which affect a business organisation (Dalirazar and Sabzi, 2023). Analysis of the ecological factors that </w:t>
          </w:r>
          <w:r w:rsidR="00240AAC" w:rsidRPr="005B4DD7">
            <w:rPr>
              <w:szCs w:val="24"/>
            </w:rPr>
            <w:t>influence</w:t>
          </w:r>
          <w:r w:rsidRPr="005B4DD7">
            <w:rPr>
              <w:szCs w:val="24"/>
            </w:rPr>
            <w:t xml:space="preserve"> Tesla helps to determine that climate change is one of the key areas of focus for all governments. There is an increasing emphasis on the automotive sector to make energy efficient vehicles. Since Tesla is an electric car manufacturer, climate change is an opportunity (Mercereau </w:t>
          </w:r>
          <w:r w:rsidRPr="005B4DD7">
            <w:rPr>
              <w:i/>
              <w:szCs w:val="24"/>
            </w:rPr>
            <w:t>et al</w:t>
          </w:r>
          <w:r w:rsidRPr="005B4DD7">
            <w:rPr>
              <w:szCs w:val="24"/>
            </w:rPr>
            <w:t>., 2020). Apart from this, increasing emphasis on environmental protection and rising standards for disposal of waste are also providing opportunities for the organisation. All these external ecological factors can be directly addressed by the organisation through its electric vehicles, solar panels and batteries. All the products of the organisation are eco-friendly, which help them in terms of maintaining ecological balance and increasing the same. Hence, ecological factors do not have any negative influence on Tesla.</w:t>
          </w:r>
        </w:p>
        <w:p w14:paraId="093367E7" w14:textId="77777777" w:rsidR="00AC2415" w:rsidRPr="000A2B0C" w:rsidRDefault="00AC2415" w:rsidP="000A2B0C">
          <w:pPr>
            <w:rPr>
              <w:szCs w:val="24"/>
            </w:rPr>
          </w:pPr>
        </w:p>
        <w:p w14:paraId="6FFA4CB3" w14:textId="58384BD3" w:rsidR="007A1E39" w:rsidRDefault="007A1E39" w:rsidP="005B4DD7">
          <w:pPr>
            <w:pStyle w:val="ListParagraph"/>
            <w:numPr>
              <w:ilvl w:val="0"/>
              <w:numId w:val="1"/>
            </w:numPr>
            <w:rPr>
              <w:szCs w:val="24"/>
            </w:rPr>
          </w:pPr>
          <w:r w:rsidRPr="005B4DD7">
            <w:rPr>
              <w:b/>
              <w:i/>
              <w:szCs w:val="24"/>
            </w:rPr>
            <w:t>Legal factors</w:t>
          </w:r>
          <w:r w:rsidRPr="005B4DD7">
            <w:rPr>
              <w:szCs w:val="24"/>
            </w:rPr>
            <w:t xml:space="preserve"> – The legal factors assist in evaluating the different sorts of regulatory and legislative changes as well as constraints, which affect a business organisation (Vardopoulos </w:t>
          </w:r>
          <w:r w:rsidRPr="005B4DD7">
            <w:rPr>
              <w:i/>
              <w:szCs w:val="24"/>
            </w:rPr>
            <w:t>et al</w:t>
          </w:r>
          <w:r w:rsidRPr="005B4DD7">
            <w:rPr>
              <w:szCs w:val="24"/>
            </w:rPr>
            <w:t xml:space="preserve">., 2021). Analysis of the legal factors helps to determine that the increasing regulations on energy consumption and expansion of international patent protection are the two main legal factors affecting the automotive industry. International patent protection allows Tesla in terms of expanding its business operations overseas. Moreover, the increasing regulations on energy consumption are going to help the organisation in terms of promoting its electric vehicles and other energy-efficient solutions (Bashir </w:t>
          </w:r>
          <w:r w:rsidRPr="005B4DD7">
            <w:rPr>
              <w:i/>
              <w:szCs w:val="24"/>
            </w:rPr>
            <w:t>et al</w:t>
          </w:r>
          <w:r w:rsidRPr="005B4DD7">
            <w:rPr>
              <w:szCs w:val="24"/>
            </w:rPr>
            <w:t xml:space="preserve">., 2022). However, the dealership sales regulations in the US are a threat as well as opportunity for Tesla. This is because the direct sales allowed in some states of the US are helping the organisation to grow. </w:t>
          </w:r>
          <w:r w:rsidR="00C11AA2">
            <w:rPr>
              <w:szCs w:val="24"/>
            </w:rPr>
            <w:lastRenderedPageBreak/>
            <w:t>Moreover</w:t>
          </w:r>
          <w:r w:rsidRPr="005B4DD7">
            <w:rPr>
              <w:szCs w:val="24"/>
            </w:rPr>
            <w:t>, since some of the states do not allow direct sales, Tesla needs dealerships for transacting with customers within the automotive segment.</w:t>
          </w:r>
        </w:p>
        <w:p w14:paraId="59AC844F" w14:textId="77777777" w:rsidR="00AC2415" w:rsidRPr="005B4DD7" w:rsidRDefault="00AC2415" w:rsidP="00AC2415">
          <w:pPr>
            <w:pStyle w:val="ListParagraph"/>
            <w:rPr>
              <w:szCs w:val="24"/>
            </w:rPr>
          </w:pPr>
        </w:p>
        <w:p w14:paraId="705D5441" w14:textId="77777777" w:rsidR="007A1E39" w:rsidRPr="005B4DD7" w:rsidRDefault="007A1E39" w:rsidP="005B4DD7">
          <w:pPr>
            <w:rPr>
              <w:rFonts w:cs="Times New Roman"/>
              <w:b/>
              <w:i/>
              <w:szCs w:val="24"/>
            </w:rPr>
          </w:pPr>
          <w:r w:rsidRPr="005B4DD7">
            <w:rPr>
              <w:rFonts w:cs="Times New Roman"/>
              <w:b/>
              <w:i/>
              <w:szCs w:val="24"/>
            </w:rPr>
            <w:t>Porter’s Five Forces</w:t>
          </w:r>
        </w:p>
        <w:p w14:paraId="47762ABD" w14:textId="4C0E33D1" w:rsidR="007A1E39" w:rsidRPr="005B4DD7" w:rsidRDefault="007A1E39" w:rsidP="005B4DD7">
          <w:pPr>
            <w:rPr>
              <w:rFonts w:cs="Times New Roman"/>
              <w:szCs w:val="24"/>
            </w:rPr>
          </w:pPr>
          <w:r w:rsidRPr="005B4DD7">
            <w:rPr>
              <w:rFonts w:cs="Times New Roman"/>
              <w:szCs w:val="24"/>
            </w:rPr>
            <w:t xml:space="preserve">The PESTLE factors have an influence on the macro environment, which influences the competitive forces of the surrounding business organisations (Serfointein and Govender, 2020). Due to this reason, the analysis of the competitive forces of a business organisation is essential. According to Anastasiu, Gavriş and Maier (2020), Porter’s </w:t>
          </w:r>
          <w:r w:rsidR="00044727">
            <w:rPr>
              <w:rFonts w:cs="Times New Roman"/>
              <w:szCs w:val="24"/>
            </w:rPr>
            <w:t>F</w:t>
          </w:r>
          <w:r w:rsidRPr="005B4DD7">
            <w:rPr>
              <w:rFonts w:cs="Times New Roman"/>
              <w:szCs w:val="24"/>
            </w:rPr>
            <w:t xml:space="preserve">ive </w:t>
          </w:r>
          <w:r w:rsidR="00044727">
            <w:rPr>
              <w:rFonts w:cs="Times New Roman"/>
              <w:szCs w:val="24"/>
            </w:rPr>
            <w:t>F</w:t>
          </w:r>
          <w:r w:rsidRPr="005B4DD7">
            <w:rPr>
              <w:rFonts w:cs="Times New Roman"/>
              <w:szCs w:val="24"/>
            </w:rPr>
            <w:t xml:space="preserve">orces is one of the most popular models used in business organisations to identify and analyse their key competitive forces. It enables business organisations to look beyond their direct competitors when performing an examination on their strategy. Instead, it encourages on consideration of broader environmental forces (Birru, Sudarmiatin and Hermawan, 2020). Understanding these forces enables a business organisation in making more informed decisions through determining areas of improvement while redefining it strategy for improving and strengthening its competitive position in the marketplace. The discussion below conducts the assessment of the competitive environment of Tesla based on the application of the Porter’s </w:t>
          </w:r>
          <w:r w:rsidR="00460009">
            <w:rPr>
              <w:rFonts w:cs="Times New Roman"/>
              <w:szCs w:val="24"/>
            </w:rPr>
            <w:t>F</w:t>
          </w:r>
          <w:r w:rsidRPr="005B4DD7">
            <w:rPr>
              <w:rFonts w:cs="Times New Roman"/>
              <w:szCs w:val="24"/>
            </w:rPr>
            <w:t xml:space="preserve">ive </w:t>
          </w:r>
          <w:r w:rsidR="00460009">
            <w:rPr>
              <w:rFonts w:cs="Times New Roman"/>
              <w:szCs w:val="24"/>
            </w:rPr>
            <w:t>F</w:t>
          </w:r>
          <w:r w:rsidRPr="005B4DD7">
            <w:rPr>
              <w:rFonts w:cs="Times New Roman"/>
              <w:szCs w:val="24"/>
            </w:rPr>
            <w:t>orces framework –</w:t>
          </w:r>
        </w:p>
        <w:p w14:paraId="1B526882" w14:textId="77777777" w:rsidR="007A1E39" w:rsidRDefault="007A1E39" w:rsidP="005B4DD7">
          <w:pPr>
            <w:pStyle w:val="ListParagraph"/>
            <w:numPr>
              <w:ilvl w:val="0"/>
              <w:numId w:val="2"/>
            </w:numPr>
            <w:rPr>
              <w:szCs w:val="24"/>
            </w:rPr>
          </w:pPr>
          <w:r w:rsidRPr="005B4DD7">
            <w:rPr>
              <w:b/>
              <w:i/>
              <w:szCs w:val="24"/>
            </w:rPr>
            <w:t>The threat of entry</w:t>
          </w:r>
          <w:r w:rsidRPr="005B4DD7">
            <w:rPr>
              <w:szCs w:val="24"/>
            </w:rPr>
            <w:t xml:space="preserve"> – The businesses that are new to a market often have a huge influence on a business organisation and its potential (Mugo, 2020). In the case of Tesla, the threat of new entry is low and extremely insignificant. This is because there are high entry barriers for every new business organisation in the market due to the constraints of high capital expenditure (Sharma </w:t>
          </w:r>
          <w:r w:rsidRPr="005B4DD7">
            <w:rPr>
              <w:i/>
              <w:szCs w:val="24"/>
            </w:rPr>
            <w:t>et al</w:t>
          </w:r>
          <w:r w:rsidRPr="005B4DD7">
            <w:rPr>
              <w:szCs w:val="24"/>
            </w:rPr>
            <w:t>., 2020). Apart from this, any new market entry has high fixed costs, low economies of scale, no access to supply and distribution channels and high market penetration and differentiation costs. Moreover, the odds of buyers to switch over to a younger brand are low. Other than all these aspects, no new market entry can possess the capacity to compete with Tesla.</w:t>
          </w:r>
        </w:p>
        <w:p w14:paraId="635FA2EB" w14:textId="77777777" w:rsidR="00AC2415" w:rsidRPr="005B4DD7" w:rsidRDefault="00AC2415" w:rsidP="00AC2415">
          <w:pPr>
            <w:pStyle w:val="ListParagraph"/>
            <w:rPr>
              <w:szCs w:val="24"/>
            </w:rPr>
          </w:pPr>
        </w:p>
        <w:p w14:paraId="1EF4AEF2" w14:textId="553E19E1" w:rsidR="00AC2415" w:rsidRDefault="007A1E39" w:rsidP="00AC2415">
          <w:pPr>
            <w:pStyle w:val="ListParagraph"/>
            <w:numPr>
              <w:ilvl w:val="0"/>
              <w:numId w:val="2"/>
            </w:numPr>
            <w:rPr>
              <w:szCs w:val="24"/>
            </w:rPr>
          </w:pPr>
          <w:r w:rsidRPr="005B4DD7">
            <w:rPr>
              <w:b/>
              <w:i/>
              <w:szCs w:val="24"/>
            </w:rPr>
            <w:t>The extent of rivalry between competitors</w:t>
          </w:r>
          <w:r w:rsidRPr="005B4DD7">
            <w:rPr>
              <w:szCs w:val="24"/>
            </w:rPr>
            <w:t xml:space="preserve"> – The competitive rivals in the market indicate the business organisations that sell similar products and services, which are aimed at the same customer group along with direct competitors within the marketplace (Goyal, 2020). In the case of Tesla, the extent of rivalry between competitors is high. Audi, BMW, Mercedes, Toyota, Lexus, Volvo, General Motors and Ford are the main competitors, which pose huge threats to the organisation (Gustafsson and Holster </w:t>
          </w:r>
          <w:r w:rsidRPr="005B4DD7">
            <w:rPr>
              <w:szCs w:val="24"/>
            </w:rPr>
            <w:lastRenderedPageBreak/>
            <w:t>Krantz, 2022). The extent of rivalry between all these players and Tesla is high because all these competitors are mostly of an equal size and the market is mature. Apart from this, the level of differentiation in the market is low with high barriers of exit and all competitors are aggressive to seek leadership.</w:t>
          </w:r>
        </w:p>
        <w:p w14:paraId="5193AFE5" w14:textId="77777777" w:rsidR="00AC2415" w:rsidRPr="00AC2415" w:rsidRDefault="00AC2415" w:rsidP="00AC2415">
          <w:pPr>
            <w:rPr>
              <w:szCs w:val="24"/>
            </w:rPr>
          </w:pPr>
        </w:p>
        <w:p w14:paraId="20A0B81F" w14:textId="6CC6736D" w:rsidR="007A1E39" w:rsidRDefault="007A1E39" w:rsidP="005B4DD7">
          <w:pPr>
            <w:pStyle w:val="ListParagraph"/>
            <w:numPr>
              <w:ilvl w:val="0"/>
              <w:numId w:val="2"/>
            </w:numPr>
            <w:rPr>
              <w:szCs w:val="24"/>
            </w:rPr>
          </w:pPr>
          <w:r w:rsidRPr="005B4DD7">
            <w:rPr>
              <w:b/>
              <w:i/>
              <w:szCs w:val="24"/>
            </w:rPr>
            <w:t>The threat of substitutes</w:t>
          </w:r>
          <w:r w:rsidRPr="005B4DD7">
            <w:rPr>
              <w:szCs w:val="24"/>
            </w:rPr>
            <w:t xml:space="preserve"> – Substitute products have a huge influence on a business organisation since they offer a similar advantage to the products and services present in the industry with a different nature (Wu, 2020). In the case of Tesla, the threats of substitutes are relatively much high. According to Visual Capitalist (2024), the total market share of the business organisation in the global electric vehicle market is 19.9%. Apart from this, the price to performance ratio of Tesla is relatively higher than other luxury car brands in the marketplace. However, the competitors in the market are huge in number, as identified above. Due to this, the availability of substitutes in the market is high and there are low switching costs for buyers. As a result, threat of substitutes </w:t>
          </w:r>
          <w:r w:rsidR="00B30DBE" w:rsidRPr="005B4DD7">
            <w:rPr>
              <w:szCs w:val="24"/>
            </w:rPr>
            <w:t>is</w:t>
          </w:r>
          <w:r w:rsidRPr="005B4DD7">
            <w:rPr>
              <w:szCs w:val="24"/>
            </w:rPr>
            <w:t xml:space="preserve"> higher.</w:t>
          </w:r>
        </w:p>
        <w:p w14:paraId="080A4B40" w14:textId="77777777" w:rsidR="00AC2415" w:rsidRPr="00AC2415" w:rsidRDefault="00AC2415" w:rsidP="00AC2415">
          <w:pPr>
            <w:rPr>
              <w:szCs w:val="24"/>
            </w:rPr>
          </w:pPr>
        </w:p>
        <w:p w14:paraId="50C453E1" w14:textId="77777777" w:rsidR="007A1E39" w:rsidRDefault="007A1E39" w:rsidP="005B4DD7">
          <w:pPr>
            <w:pStyle w:val="ListParagraph"/>
            <w:numPr>
              <w:ilvl w:val="0"/>
              <w:numId w:val="2"/>
            </w:numPr>
            <w:rPr>
              <w:szCs w:val="24"/>
            </w:rPr>
          </w:pPr>
          <w:r w:rsidRPr="005B4DD7">
            <w:rPr>
              <w:b/>
              <w:i/>
              <w:szCs w:val="24"/>
            </w:rPr>
            <w:t>The bargaining power of buyers</w:t>
          </w:r>
          <w:r w:rsidRPr="005B4DD7">
            <w:rPr>
              <w:szCs w:val="24"/>
            </w:rPr>
            <w:t xml:space="preserve"> – The buyers of a business organisation are its immediate customers and not necessarily its ultimate customers (Bartunek, 2020). However, all of them have a bargaining power in the market. In the case of Tesla, the buyers have a strong or high bargaining power. One of the key reasons for such high bargaining power amongst buyers is that buyers have a relatively low cost of switching (Delic and Eyers, 2020). Apart from this, the buyers of the organisation have reasonable access to substitute products. Moreover, as Tesla is a luxury car brand selling premium cars, the numbers of buyers in the market who can purchase its cars are low. Such buyer concentration increases their bargaining power since the number of buyers for the organisation is limited and not huge.</w:t>
          </w:r>
        </w:p>
        <w:p w14:paraId="5886B096" w14:textId="77777777" w:rsidR="00AC2415" w:rsidRPr="00AC2415" w:rsidRDefault="00AC2415" w:rsidP="00AC2415">
          <w:pPr>
            <w:rPr>
              <w:szCs w:val="24"/>
            </w:rPr>
          </w:pPr>
        </w:p>
        <w:p w14:paraId="1B601BDA" w14:textId="029155E4" w:rsidR="00AC2415" w:rsidRPr="00850F02" w:rsidRDefault="007A1E39" w:rsidP="00850F02">
          <w:pPr>
            <w:pStyle w:val="ListParagraph"/>
            <w:numPr>
              <w:ilvl w:val="0"/>
              <w:numId w:val="2"/>
            </w:numPr>
            <w:rPr>
              <w:szCs w:val="24"/>
            </w:rPr>
          </w:pPr>
          <w:r w:rsidRPr="005B4DD7">
            <w:rPr>
              <w:b/>
              <w:i/>
              <w:szCs w:val="24"/>
            </w:rPr>
            <w:t>The bargaining power of suppliers</w:t>
          </w:r>
          <w:r w:rsidRPr="005B4DD7">
            <w:rPr>
              <w:szCs w:val="24"/>
            </w:rPr>
            <w:t xml:space="preserve"> – Suppliers indicate the group of people who supply what a business organisation for production purpose and powerful suppliers can be lowering the profits earned in a business organisation (Appiah, Sedegah and Akolaa, 2021). In the case of Tesla, </w:t>
          </w:r>
          <w:r w:rsidR="003F392B" w:rsidRPr="005B4DD7">
            <w:rPr>
              <w:szCs w:val="24"/>
            </w:rPr>
            <w:t>there</w:t>
          </w:r>
          <w:r w:rsidRPr="005B4DD7">
            <w:rPr>
              <w:szCs w:val="24"/>
            </w:rPr>
            <w:t xml:space="preserve"> is a moderate bargaining power of suppliers. Since the suppliers of this business organisation do not provide a rare or specialist input and the </w:t>
          </w:r>
          <w:r w:rsidRPr="005B4DD7">
            <w:rPr>
              <w:szCs w:val="24"/>
            </w:rPr>
            <w:lastRenderedPageBreak/>
            <w:t>supplier market is not concentrated, suppliers have a low bargaining power (Chae, Yan and Yang, 2020). Moreover, the supplier switching costs are low and there are no disruptions in the change of suppliers. Moderate bargaining power is identified in suppliers because there is an existence of medium-level supply and there is a presence of various moderate-size suppliers in the market.</w:t>
          </w:r>
        </w:p>
        <w:p w14:paraId="5218C591" w14:textId="77777777" w:rsidR="00AC2415" w:rsidRPr="005B4DD7" w:rsidRDefault="00AC2415" w:rsidP="00AC2415">
          <w:pPr>
            <w:pStyle w:val="ListParagraph"/>
            <w:rPr>
              <w:szCs w:val="24"/>
            </w:rPr>
          </w:pPr>
        </w:p>
        <w:p w14:paraId="2CDD58FE" w14:textId="77777777" w:rsidR="007A1E39" w:rsidRPr="005B4DD7" w:rsidRDefault="007A1E39" w:rsidP="005B4DD7">
          <w:pPr>
            <w:rPr>
              <w:rFonts w:cs="Times New Roman"/>
              <w:b/>
              <w:i/>
              <w:szCs w:val="24"/>
            </w:rPr>
          </w:pPr>
          <w:r w:rsidRPr="005B4DD7">
            <w:rPr>
              <w:rFonts w:cs="Times New Roman"/>
              <w:b/>
              <w:i/>
              <w:szCs w:val="24"/>
            </w:rPr>
            <w:t>SWOT</w:t>
          </w:r>
        </w:p>
        <w:p w14:paraId="42ABC664" w14:textId="77777777" w:rsidR="007A1E39" w:rsidRPr="005B4DD7" w:rsidRDefault="007A1E39" w:rsidP="005B4DD7">
          <w:pPr>
            <w:rPr>
              <w:rFonts w:cs="Times New Roman"/>
              <w:szCs w:val="24"/>
            </w:rPr>
          </w:pPr>
          <w:r w:rsidRPr="005B4DD7">
            <w:rPr>
              <w:rFonts w:cs="Times New Roman"/>
              <w:szCs w:val="24"/>
            </w:rPr>
            <w:t>According to Siddiqui (2021), SWOT is a framework that is helpful for a business organisation in terms of identifying its strengths, weaknesses, opportunities and threats. It shows the internal strengths and weaknesses of a business organisation in addition to its external opportunities and threats based on which it can assess its competitive position (Jain, Ajmera and Davim, 2022). SWOT acts as a major tool that is helpful for a business organisation to perform strategic planning and strategic management. The discussion below conducts the assessment of the capacity of Tesla to deal with the competitive environment based on the application of the SWOT framework –</w:t>
          </w:r>
        </w:p>
        <w:p w14:paraId="52E6B40F" w14:textId="77777777" w:rsidR="007A1E39" w:rsidRPr="005B4DD7" w:rsidRDefault="007A1E39" w:rsidP="005B4DD7">
          <w:pPr>
            <w:rPr>
              <w:rFonts w:cs="Times New Roman"/>
              <w:b/>
              <w:i/>
              <w:szCs w:val="24"/>
            </w:rPr>
          </w:pPr>
          <w:r w:rsidRPr="005B4DD7">
            <w:rPr>
              <w:rFonts w:cs="Times New Roman"/>
              <w:b/>
              <w:i/>
              <w:szCs w:val="24"/>
            </w:rPr>
            <w:t xml:space="preserve">Strengths </w:t>
          </w:r>
        </w:p>
        <w:p w14:paraId="77967318" w14:textId="56EC1CC6" w:rsidR="007A1E39" w:rsidRDefault="007A1E39" w:rsidP="005B4DD7">
          <w:pPr>
            <w:rPr>
              <w:rFonts w:cs="Times New Roman"/>
              <w:szCs w:val="24"/>
            </w:rPr>
          </w:pPr>
          <w:r w:rsidRPr="005B4DD7">
            <w:rPr>
              <w:rFonts w:cs="Times New Roman"/>
              <w:szCs w:val="24"/>
            </w:rPr>
            <w:t xml:space="preserve">The analysis of the strengths of a business organisation helps in the determination of what it does better relative to that of its competitors (Pereira </w:t>
          </w:r>
          <w:r w:rsidRPr="005B4DD7">
            <w:rPr>
              <w:rFonts w:cs="Times New Roman"/>
              <w:i/>
              <w:szCs w:val="24"/>
            </w:rPr>
            <w:t>et al</w:t>
          </w:r>
          <w:r w:rsidRPr="005B4DD7">
            <w:rPr>
              <w:rFonts w:cs="Times New Roman"/>
              <w:szCs w:val="24"/>
            </w:rPr>
            <w:t xml:space="preserve">., 2021). One of the fundamental strengths of Tesla is that it is one of the top employers in the US that has great diversity and inclusion, which helps it in maintaining a good workplace reputation. Besides this, the business organisation is one of the most valuable automobile companies. The financial achievements of the organisation help in understanding its value. As on March 2024, the net revenue achieved in Tesla for the last </w:t>
          </w:r>
          <w:r w:rsidR="00B05448">
            <w:rPr>
              <w:rFonts w:cs="Times New Roman"/>
              <w:szCs w:val="24"/>
            </w:rPr>
            <w:t>twelve</w:t>
          </w:r>
          <w:r w:rsidRPr="005B4DD7">
            <w:rPr>
              <w:rFonts w:cs="Times New Roman"/>
              <w:szCs w:val="24"/>
            </w:rPr>
            <w:t xml:space="preserve"> months was $94.74 billion (Macrotrends, 2024). The market capitalisation showed a value of $567.70 billion as on April 2024 (CompaniesMarketCap.com, 2024). This market capitalisation has surpassed the combined market capitalisation value of automobile industry giants Volkswagen, Toyota, General Motors, Daimler and Ford. Another strength that is identified in Tesla is that it offers a range of electric vehicles, which are best-in-class (Peng, 2024). The business organisation dominates the market of high-end electric vehicles, which ascertains consumer approval. Tesla also has a noble USP, which places environmental care and sustainability at the core instead of technology.</w:t>
          </w:r>
        </w:p>
        <w:p w14:paraId="0BD690EE" w14:textId="77777777" w:rsidR="00AC2415" w:rsidRDefault="00AC2415" w:rsidP="005B4DD7">
          <w:pPr>
            <w:rPr>
              <w:rFonts w:cs="Times New Roman"/>
              <w:szCs w:val="24"/>
            </w:rPr>
          </w:pPr>
        </w:p>
        <w:p w14:paraId="43B29548" w14:textId="77777777" w:rsidR="00A400DE" w:rsidRPr="005B4DD7" w:rsidRDefault="00A400DE" w:rsidP="005B4DD7">
          <w:pPr>
            <w:rPr>
              <w:rFonts w:cs="Times New Roman"/>
              <w:szCs w:val="24"/>
            </w:rPr>
          </w:pPr>
        </w:p>
        <w:p w14:paraId="61CA6324" w14:textId="77777777" w:rsidR="007A1E39" w:rsidRPr="005B4DD7" w:rsidRDefault="007A1E39" w:rsidP="005B4DD7">
          <w:pPr>
            <w:rPr>
              <w:rFonts w:cs="Times New Roman"/>
              <w:b/>
              <w:i/>
              <w:szCs w:val="24"/>
            </w:rPr>
          </w:pPr>
          <w:r w:rsidRPr="005B4DD7">
            <w:rPr>
              <w:rFonts w:cs="Times New Roman"/>
              <w:b/>
              <w:i/>
              <w:szCs w:val="24"/>
            </w:rPr>
            <w:lastRenderedPageBreak/>
            <w:t>Weaknesses</w:t>
          </w:r>
        </w:p>
        <w:p w14:paraId="4AE65B4C" w14:textId="5AF65B96" w:rsidR="00F249CB" w:rsidRPr="005B4DD7" w:rsidRDefault="007A1E39" w:rsidP="005B4DD7">
          <w:pPr>
            <w:rPr>
              <w:rFonts w:cs="Times New Roman"/>
              <w:szCs w:val="24"/>
            </w:rPr>
          </w:pPr>
          <w:r w:rsidRPr="005B4DD7">
            <w:rPr>
              <w:rFonts w:cs="Times New Roman"/>
              <w:szCs w:val="24"/>
            </w:rPr>
            <w:t xml:space="preserve">The analysis of the weaknesses of a business organisation helps in the determination of what it needs to improve to do better than competitors (Benzaghta </w:t>
          </w:r>
          <w:r w:rsidRPr="005B4DD7">
            <w:rPr>
              <w:rFonts w:cs="Times New Roman"/>
              <w:i/>
              <w:szCs w:val="24"/>
            </w:rPr>
            <w:t>et al</w:t>
          </w:r>
          <w:r w:rsidRPr="005B4DD7">
            <w:rPr>
              <w:rFonts w:cs="Times New Roman"/>
              <w:szCs w:val="24"/>
            </w:rPr>
            <w:t xml:space="preserve">., 2021). A primary weakness, which has been identified in the context of Tesla, is its financial uncertainty. Even though the business organisation has huge financial resources and strong revenues, it has reported a debt of $2.9 billion as of March 2024 (Macrotrends, 2024). Such huge debts can hamper the growth and investments of the business organisation, thereby affecting its long-term viability. The premium pricing of the vehicles of the business organisation is also one of its weaknesses. Tesla’s status of being a luxury brand and its high prices charged limits its market penetration (Ding and He, 2022). It needs to balance is prices and innovation for being relevant and expanding its market share. Moreover, the employee turnover rate of the organisation is </w:t>
          </w:r>
          <w:r w:rsidR="00F249CB" w:rsidRPr="005B4DD7">
            <w:rPr>
              <w:rFonts w:cs="Times New Roman"/>
              <w:szCs w:val="24"/>
            </w:rPr>
            <w:t>high,</w:t>
          </w:r>
          <w:r w:rsidRPr="005B4DD7">
            <w:rPr>
              <w:rFonts w:cs="Times New Roman"/>
              <w:szCs w:val="24"/>
            </w:rPr>
            <w:t xml:space="preserve"> and several mechanical complications can be identified in its context.</w:t>
          </w:r>
        </w:p>
        <w:p w14:paraId="3978A236" w14:textId="77777777" w:rsidR="007A1E39" w:rsidRPr="005B4DD7" w:rsidRDefault="007A1E39" w:rsidP="005B4DD7">
          <w:pPr>
            <w:rPr>
              <w:rFonts w:cs="Times New Roman"/>
              <w:b/>
              <w:i/>
              <w:szCs w:val="24"/>
            </w:rPr>
          </w:pPr>
          <w:r w:rsidRPr="005B4DD7">
            <w:rPr>
              <w:rFonts w:cs="Times New Roman"/>
              <w:b/>
              <w:i/>
              <w:szCs w:val="24"/>
            </w:rPr>
            <w:t>Opportunities</w:t>
          </w:r>
        </w:p>
        <w:p w14:paraId="63F3C7B5" w14:textId="77777777" w:rsidR="007A1E39" w:rsidRPr="005B4DD7" w:rsidRDefault="007A1E39" w:rsidP="005B4DD7">
          <w:pPr>
            <w:rPr>
              <w:rFonts w:cs="Times New Roman"/>
              <w:szCs w:val="24"/>
            </w:rPr>
          </w:pPr>
          <w:r w:rsidRPr="005B4DD7">
            <w:rPr>
              <w:rFonts w:cs="Times New Roman"/>
              <w:szCs w:val="24"/>
            </w:rPr>
            <w:t xml:space="preserve">The analysis of the opportunities of a business organisation helps in the determination of the market trends, which could help in increasing its sales (Calicchio, 2020). One of the fundamental opportunities of Tesla is the introduction of affordable vehicles. The business organisation has recently launched on its mission on expansion of affordable electric vehicles as well as technology. This is going to enable the business organisation in terms of increasing the availability of revolutionary electric cars while enlarging its sales. The adoption of autonomous technology is also one of the opportunities of Tesla (Bathla </w:t>
          </w:r>
          <w:r w:rsidRPr="005B4DD7">
            <w:rPr>
              <w:rFonts w:cs="Times New Roman"/>
              <w:i/>
              <w:szCs w:val="24"/>
            </w:rPr>
            <w:t>et al</w:t>
          </w:r>
          <w:r w:rsidRPr="005B4DD7">
            <w:rPr>
              <w:rFonts w:cs="Times New Roman"/>
              <w:szCs w:val="24"/>
            </w:rPr>
            <w:t>., 2022). This is because increasing the level of autonomous driving algorithms in addition to features might be boosting the organisation’s opportunity and enthusiasm. Capitalisation on technological advancements is also a great opportunity (Raihan, 2024). This is because automation of the essential activities of the business organisation can enable it in saving money while improving marketing outcomes by the means of customer-driven insights. Such technical breakthroughs can assist Tesla in terms of preservation of competitive advantage.</w:t>
          </w:r>
        </w:p>
        <w:p w14:paraId="1A415FA5" w14:textId="77777777" w:rsidR="007A1E39" w:rsidRPr="005B4DD7" w:rsidRDefault="007A1E39" w:rsidP="005B4DD7">
          <w:pPr>
            <w:rPr>
              <w:rFonts w:cs="Times New Roman"/>
              <w:b/>
              <w:i/>
              <w:szCs w:val="24"/>
            </w:rPr>
          </w:pPr>
          <w:r w:rsidRPr="005B4DD7">
            <w:rPr>
              <w:rFonts w:cs="Times New Roman"/>
              <w:b/>
              <w:i/>
              <w:szCs w:val="24"/>
            </w:rPr>
            <w:t>Threats</w:t>
          </w:r>
        </w:p>
        <w:p w14:paraId="58FEFE34" w14:textId="7F1CFEDA" w:rsidR="00276C8D" w:rsidRPr="005B4DD7" w:rsidRDefault="007A1E39" w:rsidP="005B4DD7">
          <w:pPr>
            <w:rPr>
              <w:rFonts w:cs="Times New Roman"/>
              <w:szCs w:val="24"/>
            </w:rPr>
          </w:pPr>
          <w:r w:rsidRPr="005B4DD7">
            <w:rPr>
              <w:rFonts w:cs="Times New Roman"/>
              <w:szCs w:val="24"/>
            </w:rPr>
            <w:t xml:space="preserve">The analysis of the threats of a business organisation helps in the determination of the advantages that its competitors have over other organisations in the market (Kitonyi </w:t>
          </w:r>
          <w:r w:rsidRPr="005B4DD7">
            <w:rPr>
              <w:rFonts w:cs="Times New Roman"/>
              <w:i/>
              <w:szCs w:val="24"/>
            </w:rPr>
            <w:t>et al</w:t>
          </w:r>
          <w:r w:rsidRPr="005B4DD7">
            <w:rPr>
              <w:rFonts w:cs="Times New Roman"/>
              <w:szCs w:val="24"/>
            </w:rPr>
            <w:t xml:space="preserve">., 2020). A primary threat, which has been identified in the context of Tesla, is that the automobile market is an extremely competitive one. This organisation possesses an evident competitive edge since it has pioneered autonomous and electric vehicle technologies (Vermesan </w:t>
          </w:r>
          <w:r w:rsidRPr="005B4DD7">
            <w:rPr>
              <w:rFonts w:cs="Times New Roman"/>
              <w:i/>
              <w:szCs w:val="24"/>
            </w:rPr>
            <w:t>et al</w:t>
          </w:r>
          <w:r w:rsidRPr="005B4DD7">
            <w:rPr>
              <w:rFonts w:cs="Times New Roman"/>
              <w:szCs w:val="24"/>
            </w:rPr>
            <w:t xml:space="preserve">., </w:t>
          </w:r>
          <w:r w:rsidRPr="005B4DD7">
            <w:rPr>
              <w:rFonts w:cs="Times New Roman"/>
              <w:szCs w:val="24"/>
            </w:rPr>
            <w:lastRenderedPageBreak/>
            <w:t xml:space="preserve">2021). However, it should remain vigilant since competition is increasing in both economic and luxury areas. Price volatility </w:t>
          </w:r>
          <w:r w:rsidR="006373C0" w:rsidRPr="005B4DD7">
            <w:rPr>
              <w:rFonts w:cs="Times New Roman"/>
              <w:szCs w:val="24"/>
            </w:rPr>
            <w:t>along with</w:t>
          </w:r>
          <w:r w:rsidRPr="005B4DD7">
            <w:rPr>
              <w:rFonts w:cs="Times New Roman"/>
              <w:szCs w:val="24"/>
            </w:rPr>
            <w:t xml:space="preserve"> market availability</w:t>
          </w:r>
          <w:r w:rsidR="006373C0" w:rsidRPr="005B4DD7">
            <w:rPr>
              <w:rFonts w:cs="Times New Roman"/>
              <w:szCs w:val="24"/>
            </w:rPr>
            <w:t xml:space="preserve"> is the other threats for Tesla</w:t>
          </w:r>
          <w:r w:rsidRPr="005B4DD7">
            <w:rPr>
              <w:rFonts w:cs="Times New Roman"/>
              <w:szCs w:val="24"/>
            </w:rPr>
            <w:t xml:space="preserve">. </w:t>
          </w:r>
          <w:r w:rsidR="006373C0" w:rsidRPr="005B4DD7">
            <w:rPr>
              <w:rFonts w:cs="Times New Roman"/>
              <w:szCs w:val="24"/>
            </w:rPr>
            <w:t>The reasons for these threats are that the</w:t>
          </w:r>
          <w:r w:rsidRPr="005B4DD7">
            <w:rPr>
              <w:rFonts w:cs="Times New Roman"/>
              <w:szCs w:val="24"/>
            </w:rPr>
            <w:t xml:space="preserve"> organisation </w:t>
          </w:r>
          <w:r w:rsidR="004365EA" w:rsidRPr="005B4DD7">
            <w:rPr>
              <w:rFonts w:cs="Times New Roman"/>
              <w:szCs w:val="24"/>
            </w:rPr>
            <w:t>must</w:t>
          </w:r>
          <w:r w:rsidR="006373C0" w:rsidRPr="005B4DD7">
            <w:rPr>
              <w:rFonts w:cs="Times New Roman"/>
              <w:szCs w:val="24"/>
            </w:rPr>
            <w:t xml:space="preserve"> rely on high-end alloys and metals. These alloys and metals involve</w:t>
          </w:r>
          <w:r w:rsidRPr="005B4DD7">
            <w:rPr>
              <w:rFonts w:cs="Times New Roman"/>
              <w:szCs w:val="24"/>
            </w:rPr>
            <w:t xml:space="preserve"> iron, nickel and aluminium (Wazeer </w:t>
          </w:r>
          <w:r w:rsidRPr="005B4DD7">
            <w:rPr>
              <w:rFonts w:cs="Times New Roman"/>
              <w:i/>
              <w:szCs w:val="24"/>
            </w:rPr>
            <w:t>et al</w:t>
          </w:r>
          <w:r w:rsidRPr="005B4DD7">
            <w:rPr>
              <w:rFonts w:cs="Times New Roman"/>
              <w:szCs w:val="24"/>
            </w:rPr>
            <w:t xml:space="preserve">., 2023). </w:t>
          </w:r>
        </w:p>
        <w:p w14:paraId="496AF2BF" w14:textId="30D57621" w:rsidR="007A1E39" w:rsidRPr="005B4DD7" w:rsidRDefault="00322B00" w:rsidP="005B4DD7">
          <w:pPr>
            <w:rPr>
              <w:rFonts w:cs="Times New Roman"/>
              <w:szCs w:val="24"/>
            </w:rPr>
          </w:pPr>
          <w:r>
            <w:rPr>
              <w:rFonts w:cs="Times New Roman"/>
              <w:szCs w:val="24"/>
            </w:rPr>
            <w:t>V</w:t>
          </w:r>
          <w:r w:rsidR="006373C0" w:rsidRPr="005B4DD7">
            <w:rPr>
              <w:rFonts w:cs="Times New Roman"/>
              <w:szCs w:val="24"/>
            </w:rPr>
            <w:t xml:space="preserve">arious hindrances are </w:t>
          </w:r>
          <w:r w:rsidRPr="00F249CB">
            <w:rPr>
              <w:rFonts w:cs="Times New Roman"/>
              <w:szCs w:val="24"/>
            </w:rPr>
            <w:t>however</w:t>
          </w:r>
          <w:r>
            <w:rPr>
              <w:rFonts w:cs="Times New Roman"/>
              <w:color w:val="FF0000"/>
              <w:szCs w:val="24"/>
            </w:rPr>
            <w:t xml:space="preserve"> </w:t>
          </w:r>
          <w:r w:rsidR="006373C0" w:rsidRPr="005B4DD7">
            <w:rPr>
              <w:rFonts w:cs="Times New Roman"/>
              <w:szCs w:val="24"/>
            </w:rPr>
            <w:t xml:space="preserve">existent in </w:t>
          </w:r>
          <w:r w:rsidR="007A1E39" w:rsidRPr="005B4DD7">
            <w:rPr>
              <w:rFonts w:cs="Times New Roman"/>
              <w:szCs w:val="24"/>
            </w:rPr>
            <w:t xml:space="preserve">the </w:t>
          </w:r>
          <w:r w:rsidR="006373C0" w:rsidRPr="005B4DD7">
            <w:rPr>
              <w:rFonts w:cs="Times New Roman"/>
              <w:szCs w:val="24"/>
            </w:rPr>
            <w:t xml:space="preserve">availability and prices. Moreover, </w:t>
          </w:r>
          <w:r w:rsidR="007A1E39" w:rsidRPr="005B4DD7">
            <w:rPr>
              <w:rFonts w:cs="Times New Roman"/>
              <w:szCs w:val="24"/>
            </w:rPr>
            <w:t xml:space="preserve">the </w:t>
          </w:r>
          <w:r w:rsidR="006373C0" w:rsidRPr="005B4DD7">
            <w:rPr>
              <w:rFonts w:cs="Times New Roman"/>
              <w:szCs w:val="24"/>
            </w:rPr>
            <w:t>fluctuation in the price of these high-end alloys and metals has</w:t>
          </w:r>
          <w:r w:rsidR="007A1E39" w:rsidRPr="005B4DD7">
            <w:rPr>
              <w:rFonts w:cs="Times New Roman"/>
              <w:szCs w:val="24"/>
            </w:rPr>
            <w:t xml:space="preserve"> a direct </w:t>
          </w:r>
          <w:r w:rsidR="006373C0" w:rsidRPr="005B4DD7">
            <w:rPr>
              <w:rFonts w:cs="Times New Roman"/>
              <w:szCs w:val="24"/>
            </w:rPr>
            <w:t>influence</w:t>
          </w:r>
          <w:r w:rsidR="007A1E39" w:rsidRPr="005B4DD7">
            <w:rPr>
              <w:rFonts w:cs="Times New Roman"/>
              <w:szCs w:val="24"/>
            </w:rPr>
            <w:t xml:space="preserve"> on </w:t>
          </w:r>
          <w:r w:rsidR="006373C0" w:rsidRPr="005B4DD7">
            <w:rPr>
              <w:rFonts w:cs="Times New Roman"/>
              <w:szCs w:val="24"/>
            </w:rPr>
            <w:t>the organisation’s</w:t>
          </w:r>
          <w:r w:rsidR="007A1E39" w:rsidRPr="005B4DD7">
            <w:rPr>
              <w:rFonts w:cs="Times New Roman"/>
              <w:szCs w:val="24"/>
            </w:rPr>
            <w:t xml:space="preserve"> output </w:t>
          </w:r>
          <w:r w:rsidR="006373C0" w:rsidRPr="005B4DD7">
            <w:rPr>
              <w:rFonts w:cs="Times New Roman"/>
              <w:szCs w:val="24"/>
            </w:rPr>
            <w:t>as well as</w:t>
          </w:r>
          <w:r w:rsidR="007A1E39" w:rsidRPr="005B4DD7">
            <w:rPr>
              <w:rFonts w:cs="Times New Roman"/>
              <w:szCs w:val="24"/>
            </w:rPr>
            <w:t xml:space="preserve"> profitability. </w:t>
          </w:r>
          <w:r w:rsidR="006373C0" w:rsidRPr="005B4DD7">
            <w:rPr>
              <w:rFonts w:cs="Times New Roman"/>
              <w:szCs w:val="24"/>
            </w:rPr>
            <w:t>On the other hand</w:t>
          </w:r>
          <w:r w:rsidR="007A1E39" w:rsidRPr="005B4DD7">
            <w:rPr>
              <w:rFonts w:cs="Times New Roman"/>
              <w:szCs w:val="24"/>
            </w:rPr>
            <w:t xml:space="preserve">, </w:t>
          </w:r>
          <w:r w:rsidR="006373C0" w:rsidRPr="005B4DD7">
            <w:rPr>
              <w:rFonts w:cs="Times New Roman"/>
              <w:szCs w:val="24"/>
            </w:rPr>
            <w:t>despite</w:t>
          </w:r>
          <w:r w:rsidR="007A1E39" w:rsidRPr="005B4DD7">
            <w:rPr>
              <w:rFonts w:cs="Times New Roman"/>
              <w:szCs w:val="24"/>
            </w:rPr>
            <w:t xml:space="preserve"> positive reviews and hype, </w:t>
          </w:r>
          <w:r w:rsidR="00F249CB" w:rsidRPr="005B4DD7">
            <w:rPr>
              <w:rFonts w:cs="Times New Roman"/>
              <w:szCs w:val="24"/>
            </w:rPr>
            <w:t>sometime</w:t>
          </w:r>
          <w:r w:rsidR="006373C0" w:rsidRPr="005B4DD7">
            <w:rPr>
              <w:rFonts w:cs="Times New Roman"/>
              <w:szCs w:val="24"/>
            </w:rPr>
            <w:t xml:space="preserve"> might be needed for </w:t>
          </w:r>
          <w:r w:rsidR="007A1E39" w:rsidRPr="005B4DD7">
            <w:rPr>
              <w:rFonts w:cs="Times New Roman"/>
              <w:szCs w:val="24"/>
            </w:rPr>
            <w:t>the commercial acceptance of the vehicles</w:t>
          </w:r>
          <w:r w:rsidR="006373C0" w:rsidRPr="005B4DD7">
            <w:rPr>
              <w:rFonts w:cs="Times New Roman"/>
              <w:szCs w:val="24"/>
            </w:rPr>
            <w:t xml:space="preserve"> that are manufactured and sold by Tesla</w:t>
          </w:r>
          <w:r w:rsidR="007A1E39" w:rsidRPr="005B4DD7">
            <w:rPr>
              <w:rFonts w:cs="Times New Roman"/>
              <w:szCs w:val="24"/>
            </w:rPr>
            <w:t xml:space="preserve">. </w:t>
          </w:r>
          <w:r w:rsidR="006373C0" w:rsidRPr="005B4DD7">
            <w:rPr>
              <w:rFonts w:cs="Times New Roman"/>
              <w:szCs w:val="24"/>
            </w:rPr>
            <w:t xml:space="preserve">The reason for this time needed is that the </w:t>
          </w:r>
          <w:r w:rsidR="007A1E39" w:rsidRPr="005B4DD7">
            <w:rPr>
              <w:rFonts w:cs="Times New Roman"/>
              <w:szCs w:val="24"/>
            </w:rPr>
            <w:t>concept of electric cars and self-driving cars are</w:t>
          </w:r>
          <w:r w:rsidR="006373C0" w:rsidRPr="005B4DD7">
            <w:rPr>
              <w:rFonts w:cs="Times New Roman"/>
              <w:szCs w:val="24"/>
            </w:rPr>
            <w:t xml:space="preserve"> completely</w:t>
          </w:r>
          <w:r w:rsidR="007A1E39" w:rsidRPr="005B4DD7">
            <w:rPr>
              <w:rFonts w:cs="Times New Roman"/>
              <w:szCs w:val="24"/>
            </w:rPr>
            <w:t xml:space="preserve"> new</w:t>
          </w:r>
          <w:r w:rsidR="006373C0" w:rsidRPr="005B4DD7">
            <w:rPr>
              <w:rFonts w:cs="Times New Roman"/>
              <w:szCs w:val="24"/>
            </w:rPr>
            <w:t xml:space="preserve"> in the market</w:t>
          </w:r>
          <w:r w:rsidR="007A1E39" w:rsidRPr="005B4DD7">
            <w:rPr>
              <w:rFonts w:cs="Times New Roman"/>
              <w:szCs w:val="24"/>
            </w:rPr>
            <w:t xml:space="preserve"> (Czakon </w:t>
          </w:r>
          <w:r w:rsidR="007A1E39" w:rsidRPr="005B4DD7">
            <w:rPr>
              <w:rFonts w:cs="Times New Roman"/>
              <w:i/>
              <w:szCs w:val="24"/>
            </w:rPr>
            <w:t>et al</w:t>
          </w:r>
          <w:r w:rsidR="007A1E39" w:rsidRPr="005B4DD7">
            <w:rPr>
              <w:rFonts w:cs="Times New Roman"/>
              <w:szCs w:val="24"/>
            </w:rPr>
            <w:t xml:space="preserve">., 2020). </w:t>
          </w:r>
          <w:r w:rsidR="00276C8D" w:rsidRPr="005B4DD7">
            <w:rPr>
              <w:rFonts w:cs="Times New Roman"/>
              <w:szCs w:val="24"/>
            </w:rPr>
            <w:t xml:space="preserve">In addition, the organisation’s </w:t>
          </w:r>
          <w:r w:rsidR="007A1E39" w:rsidRPr="005B4DD7">
            <w:rPr>
              <w:rFonts w:cs="Times New Roman"/>
              <w:szCs w:val="24"/>
            </w:rPr>
            <w:t xml:space="preserve">product liability litigation has </w:t>
          </w:r>
          <w:r w:rsidR="00F249CB" w:rsidRPr="005B4DD7">
            <w:rPr>
              <w:rFonts w:cs="Times New Roman"/>
              <w:szCs w:val="24"/>
            </w:rPr>
            <w:t>affected the</w:t>
          </w:r>
          <w:r w:rsidR="00276C8D" w:rsidRPr="005B4DD7">
            <w:rPr>
              <w:rFonts w:cs="Times New Roman"/>
              <w:szCs w:val="24"/>
            </w:rPr>
            <w:t xml:space="preserve"> entire</w:t>
          </w:r>
          <w:r w:rsidR="007A1E39" w:rsidRPr="005B4DD7">
            <w:rPr>
              <w:rFonts w:cs="Times New Roman"/>
              <w:szCs w:val="24"/>
            </w:rPr>
            <w:t xml:space="preserve"> brand </w:t>
          </w:r>
          <w:r w:rsidR="00276C8D" w:rsidRPr="005B4DD7">
            <w:rPr>
              <w:rFonts w:cs="Times New Roman"/>
              <w:szCs w:val="24"/>
            </w:rPr>
            <w:t xml:space="preserve">name </w:t>
          </w:r>
          <w:r w:rsidR="007A1E39" w:rsidRPr="005B4DD7">
            <w:rPr>
              <w:rFonts w:cs="Times New Roman"/>
              <w:szCs w:val="24"/>
            </w:rPr>
            <w:t xml:space="preserve">as well as </w:t>
          </w:r>
          <w:r w:rsidR="00276C8D" w:rsidRPr="005B4DD7">
            <w:rPr>
              <w:rFonts w:cs="Times New Roman"/>
              <w:szCs w:val="24"/>
            </w:rPr>
            <w:t xml:space="preserve">its </w:t>
          </w:r>
          <w:r w:rsidR="007A1E39" w:rsidRPr="005B4DD7">
            <w:rPr>
              <w:rFonts w:cs="Times New Roman"/>
              <w:szCs w:val="24"/>
            </w:rPr>
            <w:t xml:space="preserve">product intake. </w:t>
          </w:r>
          <w:r w:rsidR="00276C8D" w:rsidRPr="005B4DD7">
            <w:rPr>
              <w:rFonts w:cs="Times New Roman"/>
              <w:szCs w:val="24"/>
            </w:rPr>
            <w:t xml:space="preserve">As a result, buyers might be </w:t>
          </w:r>
          <w:r w:rsidR="007A1E39" w:rsidRPr="005B4DD7">
            <w:rPr>
              <w:rFonts w:cs="Times New Roman"/>
              <w:szCs w:val="24"/>
            </w:rPr>
            <w:t>need</w:t>
          </w:r>
          <w:r w:rsidR="00276C8D" w:rsidRPr="005B4DD7">
            <w:rPr>
              <w:rFonts w:cs="Times New Roman"/>
              <w:szCs w:val="24"/>
            </w:rPr>
            <w:t>ing some time for adjustment.</w:t>
          </w:r>
        </w:p>
        <w:p w14:paraId="7A00FFBD" w14:textId="59EFAB63" w:rsidR="00AC2415" w:rsidRPr="00F226BB" w:rsidRDefault="007A1E39" w:rsidP="00F226BB">
          <w:pPr>
            <w:pStyle w:val="Heading2"/>
            <w:rPr>
              <w:rFonts w:cs="Times New Roman"/>
              <w:szCs w:val="24"/>
            </w:rPr>
          </w:pPr>
          <w:bookmarkStart w:id="3" w:name="_Toc171687108"/>
          <w:r w:rsidRPr="005B4DD7">
            <w:rPr>
              <w:rFonts w:cs="Times New Roman"/>
              <w:szCs w:val="24"/>
            </w:rPr>
            <w:t>Comprehensive conclusion evaluating the current position of Tesla</w:t>
          </w:r>
          <w:bookmarkEnd w:id="3"/>
        </w:p>
        <w:p w14:paraId="4A062B00" w14:textId="7877B232" w:rsidR="007A1E39" w:rsidRPr="005B4DD7" w:rsidRDefault="006373C0" w:rsidP="005B4DD7">
          <w:pPr>
            <w:rPr>
              <w:rFonts w:cs="Times New Roman"/>
              <w:szCs w:val="24"/>
            </w:rPr>
          </w:pPr>
          <w:r w:rsidRPr="005B4DD7">
            <w:rPr>
              <w:rFonts w:cs="Times New Roman"/>
              <w:szCs w:val="24"/>
            </w:rPr>
            <w:t>A range of opportunities could be identified for the business organisation Tesla through the analysis of its business environment as well as competitive environment</w:t>
          </w:r>
          <w:r w:rsidR="00B73707">
            <w:rPr>
              <w:rFonts w:cs="Times New Roman"/>
              <w:szCs w:val="24"/>
            </w:rPr>
            <w:t xml:space="preserve"> (</w:t>
          </w:r>
          <w:r w:rsidR="00B73707" w:rsidRPr="00F249CB">
            <w:rPr>
              <w:rFonts w:cs="Times New Roman"/>
              <w:szCs w:val="24"/>
              <w:lang w:val="en-US"/>
            </w:rPr>
            <w:t>Han, 2021</w:t>
          </w:r>
          <w:r w:rsidR="00B73707">
            <w:rPr>
              <w:rFonts w:cs="Times New Roman"/>
              <w:szCs w:val="24"/>
            </w:rPr>
            <w:t>)</w:t>
          </w:r>
          <w:r w:rsidRPr="005B4DD7">
            <w:rPr>
              <w:rFonts w:cs="Times New Roman"/>
              <w:szCs w:val="24"/>
            </w:rPr>
            <w:t xml:space="preserve">. However, in the international market, the business organisation </w:t>
          </w:r>
          <w:r w:rsidR="00F249CB" w:rsidRPr="005B4DD7">
            <w:rPr>
              <w:rFonts w:cs="Times New Roman"/>
              <w:szCs w:val="24"/>
            </w:rPr>
            <w:t>must</w:t>
          </w:r>
          <w:r w:rsidRPr="005B4DD7">
            <w:rPr>
              <w:rFonts w:cs="Times New Roman"/>
              <w:szCs w:val="24"/>
            </w:rPr>
            <w:t xml:space="preserve"> deal with different challenges. </w:t>
          </w:r>
          <w:r w:rsidR="007A1E39" w:rsidRPr="005B4DD7">
            <w:rPr>
              <w:rFonts w:cs="Times New Roman"/>
              <w:szCs w:val="24"/>
            </w:rPr>
            <w:t xml:space="preserve">International economic fluctuations that are causing an influence on how much people can spend on purchasing cars are one of the main business challenges for Tesla. The increasing inflation in Asian countries as well as European countries such as the UK, which are reducing the consumer spending power, is yet another major challenge for the business organisation. Increase in the ageing population in Western societies and demand for electric and luxury cars only amongst youngsters is also a challenge. Apart from this, </w:t>
          </w:r>
          <w:r w:rsidR="00F249CB" w:rsidRPr="005B4DD7">
            <w:rPr>
              <w:rFonts w:cs="Times New Roman"/>
              <w:szCs w:val="24"/>
            </w:rPr>
            <w:t>highly</w:t>
          </w:r>
          <w:r w:rsidR="007A1E39" w:rsidRPr="005B4DD7">
            <w:rPr>
              <w:rFonts w:cs="Times New Roman"/>
              <w:szCs w:val="24"/>
            </w:rPr>
            <w:t xml:space="preserve"> competitive rivalry in the international automotive market, high threats from substitutes and high bargaining power amongst buyers also the challenges for this global business organisation. All future decisions or developments that are to be made in this business organisation need to be made in a manner such that all these challenges can be made dealt efficiently.</w:t>
          </w:r>
        </w:p>
        <w:p w14:paraId="69AC6EF2" w14:textId="3B39CB52" w:rsidR="007A1E39" w:rsidRPr="005B4DD7" w:rsidRDefault="007A1E39" w:rsidP="005B4DD7">
          <w:pPr>
            <w:rPr>
              <w:rFonts w:cs="Times New Roman"/>
              <w:szCs w:val="24"/>
            </w:rPr>
          </w:pPr>
          <w:r w:rsidRPr="005B4DD7">
            <w:rPr>
              <w:rFonts w:cs="Times New Roman"/>
              <w:szCs w:val="24"/>
            </w:rPr>
            <w:t xml:space="preserve">According to Besanko and Braeutigam (2020), microeconomics can be defined as the study of the choices made by businesses and individuals for responding to the changes occurring in prices, competition, incentives, production or resources. The microeconomic decisions made within a business organisation involve the decisions made regarding prices, competition, production, resources and others. The thinking of all the decisions made in this business organisation is made in a manner such that the organisation can move forward. In the context </w:t>
          </w:r>
          <w:r w:rsidRPr="005B4DD7">
            <w:rPr>
              <w:rFonts w:cs="Times New Roman"/>
              <w:szCs w:val="24"/>
            </w:rPr>
            <w:lastRenderedPageBreak/>
            <w:t>of Tesla, corporate governance is one of the key areas of focus. According to Tesla (2024</w:t>
          </w:r>
          <w:r w:rsidR="000C354E">
            <w:rPr>
              <w:rFonts w:cs="Times New Roman"/>
              <w:szCs w:val="24"/>
            </w:rPr>
            <w:t>a</w:t>
          </w:r>
          <w:r w:rsidRPr="005B4DD7">
            <w:rPr>
              <w:rFonts w:cs="Times New Roman"/>
              <w:szCs w:val="24"/>
            </w:rPr>
            <w:t>), there are high standards of corporate governance set out by the board of directors for its officers, directors and employees. This philosophy of the organisation is to ensure sound corporate governance. Strong corporate social responsibility (CSR) is also needed in the organisation (Carroll, 2021). In Tesla, the focus remains on the nature of the business organisation and its various products and services. The extensive CSR strategy decided in the organisation is to remain focused on the safety of consumers as well as employees while supporting a diverse work environment. It also involves providing support to a diverse work environment in addition to contributing to education.</w:t>
          </w:r>
        </w:p>
        <w:p w14:paraId="172932DA" w14:textId="66E25241" w:rsidR="007A1E39" w:rsidRPr="005B4DD7" w:rsidRDefault="007A1E39" w:rsidP="005B4DD7">
          <w:pPr>
            <w:rPr>
              <w:rFonts w:cs="Times New Roman"/>
              <w:szCs w:val="24"/>
            </w:rPr>
          </w:pPr>
          <w:r w:rsidRPr="005B4DD7">
            <w:rPr>
              <w:rFonts w:cs="Times New Roman"/>
              <w:szCs w:val="24"/>
            </w:rPr>
            <w:t xml:space="preserve">One of the primary microeconomic decisions that have been made in the organisation involves sourcing responsibly produced materials (Dominish, Florin and Wakefield-Rann, 2021). The decision of sourcing responsibly produced materials has helped Tesla to ensure future organisational developments such as making the organisation a responsible one. This has also made the organisation to ensure the production of energy-efficient cars. However, a microeconomic decision that Tesla has taken previously, which has helped the organisation in moving forward in the future is the acquisition of SolarCity in 2016 (Wang, 2024). The acquisition was </w:t>
          </w:r>
          <w:r w:rsidR="00F249CB" w:rsidRPr="005B4DD7">
            <w:rPr>
              <w:rFonts w:cs="Times New Roman"/>
              <w:szCs w:val="24"/>
            </w:rPr>
            <w:t>made,</w:t>
          </w:r>
          <w:r w:rsidRPr="005B4DD7">
            <w:rPr>
              <w:rFonts w:cs="Times New Roman"/>
              <w:szCs w:val="24"/>
            </w:rPr>
            <w:t xml:space="preserve"> and the two organisations were decided to be combined for the creation of the only vertically integrated sustainable energy organisation in the world. </w:t>
          </w:r>
        </w:p>
        <w:p w14:paraId="22908F1E" w14:textId="7A5E6FC2" w:rsidR="00EE3AE3" w:rsidRDefault="007A1E39" w:rsidP="005B4DD7">
          <w:pPr>
            <w:rPr>
              <w:rFonts w:cs="Times New Roman"/>
              <w:szCs w:val="24"/>
            </w:rPr>
          </w:pPr>
          <w:r w:rsidRPr="005B4DD7">
            <w:rPr>
              <w:rFonts w:cs="Times New Roman"/>
              <w:szCs w:val="24"/>
            </w:rPr>
            <w:t xml:space="preserve">This microeconomic decision in Tesla was made for ensuring cultural diversity in the organisation and establishing itself as an integrated sustainable energy organisation starting from storage to transportation (Tesla, 2016). The decision has </w:t>
          </w:r>
          <w:r w:rsidR="00AD2480" w:rsidRPr="005B4DD7">
            <w:rPr>
              <w:rFonts w:cs="Times New Roman"/>
              <w:szCs w:val="24"/>
            </w:rPr>
            <w:t>led</w:t>
          </w:r>
          <w:r w:rsidRPr="005B4DD7">
            <w:rPr>
              <w:rFonts w:cs="Times New Roman"/>
              <w:szCs w:val="24"/>
            </w:rPr>
            <w:t xml:space="preserve"> the organisation towards the ascertainment of future development. This is because the acquisition enabled the organisation in the generation of sustainable energy along with the storage for the sustainable energy for future use and transportation. The acquisition also led to increased cash flows in Tesla, which helped in the usage of technology to generate, store and transport sustainable energy in an integrated manner (Lu, 2020).</w:t>
          </w:r>
          <w:r w:rsidR="00EE3AE3">
            <w:rPr>
              <w:rFonts w:cs="Times New Roman"/>
              <w:szCs w:val="24"/>
            </w:rPr>
            <w:t xml:space="preserve"> </w:t>
          </w:r>
          <w:r w:rsidRPr="005B4DD7">
            <w:rPr>
              <w:rFonts w:cs="Times New Roman"/>
              <w:szCs w:val="24"/>
            </w:rPr>
            <w:t xml:space="preserve">Another major microeconomic decision that has been made within this business organisation in the previous years was undergoing global expansion and introducing Model Y (Khan, 2021). </w:t>
          </w:r>
        </w:p>
        <w:p w14:paraId="1ECF3509" w14:textId="77777777" w:rsidR="007A1E39" w:rsidRPr="005B4DD7" w:rsidRDefault="007A1E39" w:rsidP="005B4DD7">
          <w:pPr>
            <w:rPr>
              <w:rFonts w:cs="Times New Roman"/>
              <w:szCs w:val="24"/>
            </w:rPr>
          </w:pPr>
          <w:r w:rsidRPr="005B4DD7">
            <w:rPr>
              <w:rFonts w:cs="Times New Roman"/>
              <w:szCs w:val="24"/>
            </w:rPr>
            <w:t xml:space="preserve">During the period between 2019 and 2020, Tesla made huge investments to ensure the expansion of its production capacity. This helped the business organisation in terms of starting three new Gigafactories located at Shanghai, Texas and Berlin. These Gigafactories of the business organisation enabled the organisation in the creation of three highest volume plants </w:t>
          </w:r>
          <w:r w:rsidRPr="005B4DD7">
            <w:rPr>
              <w:rFonts w:cs="Times New Roman"/>
              <w:szCs w:val="24"/>
            </w:rPr>
            <w:lastRenderedPageBreak/>
            <w:t>for energy storage products, electric motors along with batteries and vehicle powertrains (Cooke, 2020). This microeconomic decision of Tesla enabled it to develop its future. All these decisions made previously at Tesla is going to be helpful in making decisions regarding taking up potential new ways of moving forward in the future. This is because strong corporate governance and corporate social responsibility has helped it in the development of a good reputation in the market. Similarly, the acquisition of SolarCity has helps it to generate, store and transport sustainable energy in an integrated manner (Olesia and Zhou, 2023). Moreover, the Gigafactories help it to manufacture in huge volumes. All this is going to help the organisation in moving forward in the future.</w:t>
          </w:r>
        </w:p>
        <w:p w14:paraId="0E326A85" w14:textId="77777777" w:rsidR="007A1E39" w:rsidRPr="005B4DD7" w:rsidRDefault="007A1E39" w:rsidP="005B4DD7">
          <w:pPr>
            <w:pStyle w:val="Heading2"/>
            <w:rPr>
              <w:rFonts w:cs="Times New Roman"/>
              <w:szCs w:val="24"/>
            </w:rPr>
          </w:pPr>
          <w:bookmarkStart w:id="4" w:name="_Toc171687109"/>
          <w:r w:rsidRPr="005B4DD7">
            <w:rPr>
              <w:rFonts w:cs="Times New Roman"/>
              <w:szCs w:val="24"/>
            </w:rPr>
            <w:t>Final recommendations for the way forward of the organisation</w:t>
          </w:r>
          <w:bookmarkEnd w:id="4"/>
        </w:p>
        <w:p w14:paraId="3F2D3866" w14:textId="77777777" w:rsidR="007A1E39" w:rsidRPr="005B4DD7" w:rsidRDefault="007A1E39" w:rsidP="005B4DD7">
          <w:pPr>
            <w:rPr>
              <w:rFonts w:cs="Times New Roman"/>
              <w:szCs w:val="24"/>
            </w:rPr>
          </w:pPr>
          <w:r w:rsidRPr="005B4DD7">
            <w:rPr>
              <w:rFonts w:cs="Times New Roman"/>
              <w:szCs w:val="24"/>
            </w:rPr>
            <w:t>Depending on the findings of the global business challenges of Tesla, it can be stated that there are several areas on which the business organisation needs to work for moving it forward. The following are the key recommendations provided for the organisation for its way forward –</w:t>
          </w:r>
        </w:p>
        <w:p w14:paraId="44D970DA" w14:textId="1FE6629A" w:rsidR="007A1E39" w:rsidRPr="005B4DD7" w:rsidRDefault="007A1E39" w:rsidP="005B4DD7">
          <w:pPr>
            <w:pStyle w:val="ListParagraph"/>
            <w:numPr>
              <w:ilvl w:val="0"/>
              <w:numId w:val="3"/>
            </w:numPr>
            <w:rPr>
              <w:szCs w:val="24"/>
            </w:rPr>
          </w:pPr>
          <w:r w:rsidRPr="005B4DD7">
            <w:rPr>
              <w:szCs w:val="24"/>
            </w:rPr>
            <w:t xml:space="preserve">The first recommendation for Tesla is to increase the affordability of its offerings. All its revolutionary electric cars must be </w:t>
          </w:r>
          <w:r w:rsidR="00F249CB" w:rsidRPr="005B4DD7">
            <w:rPr>
              <w:szCs w:val="24"/>
            </w:rPr>
            <w:t>increased,</w:t>
          </w:r>
          <w:r w:rsidRPr="005B4DD7">
            <w:rPr>
              <w:szCs w:val="24"/>
            </w:rPr>
            <w:t xml:space="preserve"> and a new affordable range of these cars must be introduced</w:t>
          </w:r>
          <w:r w:rsidR="00EF09E7">
            <w:rPr>
              <w:szCs w:val="24"/>
            </w:rPr>
            <w:t xml:space="preserve"> (</w:t>
          </w:r>
          <w:r w:rsidR="00EF09E7" w:rsidRPr="00F249CB">
            <w:rPr>
              <w:szCs w:val="24"/>
            </w:rPr>
            <w:t>Khan, 2024</w:t>
          </w:r>
          <w:r w:rsidR="00EF09E7">
            <w:rPr>
              <w:szCs w:val="24"/>
            </w:rPr>
            <w:t>)</w:t>
          </w:r>
          <w:r w:rsidRPr="005B4DD7">
            <w:rPr>
              <w:szCs w:val="24"/>
            </w:rPr>
            <w:t>. This is going to enable all class of car users to access and purchase the vehicles of the organisation, thereby improving its sales figure. The increase in the sales of the organisation is in turn going to lead it towards securing a higher amount of profit.</w:t>
          </w:r>
        </w:p>
        <w:p w14:paraId="7DE0FF01" w14:textId="77777777" w:rsidR="00917B99" w:rsidRDefault="007A1E39" w:rsidP="00CE1FAB">
          <w:pPr>
            <w:pStyle w:val="ListParagraph"/>
            <w:numPr>
              <w:ilvl w:val="0"/>
              <w:numId w:val="3"/>
            </w:numPr>
            <w:rPr>
              <w:szCs w:val="24"/>
            </w:rPr>
          </w:pPr>
          <w:r w:rsidRPr="005B4DD7">
            <w:rPr>
              <w:szCs w:val="24"/>
            </w:rPr>
            <w:t>Technological advancements are also recommended to this business organisation. For example, new battery production technology must be adopted in Tesla</w:t>
          </w:r>
          <w:r w:rsidR="00EF09E7">
            <w:rPr>
              <w:szCs w:val="24"/>
            </w:rPr>
            <w:t xml:space="preserve"> (</w:t>
          </w:r>
          <w:r w:rsidR="00EF09E7" w:rsidRPr="00F249CB">
            <w:rPr>
              <w:szCs w:val="24"/>
              <w:lang w:val="en-US"/>
            </w:rPr>
            <w:t>Liu, 2021</w:t>
          </w:r>
          <w:r w:rsidR="00EF09E7">
            <w:rPr>
              <w:szCs w:val="24"/>
            </w:rPr>
            <w:t>)</w:t>
          </w:r>
          <w:r w:rsidRPr="005B4DD7">
            <w:rPr>
              <w:szCs w:val="24"/>
            </w:rPr>
            <w:t>. Such technologies can turn out being a game changer for the organisation, thereby reducing its production costs. Thus, in-house battery production and such technologies can also be advantageous for the organisation.</w:t>
          </w:r>
        </w:p>
        <w:p w14:paraId="6550AE53" w14:textId="3B9929AF" w:rsidR="005B4DD7" w:rsidRPr="00917B99" w:rsidRDefault="007A1E39" w:rsidP="00917B99">
          <w:pPr>
            <w:rPr>
              <w:szCs w:val="24"/>
            </w:rPr>
          </w:pPr>
          <w:r w:rsidRPr="00917B99">
            <w:rPr>
              <w:szCs w:val="24"/>
            </w:rPr>
            <w:t>Tesla is recommended on the exploitation of its opportunity of adopting autonomous technology. The adoption of this autonomous technology is essential since there is an increasing level of driving algorithms</w:t>
          </w:r>
          <w:r w:rsidR="00CE1FAB" w:rsidRPr="00917B99">
            <w:rPr>
              <w:szCs w:val="24"/>
            </w:rPr>
            <w:t xml:space="preserve"> (Bachute and Subhedar, 2021)</w:t>
          </w:r>
          <w:r w:rsidRPr="00917B99">
            <w:rPr>
              <w:szCs w:val="24"/>
            </w:rPr>
            <w:t>. Moreover, autonomous technology can be helpful in increasing the opportunities and enthusiasm of the organisation, thereby boosting its productivity and efficiency.</w:t>
          </w:r>
          <w:r w:rsidR="005B4DD7" w:rsidRPr="00917B99">
            <w:rPr>
              <w:szCs w:val="24"/>
            </w:rPr>
            <w:br w:type="page"/>
          </w:r>
        </w:p>
        <w:p w14:paraId="633C8EE6" w14:textId="77777777" w:rsidR="00AA2A91" w:rsidRDefault="00AA2A91" w:rsidP="005B4DD7">
          <w:pPr>
            <w:pStyle w:val="Heading1"/>
            <w:rPr>
              <w:rFonts w:cs="Times New Roman"/>
              <w:szCs w:val="24"/>
            </w:rPr>
          </w:pPr>
          <w:bookmarkStart w:id="5" w:name="_Toc171687110"/>
          <w:r w:rsidRPr="005B4DD7">
            <w:rPr>
              <w:rFonts w:cs="Times New Roman"/>
              <w:szCs w:val="24"/>
            </w:rPr>
            <w:lastRenderedPageBreak/>
            <w:t>Conclusio</w:t>
          </w:r>
          <w:r w:rsidR="007A1E39" w:rsidRPr="005B4DD7">
            <w:rPr>
              <w:rFonts w:cs="Times New Roman"/>
              <w:szCs w:val="24"/>
            </w:rPr>
            <w:t>n</w:t>
          </w:r>
          <w:bookmarkEnd w:id="5"/>
        </w:p>
        <w:p w14:paraId="336154D1" w14:textId="77777777" w:rsidR="00F226BB" w:rsidRPr="00F226BB" w:rsidRDefault="00F226BB" w:rsidP="00F226BB"/>
        <w:p w14:paraId="25430B36" w14:textId="31DA71B9" w:rsidR="007A1E39" w:rsidRPr="005B4DD7" w:rsidRDefault="007A1E39" w:rsidP="00CE1FAB">
          <w:pPr>
            <w:rPr>
              <w:rFonts w:cs="Times New Roman"/>
              <w:szCs w:val="24"/>
            </w:rPr>
          </w:pPr>
          <w:r w:rsidRPr="005B4DD7">
            <w:rPr>
              <w:rFonts w:cs="Times New Roman"/>
              <w:szCs w:val="24"/>
            </w:rPr>
            <w:t xml:space="preserve">Therefore, from all the discussions that has been made within this study, it can be determined that in globally operating business organisations, there is a range of challenges encountered. The different sorts of effects that are encountered in a business organisation due to its competitive as well as business environment could be identified as well. PESTLE, Porter’s </w:t>
          </w:r>
          <w:r w:rsidR="0081558E">
            <w:rPr>
              <w:rFonts w:cs="Times New Roman"/>
              <w:szCs w:val="24"/>
            </w:rPr>
            <w:t>F</w:t>
          </w:r>
          <w:r w:rsidRPr="005B4DD7">
            <w:rPr>
              <w:rFonts w:cs="Times New Roman"/>
              <w:szCs w:val="24"/>
            </w:rPr>
            <w:t xml:space="preserve">ive </w:t>
          </w:r>
          <w:r w:rsidR="0081558E">
            <w:rPr>
              <w:rFonts w:cs="Times New Roman"/>
              <w:szCs w:val="24"/>
            </w:rPr>
            <w:t>F</w:t>
          </w:r>
          <w:r w:rsidRPr="005B4DD7">
            <w:rPr>
              <w:rFonts w:cs="Times New Roman"/>
              <w:szCs w:val="24"/>
            </w:rPr>
            <w:t>orces and SWOT could be recognised as the three main tools or frameworks, which are helpful for a business organisation in terms of identifying and analysing its competitive as well as business environment</w:t>
          </w:r>
          <w:r w:rsidR="00CE1FAB">
            <w:rPr>
              <w:rFonts w:cs="Times New Roman"/>
              <w:szCs w:val="24"/>
            </w:rPr>
            <w:t xml:space="preserve"> </w:t>
          </w:r>
          <w:r w:rsidR="00CE1FAB" w:rsidRPr="00F249CB">
            <w:rPr>
              <w:rFonts w:cs="Times New Roman"/>
              <w:szCs w:val="24"/>
            </w:rPr>
            <w:t>(Putera and Heikal, 2021)</w:t>
          </w:r>
          <w:r w:rsidRPr="00F249CB">
            <w:rPr>
              <w:rFonts w:cs="Times New Roman"/>
              <w:szCs w:val="24"/>
            </w:rPr>
            <w:t xml:space="preserve">. </w:t>
          </w:r>
          <w:r w:rsidRPr="005B4DD7">
            <w:rPr>
              <w:rFonts w:cs="Times New Roman"/>
              <w:szCs w:val="24"/>
            </w:rPr>
            <w:t xml:space="preserve">The findings of the PESTLE framework </w:t>
          </w:r>
          <w:r w:rsidR="00F249CB" w:rsidRPr="005B4DD7">
            <w:rPr>
              <w:rFonts w:cs="Times New Roman"/>
              <w:szCs w:val="24"/>
            </w:rPr>
            <w:t>help</w:t>
          </w:r>
          <w:r w:rsidRPr="005B4DD7">
            <w:rPr>
              <w:rFonts w:cs="Times New Roman"/>
              <w:szCs w:val="24"/>
            </w:rPr>
            <w:t xml:space="preserve"> in determining that political factors, technological factors and ecological factors do not have any negative effects on Tesla.</w:t>
          </w:r>
        </w:p>
        <w:p w14:paraId="1811E18C" w14:textId="786444E3" w:rsidR="007A1E39" w:rsidRPr="005B4DD7" w:rsidRDefault="00012152" w:rsidP="00CE1FAB">
          <w:pPr>
            <w:rPr>
              <w:rFonts w:cs="Times New Roman"/>
              <w:szCs w:val="24"/>
            </w:rPr>
          </w:pPr>
          <w:r>
            <w:rPr>
              <w:rFonts w:cs="Times New Roman"/>
              <w:szCs w:val="24"/>
            </w:rPr>
            <w:t>At the same time</w:t>
          </w:r>
          <w:r w:rsidR="007A1E39" w:rsidRPr="005B4DD7">
            <w:rPr>
              <w:rFonts w:cs="Times New Roman"/>
              <w:szCs w:val="24"/>
            </w:rPr>
            <w:t xml:space="preserve">, the application of the framework assisted in determining that economic factors, social factors and legal factors are likely to have negative effects on the business organisation. These factors create challenges for Tesla. The findings from the application of Porter’s </w:t>
          </w:r>
          <w:r w:rsidR="009537A1">
            <w:rPr>
              <w:rFonts w:cs="Times New Roman"/>
              <w:szCs w:val="24"/>
            </w:rPr>
            <w:t>F</w:t>
          </w:r>
          <w:r w:rsidR="007A1E39" w:rsidRPr="005B4DD7">
            <w:rPr>
              <w:rFonts w:cs="Times New Roman"/>
              <w:szCs w:val="24"/>
            </w:rPr>
            <w:t xml:space="preserve">ive </w:t>
          </w:r>
          <w:r w:rsidR="009537A1">
            <w:rPr>
              <w:rFonts w:cs="Times New Roman"/>
              <w:szCs w:val="24"/>
            </w:rPr>
            <w:t>F</w:t>
          </w:r>
          <w:r w:rsidR="007A1E39" w:rsidRPr="005B4DD7">
            <w:rPr>
              <w:rFonts w:cs="Times New Roman"/>
              <w:szCs w:val="24"/>
            </w:rPr>
            <w:t>orces assisted in identifying that any new market entrant and suppliers are not a challenge for this business organisation. However, existing competitors are a major challenge. Apart from this, substitute products and bargaining power of buyers are major challenges as well. Audi, BMW, Mercedes, Toyota, Lexus, Volvo, General Motors and Ford could be identified as the main competitors of Tesla</w:t>
          </w:r>
          <w:r w:rsidR="00CE1FAB">
            <w:rPr>
              <w:rFonts w:cs="Times New Roman"/>
              <w:szCs w:val="24"/>
            </w:rPr>
            <w:t xml:space="preserve"> </w:t>
          </w:r>
          <w:r w:rsidR="00CE1FAB" w:rsidRPr="00F249CB">
            <w:rPr>
              <w:rFonts w:cs="Times New Roman"/>
              <w:szCs w:val="24"/>
            </w:rPr>
            <w:t>(Gustafsson and Holster Krantz, 2022)</w:t>
          </w:r>
          <w:r w:rsidR="007A1E39" w:rsidRPr="00F249CB">
            <w:rPr>
              <w:rFonts w:cs="Times New Roman"/>
              <w:szCs w:val="24"/>
            </w:rPr>
            <w:t>.</w:t>
          </w:r>
        </w:p>
        <w:p w14:paraId="010683EA" w14:textId="644EA657" w:rsidR="00B026D2" w:rsidRPr="00F249CB" w:rsidRDefault="007A1E39" w:rsidP="00BB3248">
          <w:pPr>
            <w:rPr>
              <w:rFonts w:cs="Times New Roman"/>
              <w:szCs w:val="24"/>
            </w:rPr>
          </w:pPr>
          <w:r w:rsidRPr="005B4DD7">
            <w:rPr>
              <w:rFonts w:cs="Times New Roman"/>
              <w:szCs w:val="24"/>
            </w:rPr>
            <w:t xml:space="preserve">On the other hand, the findings of SWOT assisted in determining that the strengths of Tesla along with its opportunities are several. At the same time, other than strengths and opportunities, there are diverse weaknesses and threats of this business organisation as well. </w:t>
          </w:r>
          <w:r w:rsidR="007B1090" w:rsidRPr="00F249CB">
            <w:rPr>
              <w:rFonts w:cs="Times New Roman"/>
              <w:szCs w:val="24"/>
            </w:rPr>
            <w:t>Being one of the top employers in the US that has great diversity and inclusion and having high market capitalisation is one of the main strengths of the organisation. However, the financial uncertainty existing within the organisation and the premium pricing strategy that it follows is one of the main weaknesses of Tesla. The opportunities of the organisation involve the mission of expansion of affordable electric vehicles as well as technology in addition to the capitalisation on technological advancements.</w:t>
          </w:r>
          <w:r w:rsidR="00B026D2" w:rsidRPr="00F249CB">
            <w:rPr>
              <w:rFonts w:cs="Times New Roman"/>
              <w:szCs w:val="24"/>
            </w:rPr>
            <w:t xml:space="preserve"> </w:t>
          </w:r>
          <w:r w:rsidR="00F249CB" w:rsidRPr="00F249CB">
            <w:rPr>
              <w:rFonts w:cs="Times New Roman"/>
              <w:szCs w:val="24"/>
            </w:rPr>
            <w:t>Highly</w:t>
          </w:r>
          <w:r w:rsidR="00B026D2" w:rsidRPr="00F249CB">
            <w:rPr>
              <w:rFonts w:cs="Times New Roman"/>
              <w:szCs w:val="24"/>
            </w:rPr>
            <w:t xml:space="preserve"> competitive rivalry in the market along with increasing levels of price volatility and market availability are the few main major threats for the organisation.</w:t>
          </w:r>
          <w:r w:rsidR="007B1090" w:rsidRPr="00F249CB">
            <w:rPr>
              <w:rFonts w:cs="Times New Roman"/>
              <w:szCs w:val="24"/>
            </w:rPr>
            <w:t xml:space="preserve"> </w:t>
          </w:r>
        </w:p>
        <w:p w14:paraId="29728FD5" w14:textId="77777777" w:rsidR="00EB3267" w:rsidRDefault="007B1090" w:rsidP="00DB550A">
          <w:pPr>
            <w:rPr>
              <w:rFonts w:cs="Times New Roman"/>
              <w:szCs w:val="24"/>
            </w:rPr>
          </w:pPr>
          <w:r w:rsidRPr="00F249CB">
            <w:rPr>
              <w:rFonts w:cs="Times New Roman"/>
              <w:szCs w:val="24"/>
            </w:rPr>
            <w:t>Conversely</w:t>
          </w:r>
          <w:r w:rsidR="007A1E39" w:rsidRPr="005B4DD7">
            <w:rPr>
              <w:rFonts w:cs="Times New Roman"/>
              <w:szCs w:val="24"/>
            </w:rPr>
            <w:t xml:space="preserve">, the microeconomic decisions that are made within the business organisation have been helpful for it in terms of ensuring future development. A range of such decisions such as </w:t>
          </w:r>
          <w:r w:rsidR="007A1E39" w:rsidRPr="005B4DD7">
            <w:rPr>
              <w:rFonts w:cs="Times New Roman"/>
              <w:szCs w:val="24"/>
            </w:rPr>
            <w:lastRenderedPageBreak/>
            <w:t>starting three new Gigafactories located at Shanghai, Texas and Berlin and their benefits could be determined</w:t>
          </w:r>
          <w:r w:rsidR="00BB3248">
            <w:rPr>
              <w:rFonts w:cs="Times New Roman"/>
              <w:szCs w:val="24"/>
            </w:rPr>
            <w:t xml:space="preserve"> </w:t>
          </w:r>
          <w:r w:rsidR="00BB3248" w:rsidRPr="00F249CB">
            <w:rPr>
              <w:rFonts w:cs="Times New Roman"/>
              <w:szCs w:val="24"/>
            </w:rPr>
            <w:t>(Naor, Coman and Wiznizer, 2021)</w:t>
          </w:r>
          <w:r w:rsidR="007A1E39" w:rsidRPr="00F249CB">
            <w:rPr>
              <w:rFonts w:cs="Times New Roman"/>
              <w:szCs w:val="24"/>
            </w:rPr>
            <w:t xml:space="preserve">. </w:t>
          </w:r>
          <w:r w:rsidR="007A1E39" w:rsidRPr="005B4DD7">
            <w:rPr>
              <w:rFonts w:cs="Times New Roman"/>
              <w:szCs w:val="24"/>
            </w:rPr>
            <w:t>Increase the affordability of its offerings and technological advancements are the two recommendations provided for the organisation to improve and grow itself and deal with its global challenges. Global challenges can also be dealt in this organisation through the exploitation of its opportunity of adopting autonomous technology.</w:t>
          </w:r>
          <w:r w:rsidR="00DB550A">
            <w:rPr>
              <w:rFonts w:cs="Times New Roman"/>
              <w:szCs w:val="24"/>
            </w:rPr>
            <w:t xml:space="preserve"> </w:t>
          </w:r>
          <w:r w:rsidR="00DB550A" w:rsidRPr="00F249CB">
            <w:rPr>
              <w:rFonts w:cs="Times New Roman"/>
              <w:szCs w:val="24"/>
            </w:rPr>
            <w:t xml:space="preserve">Both these recommendations provided for the organisation is going to enable Tesla in terms of the improvement of its sales figure as well as the reduction of its production costs. Hence, by following these recommendations, </w:t>
          </w:r>
          <w:r w:rsidR="008C121A" w:rsidRPr="00F249CB">
            <w:rPr>
              <w:rFonts w:cs="Times New Roman"/>
              <w:szCs w:val="24"/>
            </w:rPr>
            <w:t>the organisation can secure a much better performance and position in the future.</w:t>
          </w:r>
        </w:p>
        <w:p w14:paraId="6C0B5152" w14:textId="77777777" w:rsidR="00EB3267" w:rsidRDefault="00EB3267" w:rsidP="00DB550A">
          <w:pPr>
            <w:rPr>
              <w:rFonts w:cs="Times New Roman"/>
              <w:szCs w:val="24"/>
            </w:rPr>
          </w:pPr>
        </w:p>
        <w:p w14:paraId="4EF70D57" w14:textId="77777777" w:rsidR="00EB3267" w:rsidRPr="00EB3267" w:rsidRDefault="00EB3267" w:rsidP="00DB550A">
          <w:pPr>
            <w:rPr>
              <w:rFonts w:cs="Times New Roman"/>
              <w:b/>
              <w:bCs/>
              <w:szCs w:val="24"/>
            </w:rPr>
          </w:pPr>
        </w:p>
        <w:p w14:paraId="71FF697E" w14:textId="5F3803CC" w:rsidR="00B026D2" w:rsidRPr="00DB550A" w:rsidRDefault="00EB3267" w:rsidP="00DB550A">
          <w:pPr>
            <w:rPr>
              <w:rFonts w:cs="Times New Roman"/>
              <w:szCs w:val="24"/>
            </w:rPr>
          </w:pPr>
          <w:r w:rsidRPr="00EB3267">
            <w:rPr>
              <w:rFonts w:cs="Times New Roman"/>
              <w:b/>
              <w:bCs/>
              <w:szCs w:val="24"/>
            </w:rPr>
            <w:t>Word count:</w:t>
          </w:r>
          <w:r>
            <w:rPr>
              <w:rFonts w:cs="Times New Roman"/>
              <w:szCs w:val="24"/>
            </w:rPr>
            <w:t xml:space="preserve"> </w:t>
          </w:r>
          <w:r w:rsidR="000F460A">
            <w:rPr>
              <w:rFonts w:cs="Times New Roman"/>
              <w:szCs w:val="24"/>
            </w:rPr>
            <w:t>5.121</w:t>
          </w:r>
          <w:r w:rsidR="00B026D2">
            <w:rPr>
              <w:rFonts w:cs="Times New Roman"/>
              <w:szCs w:val="24"/>
            </w:rPr>
            <w:br w:type="page"/>
          </w:r>
        </w:p>
        <w:p w14:paraId="6E7EFD89" w14:textId="77777777" w:rsidR="00AA2A91" w:rsidRDefault="00AA2A91" w:rsidP="005B4DD7">
          <w:pPr>
            <w:pStyle w:val="Heading1"/>
            <w:rPr>
              <w:rFonts w:cs="Times New Roman"/>
              <w:szCs w:val="24"/>
            </w:rPr>
          </w:pPr>
          <w:bookmarkStart w:id="6" w:name="_Toc171687111"/>
          <w:r w:rsidRPr="005B4DD7">
            <w:rPr>
              <w:rFonts w:cs="Times New Roman"/>
              <w:szCs w:val="24"/>
            </w:rPr>
            <w:lastRenderedPageBreak/>
            <w:t>Bibliography</w:t>
          </w:r>
          <w:bookmarkEnd w:id="6"/>
        </w:p>
        <w:p w14:paraId="7CE3B644" w14:textId="77777777" w:rsidR="00F249CB" w:rsidRPr="00F249CB" w:rsidRDefault="00F249CB" w:rsidP="00F249CB"/>
        <w:p w14:paraId="18D15267" w14:textId="77777777" w:rsidR="007A1E39" w:rsidRPr="005B4DD7" w:rsidRDefault="007A1E39" w:rsidP="005B4DD7">
          <w:pPr>
            <w:rPr>
              <w:rFonts w:cs="Times New Roman"/>
              <w:szCs w:val="24"/>
            </w:rPr>
          </w:pPr>
          <w:r w:rsidRPr="005B4DD7">
            <w:rPr>
              <w:rFonts w:cs="Times New Roman"/>
              <w:szCs w:val="24"/>
            </w:rPr>
            <w:t>Agnello, L., Castro, V., Hammoudeh, S. and Sousa, R.M. (2020) Global factors, uncertainty, weather conditions and energy prices: On the drivers of the duration of commodity price cycle phases. </w:t>
          </w:r>
          <w:r w:rsidRPr="005B4DD7">
            <w:rPr>
              <w:rFonts w:cs="Times New Roman"/>
              <w:i/>
              <w:iCs/>
              <w:szCs w:val="24"/>
            </w:rPr>
            <w:t>Energy economics</w:t>
          </w:r>
          <w:r w:rsidRPr="005B4DD7">
            <w:rPr>
              <w:rFonts w:cs="Times New Roman"/>
              <w:szCs w:val="24"/>
            </w:rPr>
            <w:t>, </w:t>
          </w:r>
          <w:r w:rsidRPr="005B4DD7">
            <w:rPr>
              <w:rFonts w:cs="Times New Roman"/>
              <w:i/>
              <w:iCs/>
              <w:szCs w:val="24"/>
            </w:rPr>
            <w:t>90</w:t>
          </w:r>
          <w:r w:rsidRPr="005B4DD7">
            <w:rPr>
              <w:rFonts w:cs="Times New Roman"/>
              <w:szCs w:val="24"/>
            </w:rPr>
            <w:t>, p.104862.</w:t>
          </w:r>
        </w:p>
        <w:p w14:paraId="315306F8" w14:textId="55468D05" w:rsidR="007A1E39" w:rsidRPr="005B4DD7" w:rsidRDefault="007A1E39" w:rsidP="005B4DD7">
          <w:pPr>
            <w:rPr>
              <w:rFonts w:cs="Times New Roman"/>
              <w:szCs w:val="24"/>
            </w:rPr>
          </w:pPr>
          <w:r w:rsidRPr="005B4DD7">
            <w:rPr>
              <w:rFonts w:cs="Times New Roman"/>
              <w:szCs w:val="24"/>
            </w:rPr>
            <w:t>Ali, B.J. and Anwar, G. (2021) Marketing Strategy: Pricing strategies and its influence on consumer purchasing decision. </w:t>
          </w:r>
          <w:r w:rsidRPr="005B4DD7">
            <w:rPr>
              <w:rFonts w:cs="Times New Roman"/>
              <w:i/>
              <w:iCs/>
              <w:szCs w:val="24"/>
            </w:rPr>
            <w:t xml:space="preserve">Ali, BJ, &amp; Anwar, </w:t>
          </w:r>
          <w:r w:rsidR="00F249CB" w:rsidRPr="005B4DD7">
            <w:rPr>
              <w:rFonts w:cs="Times New Roman"/>
              <w:i/>
              <w:iCs/>
              <w:szCs w:val="24"/>
            </w:rPr>
            <w:t>G. (</w:t>
          </w:r>
          <w:r w:rsidRPr="005B4DD7">
            <w:rPr>
              <w:rFonts w:cs="Times New Roman"/>
              <w:i/>
              <w:iCs/>
              <w:szCs w:val="24"/>
            </w:rPr>
            <w:t>2021). Marketing Strategy: Pricing strategies and its influence on consumer purchasing decision. International journal of Rural Development, Environment and Health Research</w:t>
          </w:r>
          <w:r w:rsidRPr="005B4DD7">
            <w:rPr>
              <w:rFonts w:cs="Times New Roman"/>
              <w:szCs w:val="24"/>
            </w:rPr>
            <w:t>, </w:t>
          </w:r>
          <w:r w:rsidRPr="005B4DD7">
            <w:rPr>
              <w:rFonts w:cs="Times New Roman"/>
              <w:i/>
              <w:iCs/>
              <w:szCs w:val="24"/>
            </w:rPr>
            <w:t>5</w:t>
          </w:r>
          <w:r w:rsidRPr="005B4DD7">
            <w:rPr>
              <w:rFonts w:cs="Times New Roman"/>
              <w:szCs w:val="24"/>
            </w:rPr>
            <w:t>(2), pp.26-39.</w:t>
          </w:r>
        </w:p>
        <w:p w14:paraId="593F31DB" w14:textId="77777777" w:rsidR="007A1E39" w:rsidRPr="005B4DD7" w:rsidRDefault="007A1E39" w:rsidP="005B4DD7">
          <w:pPr>
            <w:rPr>
              <w:rFonts w:cs="Times New Roman"/>
              <w:szCs w:val="24"/>
            </w:rPr>
          </w:pPr>
          <w:r w:rsidRPr="005B4DD7">
            <w:rPr>
              <w:rFonts w:cs="Times New Roman"/>
              <w:szCs w:val="24"/>
            </w:rPr>
            <w:t>Anastasiu, L., Gavriş, O. and Maier, D. (2020) Is human capital ready for change? A strategic approach adapting Porter’s five forces to human resources. </w:t>
          </w:r>
          <w:r w:rsidRPr="005B4DD7">
            <w:rPr>
              <w:rFonts w:cs="Times New Roman"/>
              <w:i/>
              <w:iCs/>
              <w:szCs w:val="24"/>
            </w:rPr>
            <w:t>Sustainability</w:t>
          </w:r>
          <w:r w:rsidRPr="005B4DD7">
            <w:rPr>
              <w:rFonts w:cs="Times New Roman"/>
              <w:szCs w:val="24"/>
            </w:rPr>
            <w:t>, </w:t>
          </w:r>
          <w:r w:rsidRPr="005B4DD7">
            <w:rPr>
              <w:rFonts w:cs="Times New Roman"/>
              <w:i/>
              <w:iCs/>
              <w:szCs w:val="24"/>
            </w:rPr>
            <w:t>12</w:t>
          </w:r>
          <w:r w:rsidRPr="005B4DD7">
            <w:rPr>
              <w:rFonts w:cs="Times New Roman"/>
              <w:szCs w:val="24"/>
            </w:rPr>
            <w:t>(6), p.2300.</w:t>
          </w:r>
        </w:p>
        <w:p w14:paraId="68688FA0" w14:textId="77777777" w:rsidR="007A1E39" w:rsidRDefault="007A1E39" w:rsidP="005B4DD7">
          <w:pPr>
            <w:rPr>
              <w:rFonts w:cs="Times New Roman"/>
              <w:szCs w:val="24"/>
            </w:rPr>
          </w:pPr>
          <w:r w:rsidRPr="005B4DD7">
            <w:rPr>
              <w:rFonts w:cs="Times New Roman"/>
              <w:szCs w:val="24"/>
            </w:rPr>
            <w:t>Appiah, M.K., Sedegah, D.D. and Akolaa, R.A. (2021) The implications of macroenvironmental forces and SMEs investment behaviour in the energy sector: the role of supply chain resilience. </w:t>
          </w:r>
          <w:r w:rsidRPr="005B4DD7">
            <w:rPr>
              <w:rFonts w:cs="Times New Roman"/>
              <w:i/>
              <w:iCs/>
              <w:szCs w:val="24"/>
            </w:rPr>
            <w:t>Heliyon</w:t>
          </w:r>
          <w:r w:rsidRPr="005B4DD7">
            <w:rPr>
              <w:rFonts w:cs="Times New Roman"/>
              <w:szCs w:val="24"/>
            </w:rPr>
            <w:t>, </w:t>
          </w:r>
          <w:r w:rsidRPr="005B4DD7">
            <w:rPr>
              <w:rFonts w:cs="Times New Roman"/>
              <w:i/>
              <w:iCs/>
              <w:szCs w:val="24"/>
            </w:rPr>
            <w:t>7</w:t>
          </w:r>
          <w:r w:rsidRPr="005B4DD7">
            <w:rPr>
              <w:rFonts w:cs="Times New Roman"/>
              <w:szCs w:val="24"/>
            </w:rPr>
            <w:t>(11).</w:t>
          </w:r>
        </w:p>
        <w:p w14:paraId="0E5ACAA4" w14:textId="77777777" w:rsidR="00E22A62" w:rsidRPr="00F249CB" w:rsidRDefault="00E22A62" w:rsidP="005B4DD7">
          <w:pPr>
            <w:rPr>
              <w:szCs w:val="24"/>
            </w:rPr>
          </w:pPr>
          <w:r w:rsidRPr="00F249CB">
            <w:rPr>
              <w:szCs w:val="24"/>
              <w:shd w:val="clear" w:color="auto" w:fill="FFFFFF"/>
            </w:rPr>
            <w:t>Bachute, M.R. and Subhedar, J.M. (2021) Autonomous driving architectures: insights of machine learning and deep learning algorithms. </w:t>
          </w:r>
          <w:r w:rsidRPr="00F249CB">
            <w:rPr>
              <w:i/>
              <w:iCs/>
              <w:szCs w:val="24"/>
              <w:shd w:val="clear" w:color="auto" w:fill="FFFFFF"/>
            </w:rPr>
            <w:t>Machine Learning with Applications</w:t>
          </w:r>
          <w:r w:rsidRPr="00F249CB">
            <w:rPr>
              <w:szCs w:val="24"/>
              <w:shd w:val="clear" w:color="auto" w:fill="FFFFFF"/>
            </w:rPr>
            <w:t>, </w:t>
          </w:r>
          <w:r w:rsidRPr="00F249CB">
            <w:rPr>
              <w:i/>
              <w:iCs/>
              <w:szCs w:val="24"/>
              <w:shd w:val="clear" w:color="auto" w:fill="FFFFFF"/>
            </w:rPr>
            <w:t>6</w:t>
          </w:r>
          <w:r w:rsidRPr="00F249CB">
            <w:rPr>
              <w:szCs w:val="24"/>
              <w:shd w:val="clear" w:color="auto" w:fill="FFFFFF"/>
            </w:rPr>
            <w:t>, p.100164.</w:t>
          </w:r>
        </w:p>
        <w:p w14:paraId="4C1C9D11" w14:textId="77777777" w:rsidR="007A1E39" w:rsidRPr="005B4DD7" w:rsidRDefault="007A1E39" w:rsidP="005B4DD7">
          <w:pPr>
            <w:rPr>
              <w:rFonts w:cs="Times New Roman"/>
              <w:szCs w:val="24"/>
            </w:rPr>
          </w:pPr>
          <w:r w:rsidRPr="005B4DD7">
            <w:rPr>
              <w:rFonts w:cs="Times New Roman"/>
              <w:szCs w:val="24"/>
            </w:rPr>
            <w:t>Bartunek, J.M. (2020) Accomplishing impact by performing our theories: It can be done, though not easily. </w:t>
          </w:r>
          <w:r w:rsidRPr="005B4DD7">
            <w:rPr>
              <w:rFonts w:cs="Times New Roman"/>
              <w:i/>
              <w:iCs/>
              <w:szCs w:val="24"/>
            </w:rPr>
            <w:t>The Journal of Applied Behavioral Science</w:t>
          </w:r>
          <w:r w:rsidRPr="005B4DD7">
            <w:rPr>
              <w:rFonts w:cs="Times New Roman"/>
              <w:szCs w:val="24"/>
            </w:rPr>
            <w:t>, </w:t>
          </w:r>
          <w:r w:rsidRPr="005B4DD7">
            <w:rPr>
              <w:rFonts w:cs="Times New Roman"/>
              <w:i/>
              <w:iCs/>
              <w:szCs w:val="24"/>
            </w:rPr>
            <w:t>56</w:t>
          </w:r>
          <w:r w:rsidRPr="005B4DD7">
            <w:rPr>
              <w:rFonts w:cs="Times New Roman"/>
              <w:szCs w:val="24"/>
            </w:rPr>
            <w:t>(1), pp.11-31.</w:t>
          </w:r>
        </w:p>
        <w:p w14:paraId="00C26474" w14:textId="77777777" w:rsidR="007A1E39" w:rsidRPr="005B4DD7" w:rsidRDefault="007A1E39" w:rsidP="005B4DD7">
          <w:pPr>
            <w:rPr>
              <w:rFonts w:cs="Times New Roman"/>
              <w:szCs w:val="24"/>
            </w:rPr>
          </w:pPr>
          <w:r w:rsidRPr="005B4DD7">
            <w:rPr>
              <w:rFonts w:cs="Times New Roman"/>
              <w:szCs w:val="24"/>
            </w:rPr>
            <w:t>Bashir, M.F., Ma, B., Bashir, M.A., Radulescu, M. and Shahzad, U. (2022) Investigating the role of environmental taxes and regulations for renewable energy consumption: evidence from developed economies. </w:t>
          </w:r>
          <w:r w:rsidRPr="005B4DD7">
            <w:rPr>
              <w:rFonts w:cs="Times New Roman"/>
              <w:i/>
              <w:iCs/>
              <w:szCs w:val="24"/>
            </w:rPr>
            <w:t>Economic Research-Ekonomska Istraživanja</w:t>
          </w:r>
          <w:r w:rsidRPr="005B4DD7">
            <w:rPr>
              <w:rFonts w:cs="Times New Roman"/>
              <w:szCs w:val="24"/>
            </w:rPr>
            <w:t>, </w:t>
          </w:r>
          <w:r w:rsidRPr="005B4DD7">
            <w:rPr>
              <w:rFonts w:cs="Times New Roman"/>
              <w:i/>
              <w:iCs/>
              <w:szCs w:val="24"/>
            </w:rPr>
            <w:t>35</w:t>
          </w:r>
          <w:r w:rsidRPr="005B4DD7">
            <w:rPr>
              <w:rFonts w:cs="Times New Roman"/>
              <w:szCs w:val="24"/>
            </w:rPr>
            <w:t>(1), pp.1262-1284.</w:t>
          </w:r>
        </w:p>
        <w:p w14:paraId="3C94705C" w14:textId="77777777" w:rsidR="007A1E39" w:rsidRPr="005B4DD7" w:rsidRDefault="007A1E39" w:rsidP="005B4DD7">
          <w:pPr>
            <w:rPr>
              <w:rFonts w:cs="Times New Roman"/>
              <w:szCs w:val="24"/>
            </w:rPr>
          </w:pPr>
          <w:r w:rsidRPr="005B4DD7">
            <w:rPr>
              <w:rFonts w:cs="Times New Roman"/>
              <w:szCs w:val="24"/>
            </w:rPr>
            <w:t>Bathla, G., Bhadane, K., Singh, R.K., Kumar, R., Aluvalu, R., Krishnamurthi, R., Kumar, A., Thakur, R.N. and Basheer, S. (2022) Autonomous vehicles and intelligent automation: Applications, challenges, and opportunities. </w:t>
          </w:r>
          <w:r w:rsidRPr="005B4DD7">
            <w:rPr>
              <w:rFonts w:cs="Times New Roman"/>
              <w:i/>
              <w:iCs/>
              <w:szCs w:val="24"/>
            </w:rPr>
            <w:t>Mobile Information Systems</w:t>
          </w:r>
          <w:r w:rsidRPr="005B4DD7">
            <w:rPr>
              <w:rFonts w:cs="Times New Roman"/>
              <w:szCs w:val="24"/>
            </w:rPr>
            <w:t>, </w:t>
          </w:r>
          <w:r w:rsidRPr="005B4DD7">
            <w:rPr>
              <w:rFonts w:cs="Times New Roman"/>
              <w:i/>
              <w:iCs/>
              <w:szCs w:val="24"/>
            </w:rPr>
            <w:t>2022</w:t>
          </w:r>
          <w:r w:rsidRPr="005B4DD7">
            <w:rPr>
              <w:rFonts w:cs="Times New Roman"/>
              <w:szCs w:val="24"/>
            </w:rPr>
            <w:t>(1), p.7632892.</w:t>
          </w:r>
        </w:p>
        <w:p w14:paraId="25A7586F" w14:textId="77777777" w:rsidR="007A1E39" w:rsidRPr="005B4DD7" w:rsidRDefault="007A1E39" w:rsidP="005B4DD7">
          <w:pPr>
            <w:rPr>
              <w:rFonts w:cs="Times New Roman"/>
              <w:szCs w:val="24"/>
            </w:rPr>
          </w:pPr>
          <w:r w:rsidRPr="005B4DD7">
            <w:rPr>
              <w:rFonts w:cs="Times New Roman"/>
              <w:szCs w:val="24"/>
            </w:rPr>
            <w:t>Bathla, G., Bhadane, K., Singh, R.K., Kumar, R., Aluvalu, R., Krishnamurthi, R., Kumar, A., Thakur, R.N. and Basheer, S. (2022) Autonomous vehicles and intelligent automation: Applications, challenges, and opportunities. </w:t>
          </w:r>
          <w:r w:rsidRPr="005B4DD7">
            <w:rPr>
              <w:rFonts w:cs="Times New Roman"/>
              <w:i/>
              <w:iCs/>
              <w:szCs w:val="24"/>
            </w:rPr>
            <w:t>Mobile Information Systems</w:t>
          </w:r>
          <w:r w:rsidRPr="005B4DD7">
            <w:rPr>
              <w:rFonts w:cs="Times New Roman"/>
              <w:szCs w:val="24"/>
            </w:rPr>
            <w:t>, </w:t>
          </w:r>
          <w:r w:rsidRPr="005B4DD7">
            <w:rPr>
              <w:rFonts w:cs="Times New Roman"/>
              <w:i/>
              <w:iCs/>
              <w:szCs w:val="24"/>
            </w:rPr>
            <w:t>2022</w:t>
          </w:r>
          <w:r w:rsidRPr="005B4DD7">
            <w:rPr>
              <w:rFonts w:cs="Times New Roman"/>
              <w:szCs w:val="24"/>
            </w:rPr>
            <w:t>(1), p.7632892.</w:t>
          </w:r>
        </w:p>
        <w:p w14:paraId="1FF8658E" w14:textId="77777777" w:rsidR="007A1E39" w:rsidRPr="005B4DD7" w:rsidRDefault="007A1E39" w:rsidP="005B4DD7">
          <w:pPr>
            <w:rPr>
              <w:rFonts w:cs="Times New Roman"/>
              <w:szCs w:val="24"/>
            </w:rPr>
          </w:pPr>
          <w:r w:rsidRPr="005B4DD7">
            <w:rPr>
              <w:rFonts w:cs="Times New Roman"/>
              <w:szCs w:val="24"/>
            </w:rPr>
            <w:lastRenderedPageBreak/>
            <w:t>Benzaghta, M.A., Elwalda, A., Mousa, M.M., Erkan, I. and Rahman, M. (2021) SWOT analysis applications: An integrative literature review. </w:t>
          </w:r>
          <w:r w:rsidRPr="005B4DD7">
            <w:rPr>
              <w:rFonts w:cs="Times New Roman"/>
              <w:i/>
              <w:iCs/>
              <w:szCs w:val="24"/>
            </w:rPr>
            <w:t>Journal of Global Business Insights</w:t>
          </w:r>
          <w:r w:rsidRPr="005B4DD7">
            <w:rPr>
              <w:rFonts w:cs="Times New Roman"/>
              <w:szCs w:val="24"/>
            </w:rPr>
            <w:t>, </w:t>
          </w:r>
          <w:r w:rsidRPr="005B4DD7">
            <w:rPr>
              <w:rFonts w:cs="Times New Roman"/>
              <w:i/>
              <w:iCs/>
              <w:szCs w:val="24"/>
            </w:rPr>
            <w:t>6</w:t>
          </w:r>
          <w:r w:rsidRPr="005B4DD7">
            <w:rPr>
              <w:rFonts w:cs="Times New Roman"/>
              <w:szCs w:val="24"/>
            </w:rPr>
            <w:t>(1), pp.54-72.</w:t>
          </w:r>
        </w:p>
        <w:p w14:paraId="175CBA27" w14:textId="77777777" w:rsidR="007A1E39" w:rsidRPr="005B4DD7" w:rsidRDefault="007A1E39" w:rsidP="005B4DD7">
          <w:pPr>
            <w:rPr>
              <w:rFonts w:cs="Times New Roman"/>
              <w:szCs w:val="24"/>
            </w:rPr>
          </w:pPr>
          <w:r w:rsidRPr="005B4DD7">
            <w:rPr>
              <w:rFonts w:cs="Times New Roman"/>
              <w:szCs w:val="24"/>
            </w:rPr>
            <w:t>Besanko, D. and Braeutigam, R. (2020) </w:t>
          </w:r>
          <w:r w:rsidRPr="005B4DD7">
            <w:rPr>
              <w:rFonts w:cs="Times New Roman"/>
              <w:i/>
              <w:iCs/>
              <w:szCs w:val="24"/>
            </w:rPr>
            <w:t>Microeconomics</w:t>
          </w:r>
          <w:r w:rsidRPr="005B4DD7">
            <w:rPr>
              <w:rFonts w:cs="Times New Roman"/>
              <w:szCs w:val="24"/>
            </w:rPr>
            <w:t>. John Wiley &amp; Sons.</w:t>
          </w:r>
        </w:p>
        <w:p w14:paraId="5B5E1B2B" w14:textId="77777777" w:rsidR="007A1E39" w:rsidRPr="005B4DD7" w:rsidRDefault="007A1E39" w:rsidP="005B4DD7">
          <w:pPr>
            <w:rPr>
              <w:rFonts w:cs="Times New Roman"/>
              <w:szCs w:val="24"/>
            </w:rPr>
          </w:pPr>
          <w:r w:rsidRPr="005B4DD7">
            <w:rPr>
              <w:rFonts w:cs="Times New Roman"/>
              <w:szCs w:val="24"/>
            </w:rPr>
            <w:t>Birru, A.C., Sudarmiatin, S. and Hermawan, A. (2022) Competitive strategies in the lodging service sector: Five porter analyses and case study SWOT analysis. </w:t>
          </w:r>
          <w:r w:rsidRPr="005B4DD7">
            <w:rPr>
              <w:rFonts w:cs="Times New Roman"/>
              <w:i/>
              <w:iCs/>
              <w:szCs w:val="24"/>
            </w:rPr>
            <w:t>Journal of Business and Management Review</w:t>
          </w:r>
          <w:r w:rsidRPr="005B4DD7">
            <w:rPr>
              <w:rFonts w:cs="Times New Roman"/>
              <w:szCs w:val="24"/>
            </w:rPr>
            <w:t>, </w:t>
          </w:r>
          <w:r w:rsidRPr="005B4DD7">
            <w:rPr>
              <w:rFonts w:cs="Times New Roman"/>
              <w:i/>
              <w:iCs/>
              <w:szCs w:val="24"/>
            </w:rPr>
            <w:t>3</w:t>
          </w:r>
          <w:r w:rsidRPr="005B4DD7">
            <w:rPr>
              <w:rFonts w:cs="Times New Roman"/>
              <w:szCs w:val="24"/>
            </w:rPr>
            <w:t>(1), pp.001-017.</w:t>
          </w:r>
        </w:p>
        <w:p w14:paraId="444538E2" w14:textId="77777777" w:rsidR="007A1E39" w:rsidRPr="005B4DD7" w:rsidRDefault="007A1E39" w:rsidP="005B4DD7">
          <w:pPr>
            <w:rPr>
              <w:rFonts w:cs="Times New Roman"/>
              <w:szCs w:val="24"/>
            </w:rPr>
          </w:pPr>
          <w:r w:rsidRPr="005B4DD7">
            <w:rPr>
              <w:rFonts w:cs="Times New Roman"/>
              <w:szCs w:val="24"/>
            </w:rPr>
            <w:t>Buye, R. (2021) Critical examination of the PESTEL Analysis Model. </w:t>
          </w:r>
          <w:r w:rsidRPr="005B4DD7">
            <w:rPr>
              <w:rFonts w:cs="Times New Roman"/>
              <w:i/>
              <w:iCs/>
              <w:szCs w:val="24"/>
            </w:rPr>
            <w:t>Project: Action Research for Development</w:t>
          </w:r>
          <w:r w:rsidRPr="005B4DD7">
            <w:rPr>
              <w:rFonts w:cs="Times New Roman"/>
              <w:szCs w:val="24"/>
            </w:rPr>
            <w:t>.</w:t>
          </w:r>
        </w:p>
        <w:p w14:paraId="2EA3FE09" w14:textId="77777777" w:rsidR="007A1E39" w:rsidRPr="005B4DD7" w:rsidRDefault="007A1E39" w:rsidP="005B4DD7">
          <w:pPr>
            <w:rPr>
              <w:rFonts w:cs="Times New Roman"/>
              <w:szCs w:val="24"/>
            </w:rPr>
          </w:pPr>
          <w:r w:rsidRPr="005B4DD7">
            <w:rPr>
              <w:rFonts w:cs="Times New Roman"/>
              <w:szCs w:val="24"/>
            </w:rPr>
            <w:t>Calicchio, S. (2020) </w:t>
          </w:r>
          <w:r w:rsidRPr="005B4DD7">
            <w:rPr>
              <w:rFonts w:cs="Times New Roman"/>
              <w:i/>
              <w:iCs/>
              <w:szCs w:val="24"/>
            </w:rPr>
            <w:t>Swot analysis in 4 steps: How to use the SWOT matrix to make a difference in career and business</w:t>
          </w:r>
          <w:r w:rsidRPr="005B4DD7">
            <w:rPr>
              <w:rFonts w:cs="Times New Roman"/>
              <w:szCs w:val="24"/>
            </w:rPr>
            <w:t>. Stefano Calicchio.</w:t>
          </w:r>
        </w:p>
        <w:p w14:paraId="64556121" w14:textId="77777777" w:rsidR="007A1E39" w:rsidRPr="005B4DD7" w:rsidRDefault="007A1E39" w:rsidP="005B4DD7">
          <w:pPr>
            <w:rPr>
              <w:rFonts w:cs="Times New Roman"/>
              <w:szCs w:val="24"/>
            </w:rPr>
          </w:pPr>
          <w:r w:rsidRPr="005B4DD7">
            <w:rPr>
              <w:rFonts w:cs="Times New Roman"/>
              <w:szCs w:val="24"/>
            </w:rPr>
            <w:t>Carroll, A.B. (2021) Corporate social responsibility: Perspectives on the CSR construct’s development and future. </w:t>
          </w:r>
          <w:r w:rsidRPr="005B4DD7">
            <w:rPr>
              <w:rFonts w:cs="Times New Roman"/>
              <w:i/>
              <w:iCs/>
              <w:szCs w:val="24"/>
            </w:rPr>
            <w:t>Business &amp; Society</w:t>
          </w:r>
          <w:r w:rsidRPr="005B4DD7">
            <w:rPr>
              <w:rFonts w:cs="Times New Roman"/>
              <w:szCs w:val="24"/>
            </w:rPr>
            <w:t>, </w:t>
          </w:r>
          <w:r w:rsidRPr="005B4DD7">
            <w:rPr>
              <w:rFonts w:cs="Times New Roman"/>
              <w:i/>
              <w:iCs/>
              <w:szCs w:val="24"/>
            </w:rPr>
            <w:t>60</w:t>
          </w:r>
          <w:r w:rsidRPr="005B4DD7">
            <w:rPr>
              <w:rFonts w:cs="Times New Roman"/>
              <w:szCs w:val="24"/>
            </w:rPr>
            <w:t>(6), pp.1258-1278.</w:t>
          </w:r>
        </w:p>
        <w:p w14:paraId="3A7C223B" w14:textId="77777777" w:rsidR="007A1E39" w:rsidRPr="005B4DD7" w:rsidRDefault="007A1E39" w:rsidP="005B4DD7">
          <w:pPr>
            <w:rPr>
              <w:rFonts w:cs="Times New Roman"/>
              <w:szCs w:val="24"/>
            </w:rPr>
          </w:pPr>
          <w:r w:rsidRPr="005B4DD7">
            <w:rPr>
              <w:rFonts w:cs="Times New Roman"/>
              <w:szCs w:val="24"/>
            </w:rPr>
            <w:t>Cavallo, A., Gopinath, G., Neiman, B. and Tang, J. (2021) Tariff pass-through at the border and at the store: Evidence from us trade policy. </w:t>
          </w:r>
          <w:r w:rsidRPr="005B4DD7">
            <w:rPr>
              <w:rFonts w:cs="Times New Roman"/>
              <w:i/>
              <w:iCs/>
              <w:szCs w:val="24"/>
            </w:rPr>
            <w:t>American Economic Review: Insights</w:t>
          </w:r>
          <w:r w:rsidRPr="005B4DD7">
            <w:rPr>
              <w:rFonts w:cs="Times New Roman"/>
              <w:szCs w:val="24"/>
            </w:rPr>
            <w:t>, </w:t>
          </w:r>
          <w:r w:rsidRPr="005B4DD7">
            <w:rPr>
              <w:rFonts w:cs="Times New Roman"/>
              <w:i/>
              <w:iCs/>
              <w:szCs w:val="24"/>
            </w:rPr>
            <w:t>3</w:t>
          </w:r>
          <w:r w:rsidRPr="005B4DD7">
            <w:rPr>
              <w:rFonts w:cs="Times New Roman"/>
              <w:szCs w:val="24"/>
            </w:rPr>
            <w:t>(1), pp.19-34.</w:t>
          </w:r>
        </w:p>
        <w:p w14:paraId="4739F2D9" w14:textId="77777777" w:rsidR="007A1E39" w:rsidRPr="005B4DD7" w:rsidRDefault="007A1E39" w:rsidP="005B4DD7">
          <w:pPr>
            <w:rPr>
              <w:rFonts w:cs="Times New Roman"/>
              <w:szCs w:val="24"/>
            </w:rPr>
          </w:pPr>
          <w:r w:rsidRPr="005B4DD7">
            <w:rPr>
              <w:rFonts w:cs="Times New Roman"/>
              <w:szCs w:val="24"/>
            </w:rPr>
            <w:t>Chae, S., Yan, T. and Yang, Y. (2020) Supplier innovation value from a buyer–supplier structural equivalence view: Evidence from the PACE awards in the automotive industry. </w:t>
          </w:r>
          <w:r w:rsidRPr="005B4DD7">
            <w:rPr>
              <w:rFonts w:cs="Times New Roman"/>
              <w:i/>
              <w:iCs/>
              <w:szCs w:val="24"/>
            </w:rPr>
            <w:t>Journal of Operations Management</w:t>
          </w:r>
          <w:r w:rsidRPr="005B4DD7">
            <w:rPr>
              <w:rFonts w:cs="Times New Roman"/>
              <w:szCs w:val="24"/>
            </w:rPr>
            <w:t>, </w:t>
          </w:r>
          <w:r w:rsidRPr="005B4DD7">
            <w:rPr>
              <w:rFonts w:cs="Times New Roman"/>
              <w:i/>
              <w:iCs/>
              <w:szCs w:val="24"/>
            </w:rPr>
            <w:t>66</w:t>
          </w:r>
          <w:r w:rsidRPr="005B4DD7">
            <w:rPr>
              <w:rFonts w:cs="Times New Roman"/>
              <w:szCs w:val="24"/>
            </w:rPr>
            <w:t>(7-8), pp.820-838.</w:t>
          </w:r>
        </w:p>
        <w:p w14:paraId="15263844" w14:textId="77777777" w:rsidR="007A1E39" w:rsidRPr="005B4DD7" w:rsidRDefault="007A1E39" w:rsidP="005B4DD7">
          <w:pPr>
            <w:spacing w:after="200"/>
            <w:rPr>
              <w:rFonts w:cs="Times New Roman"/>
              <w:szCs w:val="24"/>
            </w:rPr>
          </w:pPr>
          <w:r w:rsidRPr="005B4DD7">
            <w:rPr>
              <w:rFonts w:cs="Times New Roman"/>
              <w:szCs w:val="24"/>
            </w:rPr>
            <w:t xml:space="preserve">CompaniesMarketCap.com. (2024) </w:t>
          </w:r>
          <w:r w:rsidRPr="005B4DD7">
            <w:rPr>
              <w:rFonts w:cs="Times New Roman"/>
              <w:i/>
              <w:iCs/>
              <w:szCs w:val="24"/>
            </w:rPr>
            <w:t>Tesla (TSLA) - market capitalization</w:t>
          </w:r>
          <w:r w:rsidRPr="005B4DD7">
            <w:rPr>
              <w:rFonts w:cs="Times New Roman"/>
              <w:szCs w:val="24"/>
            </w:rPr>
            <w:t xml:space="preserve">, </w:t>
          </w:r>
          <w:r w:rsidRPr="005B4DD7">
            <w:rPr>
              <w:rFonts w:cs="Times New Roman"/>
              <w:i/>
              <w:iCs/>
              <w:szCs w:val="24"/>
            </w:rPr>
            <w:t>CompaniesMarketCap.com - companies ranked by market capitalization</w:t>
          </w:r>
          <w:r w:rsidRPr="005B4DD7">
            <w:rPr>
              <w:rFonts w:cs="Times New Roman"/>
              <w:szCs w:val="24"/>
            </w:rPr>
            <w:t xml:space="preserve">. Available at: https://companiesmarketcap.com/tesla/marketcap/ (Accessed: 15 June 2024). </w:t>
          </w:r>
        </w:p>
        <w:p w14:paraId="76493C7A" w14:textId="77777777" w:rsidR="007A1E39" w:rsidRPr="005B4DD7" w:rsidRDefault="007A1E39" w:rsidP="005B4DD7">
          <w:pPr>
            <w:rPr>
              <w:rFonts w:cs="Times New Roman"/>
              <w:szCs w:val="24"/>
            </w:rPr>
          </w:pPr>
          <w:r w:rsidRPr="005B4DD7">
            <w:rPr>
              <w:rFonts w:cs="Times New Roman"/>
              <w:szCs w:val="24"/>
            </w:rPr>
            <w:t>Cooke, P. (2020) Gigafactory logistics in space and time: Tesla’s fourth gigafactory and its rivals. </w:t>
          </w:r>
          <w:r w:rsidRPr="005B4DD7">
            <w:rPr>
              <w:rFonts w:cs="Times New Roman"/>
              <w:i/>
              <w:iCs/>
              <w:szCs w:val="24"/>
            </w:rPr>
            <w:t>Sustainability</w:t>
          </w:r>
          <w:r w:rsidRPr="005B4DD7">
            <w:rPr>
              <w:rFonts w:cs="Times New Roman"/>
              <w:szCs w:val="24"/>
            </w:rPr>
            <w:t>, </w:t>
          </w:r>
          <w:r w:rsidRPr="005B4DD7">
            <w:rPr>
              <w:rFonts w:cs="Times New Roman"/>
              <w:i/>
              <w:iCs/>
              <w:szCs w:val="24"/>
            </w:rPr>
            <w:t>12</w:t>
          </w:r>
          <w:r w:rsidRPr="005B4DD7">
            <w:rPr>
              <w:rFonts w:cs="Times New Roman"/>
              <w:szCs w:val="24"/>
            </w:rPr>
            <w:t>(5), p.2044.</w:t>
          </w:r>
        </w:p>
        <w:p w14:paraId="72A201DD" w14:textId="77777777" w:rsidR="007A1E39" w:rsidRPr="005B4DD7" w:rsidRDefault="007A1E39" w:rsidP="005B4DD7">
          <w:pPr>
            <w:rPr>
              <w:rFonts w:cs="Times New Roman"/>
              <w:szCs w:val="24"/>
            </w:rPr>
          </w:pPr>
          <w:r w:rsidRPr="005B4DD7">
            <w:rPr>
              <w:rFonts w:cs="Times New Roman"/>
              <w:szCs w:val="24"/>
            </w:rPr>
            <w:t>Czakon, W., Niemand, T., Gast, J., Kraus, S. and Frühstück, L. (2020) Designing coopetition for radical innovation: An experimental study of managers' preferences for developing self-driving electric cars. </w:t>
          </w:r>
          <w:r w:rsidRPr="005B4DD7">
            <w:rPr>
              <w:rFonts w:cs="Times New Roman"/>
              <w:i/>
              <w:iCs/>
              <w:szCs w:val="24"/>
            </w:rPr>
            <w:t>Technological Forecasting and Social Change</w:t>
          </w:r>
          <w:r w:rsidRPr="005B4DD7">
            <w:rPr>
              <w:rFonts w:cs="Times New Roman"/>
              <w:szCs w:val="24"/>
            </w:rPr>
            <w:t>, </w:t>
          </w:r>
          <w:r w:rsidRPr="005B4DD7">
            <w:rPr>
              <w:rFonts w:cs="Times New Roman"/>
              <w:i/>
              <w:iCs/>
              <w:szCs w:val="24"/>
            </w:rPr>
            <w:t>155</w:t>
          </w:r>
          <w:r w:rsidRPr="005B4DD7">
            <w:rPr>
              <w:rFonts w:cs="Times New Roman"/>
              <w:szCs w:val="24"/>
            </w:rPr>
            <w:t>, p.119992.</w:t>
          </w:r>
        </w:p>
        <w:p w14:paraId="4C2E6AB4" w14:textId="77777777" w:rsidR="007A1E39" w:rsidRPr="005B4DD7" w:rsidRDefault="007A1E39" w:rsidP="005B4DD7">
          <w:pPr>
            <w:rPr>
              <w:rFonts w:cs="Times New Roman"/>
              <w:szCs w:val="24"/>
            </w:rPr>
          </w:pPr>
          <w:r w:rsidRPr="005B4DD7">
            <w:rPr>
              <w:rFonts w:cs="Times New Roman"/>
              <w:szCs w:val="24"/>
            </w:rPr>
            <w:lastRenderedPageBreak/>
            <w:t>Dalirazar, S. and Sabzi, Z. (2023) Strategic analysis of barriers and solutions to development of sustainable buildings using PESTLE technique. </w:t>
          </w:r>
          <w:r w:rsidRPr="005B4DD7">
            <w:rPr>
              <w:rFonts w:cs="Times New Roman"/>
              <w:i/>
              <w:iCs/>
              <w:szCs w:val="24"/>
            </w:rPr>
            <w:t>International Journal of Construction Management</w:t>
          </w:r>
          <w:r w:rsidRPr="005B4DD7">
            <w:rPr>
              <w:rFonts w:cs="Times New Roman"/>
              <w:szCs w:val="24"/>
            </w:rPr>
            <w:t>, </w:t>
          </w:r>
          <w:r w:rsidRPr="005B4DD7">
            <w:rPr>
              <w:rFonts w:cs="Times New Roman"/>
              <w:i/>
              <w:iCs/>
              <w:szCs w:val="24"/>
            </w:rPr>
            <w:t>23</w:t>
          </w:r>
          <w:r w:rsidRPr="005B4DD7">
            <w:rPr>
              <w:rFonts w:cs="Times New Roman"/>
              <w:szCs w:val="24"/>
            </w:rPr>
            <w:t>(1), pp.167-181.</w:t>
          </w:r>
        </w:p>
        <w:p w14:paraId="2BC05921" w14:textId="77777777" w:rsidR="007A1E39" w:rsidRPr="005B4DD7" w:rsidRDefault="007A1E39" w:rsidP="005B4DD7">
          <w:pPr>
            <w:rPr>
              <w:rFonts w:cs="Times New Roman"/>
              <w:szCs w:val="24"/>
            </w:rPr>
          </w:pPr>
          <w:r w:rsidRPr="005B4DD7">
            <w:rPr>
              <w:rFonts w:cs="Times New Roman"/>
              <w:szCs w:val="24"/>
            </w:rPr>
            <w:t>Dalirazar, S. and Sabzi, Z. (2023) Strategic analysis of barriers and solutions to development of sustainable buildings using PESTLE technique. </w:t>
          </w:r>
          <w:r w:rsidRPr="005B4DD7">
            <w:rPr>
              <w:rFonts w:cs="Times New Roman"/>
              <w:i/>
              <w:iCs/>
              <w:szCs w:val="24"/>
            </w:rPr>
            <w:t>International Journal of Construction Management</w:t>
          </w:r>
          <w:r w:rsidRPr="005B4DD7">
            <w:rPr>
              <w:rFonts w:cs="Times New Roman"/>
              <w:szCs w:val="24"/>
            </w:rPr>
            <w:t>, </w:t>
          </w:r>
          <w:r w:rsidRPr="005B4DD7">
            <w:rPr>
              <w:rFonts w:cs="Times New Roman"/>
              <w:i/>
              <w:iCs/>
              <w:szCs w:val="24"/>
            </w:rPr>
            <w:t>23</w:t>
          </w:r>
          <w:r w:rsidRPr="005B4DD7">
            <w:rPr>
              <w:rFonts w:cs="Times New Roman"/>
              <w:szCs w:val="24"/>
            </w:rPr>
            <w:t>(1), pp.167-181.</w:t>
          </w:r>
        </w:p>
        <w:p w14:paraId="0D280362" w14:textId="77777777" w:rsidR="007A1E39" w:rsidRPr="005B4DD7" w:rsidRDefault="007A1E39" w:rsidP="005B4DD7">
          <w:pPr>
            <w:rPr>
              <w:rFonts w:cs="Times New Roman"/>
              <w:szCs w:val="24"/>
            </w:rPr>
          </w:pPr>
          <w:r w:rsidRPr="005B4DD7">
            <w:rPr>
              <w:rFonts w:cs="Times New Roman"/>
              <w:szCs w:val="24"/>
            </w:rPr>
            <w:t>Delic, M. and Eyers, D.R. (2020) The effect of additive manufacturing adoption on supply chain flexibility and performance: An empirical analysis from the automotive industry. </w:t>
          </w:r>
          <w:r w:rsidRPr="005B4DD7">
            <w:rPr>
              <w:rFonts w:cs="Times New Roman"/>
              <w:i/>
              <w:iCs/>
              <w:szCs w:val="24"/>
            </w:rPr>
            <w:t>International Journal of Production Economics</w:t>
          </w:r>
          <w:r w:rsidRPr="005B4DD7">
            <w:rPr>
              <w:rFonts w:cs="Times New Roman"/>
              <w:szCs w:val="24"/>
            </w:rPr>
            <w:t>, </w:t>
          </w:r>
          <w:r w:rsidRPr="005B4DD7">
            <w:rPr>
              <w:rFonts w:cs="Times New Roman"/>
              <w:i/>
              <w:iCs/>
              <w:szCs w:val="24"/>
            </w:rPr>
            <w:t>228</w:t>
          </w:r>
          <w:r w:rsidRPr="005B4DD7">
            <w:rPr>
              <w:rFonts w:cs="Times New Roman"/>
              <w:szCs w:val="24"/>
            </w:rPr>
            <w:t>, p.107689.</w:t>
          </w:r>
        </w:p>
        <w:p w14:paraId="53168983" w14:textId="77777777" w:rsidR="007A1E39" w:rsidRPr="005B4DD7" w:rsidRDefault="007A1E39" w:rsidP="005B4DD7">
          <w:pPr>
            <w:rPr>
              <w:rFonts w:cs="Times New Roman"/>
              <w:szCs w:val="24"/>
            </w:rPr>
          </w:pPr>
          <w:r w:rsidRPr="005B4DD7">
            <w:rPr>
              <w:rFonts w:cs="Times New Roman"/>
              <w:szCs w:val="24"/>
            </w:rPr>
            <w:t>Ding, J. and He, Y. (2022, April) Tesla Pricing Strategy Analysis: Take Model 3 as an Example. In </w:t>
          </w:r>
          <w:r w:rsidRPr="005B4DD7">
            <w:rPr>
              <w:rFonts w:cs="Times New Roman"/>
              <w:i/>
              <w:iCs/>
              <w:szCs w:val="24"/>
            </w:rPr>
            <w:t>2022 7th International Conference on Social Sciences and Economic Development (ICSSED 2022)</w:t>
          </w:r>
          <w:r w:rsidRPr="005B4DD7">
            <w:rPr>
              <w:rFonts w:cs="Times New Roman"/>
              <w:szCs w:val="24"/>
            </w:rPr>
            <w:t> (pp. 1010-1014). Atlantis Press.</w:t>
          </w:r>
        </w:p>
        <w:p w14:paraId="22A6484C" w14:textId="77777777" w:rsidR="007A1E39" w:rsidRPr="005B4DD7" w:rsidRDefault="007A1E39" w:rsidP="005B4DD7">
          <w:pPr>
            <w:rPr>
              <w:rFonts w:cs="Times New Roman"/>
              <w:szCs w:val="24"/>
            </w:rPr>
          </w:pPr>
          <w:r w:rsidRPr="005B4DD7">
            <w:rPr>
              <w:rFonts w:cs="Times New Roman"/>
              <w:szCs w:val="24"/>
            </w:rPr>
            <w:t>Dominish, E., Florin, N. and Wakefield-Rann, R. (2021) Reducing new mining for electric vehicle battery metals: responsible sourcing through demand reduction strategies and recycling.</w:t>
          </w:r>
        </w:p>
        <w:p w14:paraId="6030600D" w14:textId="77777777" w:rsidR="007A1E39" w:rsidRPr="005B4DD7" w:rsidRDefault="007A1E39" w:rsidP="005B4DD7">
          <w:pPr>
            <w:rPr>
              <w:rFonts w:cs="Times New Roman"/>
              <w:szCs w:val="24"/>
            </w:rPr>
          </w:pPr>
          <w:r w:rsidRPr="005B4DD7">
            <w:rPr>
              <w:rFonts w:cs="Times New Roman"/>
              <w:szCs w:val="24"/>
            </w:rPr>
            <w:t>Ghauri, P., Strange, R. and Cooke, F.L. (2021) Research on international business: The new realities. </w:t>
          </w:r>
          <w:r w:rsidRPr="005B4DD7">
            <w:rPr>
              <w:rFonts w:cs="Times New Roman"/>
              <w:i/>
              <w:iCs/>
              <w:szCs w:val="24"/>
            </w:rPr>
            <w:t>International Business Review</w:t>
          </w:r>
          <w:r w:rsidRPr="005B4DD7">
            <w:rPr>
              <w:rFonts w:cs="Times New Roman"/>
              <w:szCs w:val="24"/>
            </w:rPr>
            <w:t>, </w:t>
          </w:r>
          <w:r w:rsidRPr="005B4DD7">
            <w:rPr>
              <w:rFonts w:cs="Times New Roman"/>
              <w:i/>
              <w:iCs/>
              <w:szCs w:val="24"/>
            </w:rPr>
            <w:t>30</w:t>
          </w:r>
          <w:r w:rsidRPr="005B4DD7">
            <w:rPr>
              <w:rFonts w:cs="Times New Roman"/>
              <w:szCs w:val="24"/>
            </w:rPr>
            <w:t>(2), p.101794.</w:t>
          </w:r>
        </w:p>
        <w:p w14:paraId="3AE1C7C3" w14:textId="60AC225E" w:rsidR="007A1E39" w:rsidRPr="005B4DD7" w:rsidRDefault="007A1E39" w:rsidP="005B4DD7">
          <w:pPr>
            <w:rPr>
              <w:rFonts w:cs="Times New Roman"/>
              <w:szCs w:val="24"/>
            </w:rPr>
          </w:pPr>
          <w:r w:rsidRPr="005B4DD7">
            <w:rPr>
              <w:rFonts w:cs="Times New Roman"/>
              <w:szCs w:val="24"/>
            </w:rPr>
            <w:t>Goyal, A. (2020) A critical analysis of Porter’s 5 forces model of competitive advantage. </w:t>
          </w:r>
          <w:r w:rsidRPr="005B4DD7">
            <w:rPr>
              <w:rFonts w:cs="Times New Roman"/>
              <w:i/>
              <w:iCs/>
              <w:szCs w:val="24"/>
            </w:rPr>
            <w:t xml:space="preserve">Goyal, </w:t>
          </w:r>
          <w:r w:rsidR="00F249CB" w:rsidRPr="005B4DD7">
            <w:rPr>
              <w:rFonts w:cs="Times New Roman"/>
              <w:i/>
              <w:iCs/>
              <w:szCs w:val="24"/>
            </w:rPr>
            <w:t>A. (</w:t>
          </w:r>
          <w:r w:rsidRPr="005B4DD7">
            <w:rPr>
              <w:rFonts w:cs="Times New Roman"/>
              <w:i/>
              <w:iCs/>
              <w:szCs w:val="24"/>
            </w:rPr>
            <w:t>2021). A Critical Analysis of Porter’s</w:t>
          </w:r>
          <w:r w:rsidRPr="005B4DD7">
            <w:rPr>
              <w:rFonts w:cs="Times New Roman"/>
              <w:szCs w:val="24"/>
            </w:rPr>
            <w:t>, </w:t>
          </w:r>
          <w:r w:rsidRPr="005B4DD7">
            <w:rPr>
              <w:rFonts w:cs="Times New Roman"/>
              <w:i/>
              <w:iCs/>
              <w:szCs w:val="24"/>
            </w:rPr>
            <w:t>5</w:t>
          </w:r>
          <w:r w:rsidRPr="005B4DD7">
            <w:rPr>
              <w:rFonts w:cs="Times New Roman"/>
              <w:szCs w:val="24"/>
            </w:rPr>
            <w:t>.</w:t>
          </w:r>
        </w:p>
        <w:p w14:paraId="02B9530B" w14:textId="77777777" w:rsidR="007A1E39" w:rsidRPr="00F249CB" w:rsidRDefault="007A1E39" w:rsidP="005B4DD7">
          <w:pPr>
            <w:rPr>
              <w:rFonts w:cs="Times New Roman"/>
              <w:szCs w:val="24"/>
            </w:rPr>
          </w:pPr>
          <w:r w:rsidRPr="005B4DD7">
            <w:rPr>
              <w:rFonts w:cs="Times New Roman"/>
              <w:szCs w:val="24"/>
            </w:rPr>
            <w:t xml:space="preserve">Gustafsson, L. and Holster Krantz, L. (2022) Brand Strategy in the Era of Electric Vehicles: Researching the brand strategies of some of the largest vehicle manufacturers in the shift </w:t>
          </w:r>
          <w:r w:rsidRPr="00F249CB">
            <w:rPr>
              <w:rFonts w:cs="Times New Roman"/>
              <w:szCs w:val="24"/>
            </w:rPr>
            <w:t>towards EVs.</w:t>
          </w:r>
        </w:p>
        <w:p w14:paraId="1AB38040" w14:textId="5184B4BD" w:rsidR="00E22A62" w:rsidRPr="00F249CB" w:rsidRDefault="00E22A62" w:rsidP="005B4DD7">
          <w:pPr>
            <w:rPr>
              <w:szCs w:val="24"/>
              <w:shd w:val="clear" w:color="auto" w:fill="FFFFFF"/>
            </w:rPr>
          </w:pPr>
          <w:r w:rsidRPr="00F249CB">
            <w:rPr>
              <w:szCs w:val="24"/>
              <w:shd w:val="clear" w:color="auto" w:fill="FFFFFF"/>
            </w:rPr>
            <w:t xml:space="preserve">Han, J. (2021) How does Tesla motors achieve competitive advantage in the global automobile </w:t>
          </w:r>
          <w:r w:rsidR="00F249CB" w:rsidRPr="00F249CB">
            <w:rPr>
              <w:szCs w:val="24"/>
              <w:shd w:val="clear" w:color="auto" w:fill="FFFFFF"/>
            </w:rPr>
            <w:t>industry?</w:t>
          </w:r>
          <w:r w:rsidRPr="00F249CB">
            <w:rPr>
              <w:szCs w:val="24"/>
              <w:shd w:val="clear" w:color="auto" w:fill="FFFFFF"/>
            </w:rPr>
            <w:t> </w:t>
          </w:r>
          <w:r w:rsidRPr="00F249CB">
            <w:rPr>
              <w:i/>
              <w:iCs/>
              <w:szCs w:val="24"/>
              <w:shd w:val="clear" w:color="auto" w:fill="FFFFFF"/>
            </w:rPr>
            <w:t>Journal of Next-generation Convergence Information Services Technology Vol</w:t>
          </w:r>
          <w:r w:rsidRPr="00F249CB">
            <w:rPr>
              <w:szCs w:val="24"/>
              <w:shd w:val="clear" w:color="auto" w:fill="FFFFFF"/>
            </w:rPr>
            <w:t>, </w:t>
          </w:r>
          <w:r w:rsidRPr="00F249CB">
            <w:rPr>
              <w:i/>
              <w:iCs/>
              <w:szCs w:val="24"/>
              <w:shd w:val="clear" w:color="auto" w:fill="FFFFFF"/>
            </w:rPr>
            <w:t>10</w:t>
          </w:r>
          <w:r w:rsidRPr="00F249CB">
            <w:rPr>
              <w:szCs w:val="24"/>
              <w:shd w:val="clear" w:color="auto" w:fill="FFFFFF"/>
            </w:rPr>
            <w:t>(5), pp.573-582.</w:t>
          </w:r>
        </w:p>
        <w:p w14:paraId="734BD404" w14:textId="77777777" w:rsidR="007A1E39" w:rsidRPr="005B4DD7" w:rsidRDefault="007A1E39" w:rsidP="005B4DD7">
          <w:pPr>
            <w:rPr>
              <w:rFonts w:cs="Times New Roman"/>
              <w:szCs w:val="24"/>
            </w:rPr>
          </w:pPr>
          <w:r w:rsidRPr="005B4DD7">
            <w:rPr>
              <w:rFonts w:cs="Times New Roman"/>
              <w:szCs w:val="24"/>
            </w:rPr>
            <w:t>Hassan, A., Saleem, I., Anwar, I. and Hussain, S.A. (2020) Entrepreneurial intention of Indian university students: the role of opportunity recognition and entrepreneurship education. </w:t>
          </w:r>
          <w:r w:rsidRPr="005B4DD7">
            <w:rPr>
              <w:rFonts w:cs="Times New Roman"/>
              <w:i/>
              <w:iCs/>
              <w:szCs w:val="24"/>
            </w:rPr>
            <w:t>Education+ Training</w:t>
          </w:r>
          <w:r w:rsidRPr="005B4DD7">
            <w:rPr>
              <w:rFonts w:cs="Times New Roman"/>
              <w:szCs w:val="24"/>
            </w:rPr>
            <w:t>, </w:t>
          </w:r>
          <w:r w:rsidRPr="005B4DD7">
            <w:rPr>
              <w:rFonts w:cs="Times New Roman"/>
              <w:i/>
              <w:iCs/>
              <w:szCs w:val="24"/>
            </w:rPr>
            <w:t>62</w:t>
          </w:r>
          <w:r w:rsidRPr="005B4DD7">
            <w:rPr>
              <w:rFonts w:cs="Times New Roman"/>
              <w:szCs w:val="24"/>
            </w:rPr>
            <w:t>(7/8), pp.843-861.</w:t>
          </w:r>
        </w:p>
        <w:p w14:paraId="3F119A36" w14:textId="77777777" w:rsidR="007A1E39" w:rsidRPr="005B4DD7" w:rsidRDefault="007A1E39" w:rsidP="005B4DD7">
          <w:pPr>
            <w:rPr>
              <w:rFonts w:cs="Times New Roman"/>
              <w:szCs w:val="24"/>
            </w:rPr>
          </w:pPr>
          <w:r w:rsidRPr="005B4DD7">
            <w:rPr>
              <w:rFonts w:cs="Times New Roman"/>
              <w:szCs w:val="24"/>
            </w:rPr>
            <w:lastRenderedPageBreak/>
            <w:t>Hu, H., Chen, D., Chang, C.P. and Chu, Y. (2021) The political economy of environmental consequences: A review of the empirical literature. </w:t>
          </w:r>
          <w:r w:rsidRPr="005B4DD7">
            <w:rPr>
              <w:rFonts w:cs="Times New Roman"/>
              <w:i/>
              <w:iCs/>
              <w:szCs w:val="24"/>
            </w:rPr>
            <w:t>Journal of Economic Surveys</w:t>
          </w:r>
          <w:r w:rsidRPr="005B4DD7">
            <w:rPr>
              <w:rFonts w:cs="Times New Roman"/>
              <w:szCs w:val="24"/>
            </w:rPr>
            <w:t>, </w:t>
          </w:r>
          <w:r w:rsidRPr="005B4DD7">
            <w:rPr>
              <w:rFonts w:cs="Times New Roman"/>
              <w:i/>
              <w:iCs/>
              <w:szCs w:val="24"/>
            </w:rPr>
            <w:t>35</w:t>
          </w:r>
          <w:r w:rsidRPr="005B4DD7">
            <w:rPr>
              <w:rFonts w:cs="Times New Roman"/>
              <w:szCs w:val="24"/>
            </w:rPr>
            <w:t>(1), pp.250-306.</w:t>
          </w:r>
        </w:p>
        <w:p w14:paraId="2155CDBB" w14:textId="77777777" w:rsidR="007A1E39" w:rsidRPr="005B4DD7" w:rsidRDefault="007A1E39" w:rsidP="005B4DD7">
          <w:pPr>
            <w:rPr>
              <w:rFonts w:cs="Times New Roman"/>
              <w:szCs w:val="24"/>
            </w:rPr>
          </w:pPr>
          <w:r w:rsidRPr="005B4DD7">
            <w:rPr>
              <w:rFonts w:cs="Times New Roman"/>
              <w:szCs w:val="24"/>
            </w:rPr>
            <w:t>Jain, V., Ajmera, P. and Davim, J.P. (2022) SWOT analysis of Industry 4.0 variables using AHP methodology and structural equation modelling. </w:t>
          </w:r>
          <w:r w:rsidRPr="005B4DD7">
            <w:rPr>
              <w:rFonts w:cs="Times New Roman"/>
              <w:i/>
              <w:iCs/>
              <w:szCs w:val="24"/>
            </w:rPr>
            <w:t>Benchmarking: An International Journal</w:t>
          </w:r>
          <w:r w:rsidRPr="005B4DD7">
            <w:rPr>
              <w:rFonts w:cs="Times New Roman"/>
              <w:szCs w:val="24"/>
            </w:rPr>
            <w:t>, </w:t>
          </w:r>
          <w:r w:rsidRPr="005B4DD7">
            <w:rPr>
              <w:rFonts w:cs="Times New Roman"/>
              <w:i/>
              <w:iCs/>
              <w:szCs w:val="24"/>
            </w:rPr>
            <w:t>29</w:t>
          </w:r>
          <w:r w:rsidRPr="005B4DD7">
            <w:rPr>
              <w:rFonts w:cs="Times New Roman"/>
              <w:szCs w:val="24"/>
            </w:rPr>
            <w:t>(7), pp.2147-2176.</w:t>
          </w:r>
        </w:p>
        <w:p w14:paraId="73C236AD" w14:textId="77777777" w:rsidR="007A1E39" w:rsidRDefault="007A1E39" w:rsidP="005B4DD7">
          <w:pPr>
            <w:rPr>
              <w:rFonts w:cs="Times New Roman"/>
              <w:szCs w:val="24"/>
            </w:rPr>
          </w:pPr>
          <w:r w:rsidRPr="005B4DD7">
            <w:rPr>
              <w:rFonts w:cs="Times New Roman"/>
              <w:szCs w:val="24"/>
            </w:rPr>
            <w:t>Khan, M.R. (2021) A critical analysis of Elon Musk’s leadership in Tesla motors. </w:t>
          </w:r>
          <w:r w:rsidRPr="005B4DD7">
            <w:rPr>
              <w:rFonts w:cs="Times New Roman"/>
              <w:i/>
              <w:iCs/>
              <w:szCs w:val="24"/>
            </w:rPr>
            <w:t>Journal of Global Entrepreneurship Research</w:t>
          </w:r>
          <w:r w:rsidRPr="005B4DD7">
            <w:rPr>
              <w:rFonts w:cs="Times New Roman"/>
              <w:szCs w:val="24"/>
            </w:rPr>
            <w:t>, </w:t>
          </w:r>
          <w:r w:rsidRPr="005B4DD7">
            <w:rPr>
              <w:rFonts w:cs="Times New Roman"/>
              <w:i/>
              <w:iCs/>
              <w:szCs w:val="24"/>
            </w:rPr>
            <w:t>11</w:t>
          </w:r>
          <w:r w:rsidRPr="005B4DD7">
            <w:rPr>
              <w:rFonts w:cs="Times New Roman"/>
              <w:szCs w:val="24"/>
            </w:rPr>
            <w:t>(1), pp.213-222.</w:t>
          </w:r>
        </w:p>
        <w:p w14:paraId="7CB89071" w14:textId="77777777" w:rsidR="00E22A62" w:rsidRPr="00F249CB" w:rsidRDefault="00E22A62" w:rsidP="005B4DD7">
          <w:pPr>
            <w:rPr>
              <w:szCs w:val="24"/>
              <w:shd w:val="clear" w:color="auto" w:fill="FFFFFF"/>
            </w:rPr>
          </w:pPr>
          <w:r w:rsidRPr="00F249CB">
            <w:rPr>
              <w:szCs w:val="24"/>
              <w:shd w:val="clear" w:color="auto" w:fill="FFFFFF"/>
            </w:rPr>
            <w:t>Khan, M. (2024) Innovations in battery technology: enabling the revolution in electric vehicles and energy storage. </w:t>
          </w:r>
          <w:r w:rsidRPr="00F249CB">
            <w:rPr>
              <w:i/>
              <w:iCs/>
              <w:szCs w:val="24"/>
              <w:shd w:val="clear" w:color="auto" w:fill="FFFFFF"/>
            </w:rPr>
            <w:t>British Journal of Multidisciplinary and Advanced Studies</w:t>
          </w:r>
          <w:r w:rsidRPr="00F249CB">
            <w:rPr>
              <w:szCs w:val="24"/>
              <w:shd w:val="clear" w:color="auto" w:fill="FFFFFF"/>
            </w:rPr>
            <w:t>, </w:t>
          </w:r>
          <w:r w:rsidRPr="00F249CB">
            <w:rPr>
              <w:i/>
              <w:iCs/>
              <w:szCs w:val="24"/>
              <w:shd w:val="clear" w:color="auto" w:fill="FFFFFF"/>
            </w:rPr>
            <w:t>5</w:t>
          </w:r>
          <w:r w:rsidRPr="00F249CB">
            <w:rPr>
              <w:szCs w:val="24"/>
              <w:shd w:val="clear" w:color="auto" w:fill="FFFFFF"/>
            </w:rPr>
            <w:t>(1), pp.23-41.</w:t>
          </w:r>
        </w:p>
        <w:p w14:paraId="4F8A3A28" w14:textId="5EFC8A47" w:rsidR="007A1E39" w:rsidRDefault="007A1E39" w:rsidP="005B4DD7">
          <w:pPr>
            <w:rPr>
              <w:rFonts w:cs="Times New Roman"/>
              <w:szCs w:val="24"/>
            </w:rPr>
          </w:pPr>
          <w:r w:rsidRPr="005B4DD7">
            <w:rPr>
              <w:rFonts w:cs="Times New Roman"/>
              <w:szCs w:val="24"/>
            </w:rPr>
            <w:t xml:space="preserve">Kitonyi, S., Kibera, F., Gathungu, J. and Yabs, J. (2020) Effect of The Macro-Environment Factors </w:t>
          </w:r>
          <w:r w:rsidR="00F249CB" w:rsidRPr="005B4DD7">
            <w:rPr>
              <w:rFonts w:cs="Times New Roman"/>
              <w:szCs w:val="24"/>
            </w:rPr>
            <w:t>on</w:t>
          </w:r>
          <w:r w:rsidRPr="005B4DD7">
            <w:rPr>
              <w:rFonts w:cs="Times New Roman"/>
              <w:szCs w:val="24"/>
            </w:rPr>
            <w:t xml:space="preserve"> the Relationship Between Firm Resources and Export Performance of Small and Medium Scale Manufacturing Enterprises in Nairobi City County, Kenya. </w:t>
          </w:r>
          <w:r w:rsidRPr="005B4DD7">
            <w:rPr>
              <w:rFonts w:cs="Times New Roman"/>
              <w:i/>
              <w:iCs/>
              <w:szCs w:val="24"/>
            </w:rPr>
            <w:t>DOI: https://doi. org/10.19044/esj</w:t>
          </w:r>
          <w:r w:rsidRPr="005B4DD7">
            <w:rPr>
              <w:rFonts w:cs="Times New Roman"/>
              <w:szCs w:val="24"/>
            </w:rPr>
            <w:t>, p.v16n28p173.</w:t>
          </w:r>
        </w:p>
        <w:p w14:paraId="04E5FB28" w14:textId="77777777" w:rsidR="00E22A62" w:rsidRPr="00F249CB" w:rsidRDefault="00E22A62" w:rsidP="005B4DD7">
          <w:pPr>
            <w:rPr>
              <w:szCs w:val="24"/>
              <w:shd w:val="clear" w:color="auto" w:fill="FFFFFF"/>
            </w:rPr>
          </w:pPr>
          <w:r w:rsidRPr="00F249CB">
            <w:rPr>
              <w:szCs w:val="24"/>
              <w:shd w:val="clear" w:color="auto" w:fill="FFFFFF"/>
            </w:rPr>
            <w:t>Lang, J.W., Reber, B. and Aldori, H. (2021) How Tesla created advantages in the ev automotive paradigm, through an integrated business model of value capture and value creation. </w:t>
          </w:r>
          <w:r w:rsidRPr="00F249CB">
            <w:rPr>
              <w:i/>
              <w:iCs/>
              <w:szCs w:val="24"/>
              <w:shd w:val="clear" w:color="auto" w:fill="FFFFFF"/>
            </w:rPr>
            <w:t>Business &amp; Management Studies: An International Journal</w:t>
          </w:r>
          <w:r w:rsidRPr="00F249CB">
            <w:rPr>
              <w:szCs w:val="24"/>
              <w:shd w:val="clear" w:color="auto" w:fill="FFFFFF"/>
            </w:rPr>
            <w:t>, </w:t>
          </w:r>
          <w:r w:rsidRPr="00F249CB">
            <w:rPr>
              <w:i/>
              <w:iCs/>
              <w:szCs w:val="24"/>
              <w:shd w:val="clear" w:color="auto" w:fill="FFFFFF"/>
            </w:rPr>
            <w:t>9</w:t>
          </w:r>
          <w:r w:rsidRPr="00F249CB">
            <w:rPr>
              <w:szCs w:val="24"/>
              <w:shd w:val="clear" w:color="auto" w:fill="FFFFFF"/>
            </w:rPr>
            <w:t>(1), pp.385-404.</w:t>
          </w:r>
        </w:p>
        <w:p w14:paraId="05E0F338" w14:textId="77777777" w:rsidR="00E22A62" w:rsidRPr="00F249CB" w:rsidRDefault="00E22A62" w:rsidP="00E22A62">
          <w:pPr>
            <w:rPr>
              <w:szCs w:val="24"/>
            </w:rPr>
          </w:pPr>
          <w:r w:rsidRPr="00F249CB">
            <w:rPr>
              <w:szCs w:val="24"/>
              <w:shd w:val="clear" w:color="auto" w:fill="FFFFFF"/>
            </w:rPr>
            <w:t>Liu, S. (2021, March) Competition and valuation: a case study of Tesla Motors. In </w:t>
          </w:r>
          <w:r w:rsidRPr="00F249CB">
            <w:rPr>
              <w:i/>
              <w:iCs/>
              <w:szCs w:val="24"/>
              <w:shd w:val="clear" w:color="auto" w:fill="FFFFFF"/>
            </w:rPr>
            <w:t>IOP Conference Series: Earth and Environmental Science</w:t>
          </w:r>
          <w:r w:rsidRPr="00F249CB">
            <w:rPr>
              <w:szCs w:val="24"/>
              <w:shd w:val="clear" w:color="auto" w:fill="FFFFFF"/>
            </w:rPr>
            <w:t> (Vol. 692, No. 2, p. 022103). IOP Publishing.</w:t>
          </w:r>
        </w:p>
        <w:p w14:paraId="21DF5BF9" w14:textId="6E5CB961" w:rsidR="007A1E39" w:rsidRDefault="007A1E39" w:rsidP="005B4DD7">
          <w:pPr>
            <w:rPr>
              <w:rFonts w:cs="Times New Roman"/>
              <w:szCs w:val="24"/>
            </w:rPr>
          </w:pPr>
          <w:r w:rsidRPr="005B4DD7">
            <w:rPr>
              <w:rFonts w:cs="Times New Roman"/>
              <w:szCs w:val="24"/>
            </w:rPr>
            <w:t xml:space="preserve">Lu, F. (2020, January) Can shareholders of Tesla really </w:t>
          </w:r>
          <w:r w:rsidR="00F249CB" w:rsidRPr="005B4DD7">
            <w:rPr>
              <w:rFonts w:cs="Times New Roman"/>
              <w:szCs w:val="24"/>
            </w:rPr>
            <w:t>benefit?</w:t>
          </w:r>
          <w:r w:rsidRPr="005B4DD7">
            <w:rPr>
              <w:rFonts w:cs="Times New Roman"/>
              <w:szCs w:val="24"/>
            </w:rPr>
            <w:t xml:space="preserve"> In </w:t>
          </w:r>
          <w:r w:rsidRPr="005B4DD7">
            <w:rPr>
              <w:rFonts w:cs="Times New Roman"/>
              <w:i/>
              <w:iCs/>
              <w:szCs w:val="24"/>
            </w:rPr>
            <w:t>2019 International Conference on Education Science and Economic Development (ICESED 2019)</w:t>
          </w:r>
          <w:r w:rsidRPr="005B4DD7">
            <w:rPr>
              <w:rFonts w:cs="Times New Roman"/>
              <w:szCs w:val="24"/>
            </w:rPr>
            <w:t> (pp. 227-233). Atlantis Press.</w:t>
          </w:r>
        </w:p>
        <w:p w14:paraId="10D834E1" w14:textId="6E52C950" w:rsidR="007A1E39" w:rsidRPr="005B4DD7" w:rsidRDefault="007A1E39" w:rsidP="005B4DD7">
          <w:pPr>
            <w:spacing w:after="200"/>
            <w:rPr>
              <w:rFonts w:cs="Times New Roman"/>
              <w:szCs w:val="24"/>
            </w:rPr>
          </w:pPr>
          <w:r w:rsidRPr="005B4DD7">
            <w:rPr>
              <w:rFonts w:cs="Times New Roman"/>
              <w:szCs w:val="24"/>
            </w:rPr>
            <w:t xml:space="preserve">Macrotrends. (2024) </w:t>
          </w:r>
          <w:r w:rsidRPr="005B4DD7">
            <w:rPr>
              <w:rFonts w:cs="Times New Roman"/>
              <w:i/>
              <w:iCs/>
              <w:szCs w:val="24"/>
            </w:rPr>
            <w:t xml:space="preserve">Tesla revenue 2010-2024: </w:t>
          </w:r>
          <w:r w:rsidR="00F249CB" w:rsidRPr="005B4DD7">
            <w:rPr>
              <w:rFonts w:cs="Times New Roman"/>
              <w:i/>
              <w:iCs/>
              <w:szCs w:val="24"/>
            </w:rPr>
            <w:t>Tesla</w:t>
          </w:r>
          <w:r w:rsidRPr="005B4DD7">
            <w:rPr>
              <w:rFonts w:cs="Times New Roman"/>
              <w:szCs w:val="24"/>
            </w:rPr>
            <w:t xml:space="preserve">, </w:t>
          </w:r>
          <w:r w:rsidRPr="005B4DD7">
            <w:rPr>
              <w:rFonts w:cs="Times New Roman"/>
              <w:i/>
              <w:iCs/>
              <w:szCs w:val="24"/>
            </w:rPr>
            <w:t>Macrotrends</w:t>
          </w:r>
          <w:r w:rsidRPr="005B4DD7">
            <w:rPr>
              <w:rFonts w:cs="Times New Roman"/>
              <w:szCs w:val="24"/>
            </w:rPr>
            <w:t xml:space="preserve">. Available at: https://www.macrotrends.net/stocks/charts/TSLA/tesla/revenue#:~:text=Tesla%20revenue%20for%20the%20twelve,a%2051.35%25%20increase%20from%202021. (Accessed: 15 June 2024). </w:t>
          </w:r>
        </w:p>
        <w:p w14:paraId="517151E9" w14:textId="52FCBF0A" w:rsidR="007A1E39" w:rsidRPr="005B4DD7" w:rsidRDefault="007A1E39" w:rsidP="005B4DD7">
          <w:pPr>
            <w:rPr>
              <w:rFonts w:cs="Times New Roman"/>
              <w:szCs w:val="24"/>
            </w:rPr>
          </w:pPr>
          <w:r w:rsidRPr="005B4DD7">
            <w:rPr>
              <w:rFonts w:cs="Times New Roman"/>
              <w:szCs w:val="24"/>
            </w:rPr>
            <w:t xml:space="preserve">Macrotrends. (2024a) </w:t>
          </w:r>
          <w:r w:rsidRPr="005B4DD7">
            <w:rPr>
              <w:rFonts w:cs="Times New Roman"/>
              <w:i/>
              <w:iCs/>
              <w:szCs w:val="24"/>
            </w:rPr>
            <w:t xml:space="preserve">Tesla debts 2010-2024: </w:t>
          </w:r>
          <w:r w:rsidR="00F249CB" w:rsidRPr="005B4DD7">
            <w:rPr>
              <w:rFonts w:cs="Times New Roman"/>
              <w:i/>
              <w:iCs/>
              <w:szCs w:val="24"/>
            </w:rPr>
            <w:t>Tesla</w:t>
          </w:r>
          <w:r w:rsidRPr="005B4DD7">
            <w:rPr>
              <w:rFonts w:cs="Times New Roman"/>
              <w:szCs w:val="24"/>
            </w:rPr>
            <w:t xml:space="preserve">, </w:t>
          </w:r>
          <w:r w:rsidRPr="005B4DD7">
            <w:rPr>
              <w:rFonts w:cs="Times New Roman"/>
              <w:i/>
              <w:iCs/>
              <w:szCs w:val="24"/>
            </w:rPr>
            <w:t>Macrotrends</w:t>
          </w:r>
          <w:r w:rsidRPr="005B4DD7">
            <w:rPr>
              <w:rFonts w:cs="Times New Roman"/>
              <w:szCs w:val="24"/>
            </w:rPr>
            <w:t>. Available at: https://www.macrotrends.net/stocks/charts/TSLA/tesla/long-term-</w:t>
          </w:r>
          <w:r w:rsidRPr="005B4DD7">
            <w:rPr>
              <w:rFonts w:cs="Times New Roman"/>
              <w:szCs w:val="24"/>
            </w:rPr>
            <w:lastRenderedPageBreak/>
            <w:t xml:space="preserve">debt#:~:text=Tesla%20long%20term%20debt%20for,a%2069.55%25%20decline%20from%202021. (Accessed: 15 June 2024). </w:t>
          </w:r>
        </w:p>
        <w:p w14:paraId="03603E00" w14:textId="77777777" w:rsidR="007A1E39" w:rsidRPr="005B4DD7" w:rsidRDefault="007A1E39" w:rsidP="005B4DD7">
          <w:pPr>
            <w:rPr>
              <w:rFonts w:cs="Times New Roman"/>
              <w:szCs w:val="24"/>
            </w:rPr>
          </w:pPr>
          <w:r w:rsidRPr="005B4DD7">
            <w:rPr>
              <w:rFonts w:cs="Times New Roman"/>
              <w:szCs w:val="24"/>
            </w:rPr>
            <w:t>Mercereau, B., Neveux, G., Sertã, J.P.C., Marechal, B. and Tonolo, G. (2020) Fighting climate change as a global equity investor. </w:t>
          </w:r>
          <w:r w:rsidRPr="005B4DD7">
            <w:rPr>
              <w:rFonts w:cs="Times New Roman"/>
              <w:i/>
              <w:iCs/>
              <w:szCs w:val="24"/>
            </w:rPr>
            <w:t>Journal of Asset Management</w:t>
          </w:r>
          <w:r w:rsidRPr="005B4DD7">
            <w:rPr>
              <w:rFonts w:cs="Times New Roman"/>
              <w:szCs w:val="24"/>
            </w:rPr>
            <w:t>, </w:t>
          </w:r>
          <w:r w:rsidRPr="005B4DD7">
            <w:rPr>
              <w:rFonts w:cs="Times New Roman"/>
              <w:i/>
              <w:iCs/>
              <w:szCs w:val="24"/>
            </w:rPr>
            <w:t>21</w:t>
          </w:r>
          <w:r w:rsidRPr="005B4DD7">
            <w:rPr>
              <w:rFonts w:cs="Times New Roman"/>
              <w:szCs w:val="24"/>
            </w:rPr>
            <w:t>(1), pp.70-83.</w:t>
          </w:r>
        </w:p>
        <w:p w14:paraId="1E373E20" w14:textId="77777777" w:rsidR="007A1E39" w:rsidRPr="005B4DD7" w:rsidRDefault="007A1E39" w:rsidP="005B4DD7">
          <w:pPr>
            <w:rPr>
              <w:rFonts w:cs="Times New Roman"/>
              <w:szCs w:val="24"/>
            </w:rPr>
          </w:pPr>
          <w:r w:rsidRPr="005B4DD7">
            <w:rPr>
              <w:rFonts w:cs="Times New Roman"/>
              <w:szCs w:val="24"/>
            </w:rPr>
            <w:t>Mihailova, M. (2020) The state of agriculture in Bulgaria-PESTLE analysis. </w:t>
          </w:r>
          <w:r w:rsidRPr="005B4DD7">
            <w:rPr>
              <w:rFonts w:cs="Times New Roman"/>
              <w:i/>
              <w:iCs/>
              <w:szCs w:val="24"/>
            </w:rPr>
            <w:t>Bulgarian Journal of Agricultural Science</w:t>
          </w:r>
          <w:r w:rsidRPr="005B4DD7">
            <w:rPr>
              <w:rFonts w:cs="Times New Roman"/>
              <w:szCs w:val="24"/>
            </w:rPr>
            <w:t>, </w:t>
          </w:r>
          <w:r w:rsidRPr="005B4DD7">
            <w:rPr>
              <w:rFonts w:cs="Times New Roman"/>
              <w:i/>
              <w:iCs/>
              <w:szCs w:val="24"/>
            </w:rPr>
            <w:t>26</w:t>
          </w:r>
          <w:r w:rsidRPr="005B4DD7">
            <w:rPr>
              <w:rFonts w:cs="Times New Roman"/>
              <w:szCs w:val="24"/>
            </w:rPr>
            <w:t>(5).</w:t>
          </w:r>
        </w:p>
        <w:p w14:paraId="485706F9" w14:textId="77777777" w:rsidR="007A1E39" w:rsidRPr="005B4DD7" w:rsidRDefault="007A1E39" w:rsidP="005B4DD7">
          <w:pPr>
            <w:rPr>
              <w:rFonts w:cs="Times New Roman"/>
              <w:szCs w:val="24"/>
            </w:rPr>
          </w:pPr>
          <w:r w:rsidRPr="005B4DD7">
            <w:rPr>
              <w:rFonts w:cs="Times New Roman"/>
              <w:szCs w:val="24"/>
            </w:rPr>
            <w:t>Möller, K., Nenonen, S. and Storbacka, K. (2020) Networks, ecosystems, fields, market systems? Making sense of the business environment. </w:t>
          </w:r>
          <w:r w:rsidRPr="005B4DD7">
            <w:rPr>
              <w:rFonts w:cs="Times New Roman"/>
              <w:i/>
              <w:iCs/>
              <w:szCs w:val="24"/>
            </w:rPr>
            <w:t>Industrial Marketing Management</w:t>
          </w:r>
          <w:r w:rsidRPr="005B4DD7">
            <w:rPr>
              <w:rFonts w:cs="Times New Roman"/>
              <w:szCs w:val="24"/>
            </w:rPr>
            <w:t>, </w:t>
          </w:r>
          <w:r w:rsidRPr="005B4DD7">
            <w:rPr>
              <w:rFonts w:cs="Times New Roman"/>
              <w:i/>
              <w:iCs/>
              <w:szCs w:val="24"/>
            </w:rPr>
            <w:t>90</w:t>
          </w:r>
          <w:r w:rsidRPr="005B4DD7">
            <w:rPr>
              <w:rFonts w:cs="Times New Roman"/>
              <w:szCs w:val="24"/>
            </w:rPr>
            <w:t>, pp.380-399.</w:t>
          </w:r>
        </w:p>
        <w:p w14:paraId="4DB364E2" w14:textId="77777777" w:rsidR="007A1E39" w:rsidRPr="005B4DD7" w:rsidRDefault="007A1E39" w:rsidP="005B4DD7">
          <w:pPr>
            <w:rPr>
              <w:rFonts w:cs="Times New Roman"/>
              <w:szCs w:val="24"/>
            </w:rPr>
          </w:pPr>
          <w:r w:rsidRPr="005B4DD7">
            <w:rPr>
              <w:rFonts w:cs="Times New Roman"/>
              <w:szCs w:val="24"/>
            </w:rPr>
            <w:t>Mugo, P. (2020) Porter’s five forces influence on competitive advantage in telecommunication industry in Kenya. </w:t>
          </w:r>
          <w:r w:rsidRPr="005B4DD7">
            <w:rPr>
              <w:rFonts w:cs="Times New Roman"/>
              <w:i/>
              <w:iCs/>
              <w:szCs w:val="24"/>
            </w:rPr>
            <w:t>European Journal of Business and Strategic Management</w:t>
          </w:r>
          <w:r w:rsidRPr="005B4DD7">
            <w:rPr>
              <w:rFonts w:cs="Times New Roman"/>
              <w:szCs w:val="24"/>
            </w:rPr>
            <w:t>, </w:t>
          </w:r>
          <w:r w:rsidRPr="005B4DD7">
            <w:rPr>
              <w:rFonts w:cs="Times New Roman"/>
              <w:i/>
              <w:iCs/>
              <w:szCs w:val="24"/>
            </w:rPr>
            <w:t>5</w:t>
          </w:r>
          <w:r w:rsidRPr="005B4DD7">
            <w:rPr>
              <w:rFonts w:cs="Times New Roman"/>
              <w:szCs w:val="24"/>
            </w:rPr>
            <w:t>(2), pp.30-49.</w:t>
          </w:r>
        </w:p>
        <w:p w14:paraId="7632178D" w14:textId="77777777" w:rsidR="007A1E39" w:rsidRDefault="007A1E39" w:rsidP="005B4DD7">
          <w:pPr>
            <w:rPr>
              <w:rFonts w:cs="Times New Roman"/>
              <w:szCs w:val="24"/>
            </w:rPr>
          </w:pPr>
          <w:r w:rsidRPr="005B4DD7">
            <w:rPr>
              <w:rFonts w:cs="Times New Roman"/>
              <w:szCs w:val="24"/>
            </w:rPr>
            <w:t>Muratori, M., Alexander, M., Arent, D., Bazilian, M., Cazzola, P., Dede, E.M., Farrell, J., Gearhart, C., Greene, D., Jenn, A. and Keyser, M. (2021) The rise of electric vehicles—2020 status and future expectations. </w:t>
          </w:r>
          <w:r w:rsidRPr="005B4DD7">
            <w:rPr>
              <w:rFonts w:cs="Times New Roman"/>
              <w:i/>
              <w:iCs/>
              <w:szCs w:val="24"/>
            </w:rPr>
            <w:t>Progress in Energy</w:t>
          </w:r>
          <w:r w:rsidRPr="005B4DD7">
            <w:rPr>
              <w:rFonts w:cs="Times New Roman"/>
              <w:szCs w:val="24"/>
            </w:rPr>
            <w:t>, </w:t>
          </w:r>
          <w:r w:rsidRPr="005B4DD7">
            <w:rPr>
              <w:rFonts w:cs="Times New Roman"/>
              <w:i/>
              <w:iCs/>
              <w:szCs w:val="24"/>
            </w:rPr>
            <w:t>3</w:t>
          </w:r>
          <w:r w:rsidRPr="005B4DD7">
            <w:rPr>
              <w:rFonts w:cs="Times New Roman"/>
              <w:szCs w:val="24"/>
            </w:rPr>
            <w:t>(2), p.022002.</w:t>
          </w:r>
        </w:p>
        <w:p w14:paraId="7ABE7A2D" w14:textId="77777777" w:rsidR="00E22A62" w:rsidRPr="00F249CB" w:rsidRDefault="00E22A62" w:rsidP="005B4DD7">
          <w:pPr>
            <w:rPr>
              <w:szCs w:val="24"/>
            </w:rPr>
          </w:pPr>
          <w:r w:rsidRPr="00F249CB">
            <w:rPr>
              <w:szCs w:val="24"/>
              <w:shd w:val="clear" w:color="auto" w:fill="FFFFFF"/>
            </w:rPr>
            <w:t>Naor, M., Coman, A. and Wiznizer, A. (2021) Vertically integrated supply chain of batteries, electric vehicles, and charging infrastructure: A review of three milestone projects from theory of constraints perspective. </w:t>
          </w:r>
          <w:r w:rsidRPr="00F249CB">
            <w:rPr>
              <w:i/>
              <w:iCs/>
              <w:szCs w:val="24"/>
              <w:shd w:val="clear" w:color="auto" w:fill="FFFFFF"/>
            </w:rPr>
            <w:t>Sustainability</w:t>
          </w:r>
          <w:r w:rsidRPr="00F249CB">
            <w:rPr>
              <w:szCs w:val="24"/>
              <w:shd w:val="clear" w:color="auto" w:fill="FFFFFF"/>
            </w:rPr>
            <w:t>, </w:t>
          </w:r>
          <w:r w:rsidRPr="00F249CB">
            <w:rPr>
              <w:i/>
              <w:iCs/>
              <w:szCs w:val="24"/>
              <w:shd w:val="clear" w:color="auto" w:fill="FFFFFF"/>
            </w:rPr>
            <w:t>13</w:t>
          </w:r>
          <w:r w:rsidRPr="00F249CB">
            <w:rPr>
              <w:szCs w:val="24"/>
              <w:shd w:val="clear" w:color="auto" w:fill="FFFFFF"/>
            </w:rPr>
            <w:t>(7), p.3632.</w:t>
          </w:r>
        </w:p>
        <w:p w14:paraId="7861F739" w14:textId="77777777" w:rsidR="007A1E39" w:rsidRPr="005B4DD7" w:rsidRDefault="007A1E39" w:rsidP="005B4DD7">
          <w:pPr>
            <w:rPr>
              <w:rFonts w:cs="Times New Roman"/>
              <w:szCs w:val="24"/>
            </w:rPr>
          </w:pPr>
          <w:r w:rsidRPr="005B4DD7">
            <w:rPr>
              <w:rFonts w:cs="Times New Roman"/>
              <w:szCs w:val="24"/>
            </w:rPr>
            <w:t>Olesia, D. and Zhou, J. (2023) Financial Risks in Mergers and Acquisitions (M&amp;A): A Case Study of SolarCity’s Acquisition by Tesla. </w:t>
          </w:r>
          <w:r w:rsidRPr="005B4DD7">
            <w:rPr>
              <w:rFonts w:cs="Times New Roman"/>
              <w:i/>
              <w:iCs/>
              <w:szCs w:val="24"/>
            </w:rPr>
            <w:t>Frontiers in Business, Economics and Management</w:t>
          </w:r>
          <w:r w:rsidRPr="005B4DD7">
            <w:rPr>
              <w:rFonts w:cs="Times New Roman"/>
              <w:szCs w:val="24"/>
            </w:rPr>
            <w:t>, </w:t>
          </w:r>
          <w:r w:rsidRPr="005B4DD7">
            <w:rPr>
              <w:rFonts w:cs="Times New Roman"/>
              <w:i/>
              <w:iCs/>
              <w:szCs w:val="24"/>
            </w:rPr>
            <w:t>11</w:t>
          </w:r>
          <w:r w:rsidRPr="005B4DD7">
            <w:rPr>
              <w:rFonts w:cs="Times New Roman"/>
              <w:szCs w:val="24"/>
            </w:rPr>
            <w:t>(3), pp.237-243.</w:t>
          </w:r>
        </w:p>
        <w:p w14:paraId="61562EAE" w14:textId="77777777" w:rsidR="007A1E39" w:rsidRDefault="007A1E39" w:rsidP="005B4DD7">
          <w:pPr>
            <w:rPr>
              <w:rFonts w:cs="Times New Roman"/>
              <w:szCs w:val="24"/>
            </w:rPr>
          </w:pPr>
          <w:r w:rsidRPr="005B4DD7">
            <w:rPr>
              <w:rFonts w:cs="Times New Roman"/>
              <w:szCs w:val="24"/>
            </w:rPr>
            <w:t>Onyshchenko, S., Maslii, O. and Ivaniuk, B. (2020) The impact of the external environment on the economic security of Ukrainian business. </w:t>
          </w:r>
          <w:r w:rsidRPr="005B4DD7">
            <w:rPr>
              <w:rFonts w:cs="Times New Roman"/>
              <w:i/>
              <w:iCs/>
              <w:szCs w:val="24"/>
            </w:rPr>
            <w:t>Науковий журнал «Економіка і регіон»</w:t>
          </w:r>
          <w:r w:rsidRPr="005B4DD7">
            <w:rPr>
              <w:rFonts w:cs="Times New Roman"/>
              <w:szCs w:val="24"/>
            </w:rPr>
            <w:t>, (1 (76)), pp.22-29.</w:t>
          </w:r>
        </w:p>
        <w:p w14:paraId="4249B57C" w14:textId="77777777" w:rsidR="007A1E39" w:rsidRPr="005B4DD7" w:rsidRDefault="007A1E39" w:rsidP="005B4DD7">
          <w:pPr>
            <w:rPr>
              <w:rFonts w:cs="Times New Roman"/>
              <w:szCs w:val="24"/>
            </w:rPr>
          </w:pPr>
          <w:r w:rsidRPr="005B4DD7">
            <w:rPr>
              <w:rFonts w:cs="Times New Roman"/>
              <w:szCs w:val="24"/>
            </w:rPr>
            <w:t>Peng, L. (2024) Incremental Innovation: Range Development and Innovation in Tesla's New Energy Batteries. </w:t>
          </w:r>
          <w:r w:rsidRPr="005B4DD7">
            <w:rPr>
              <w:rFonts w:cs="Times New Roman"/>
              <w:i/>
              <w:iCs/>
              <w:szCs w:val="24"/>
            </w:rPr>
            <w:t>Industrial Engineering and Innovation Management</w:t>
          </w:r>
          <w:r w:rsidRPr="005B4DD7">
            <w:rPr>
              <w:rFonts w:cs="Times New Roman"/>
              <w:szCs w:val="24"/>
            </w:rPr>
            <w:t>, </w:t>
          </w:r>
          <w:r w:rsidRPr="005B4DD7">
            <w:rPr>
              <w:rFonts w:cs="Times New Roman"/>
              <w:i/>
              <w:iCs/>
              <w:szCs w:val="24"/>
            </w:rPr>
            <w:t>7</w:t>
          </w:r>
          <w:r w:rsidRPr="005B4DD7">
            <w:rPr>
              <w:rFonts w:cs="Times New Roman"/>
              <w:szCs w:val="24"/>
            </w:rPr>
            <w:t>(1), pp.61-68.</w:t>
          </w:r>
        </w:p>
        <w:p w14:paraId="20C41B95" w14:textId="77777777" w:rsidR="007A1E39" w:rsidRDefault="007A1E39" w:rsidP="005B4DD7">
          <w:pPr>
            <w:rPr>
              <w:rFonts w:cs="Times New Roman"/>
              <w:szCs w:val="24"/>
            </w:rPr>
          </w:pPr>
          <w:r w:rsidRPr="005B4DD7">
            <w:rPr>
              <w:rFonts w:cs="Times New Roman"/>
              <w:szCs w:val="24"/>
            </w:rPr>
            <w:t>Pereira, L., Pinto, M., da Costa, R.L., Dias, Á. and Gonçalves, R. (2021) The new SWOT for a sustainable world. </w:t>
          </w:r>
          <w:r w:rsidRPr="005B4DD7">
            <w:rPr>
              <w:rFonts w:cs="Times New Roman"/>
              <w:i/>
              <w:iCs/>
              <w:szCs w:val="24"/>
            </w:rPr>
            <w:t>Journal of Open Innovation: Technology, Market, and Complexity</w:t>
          </w:r>
          <w:r w:rsidRPr="005B4DD7">
            <w:rPr>
              <w:rFonts w:cs="Times New Roman"/>
              <w:szCs w:val="24"/>
            </w:rPr>
            <w:t>, </w:t>
          </w:r>
          <w:r w:rsidRPr="005B4DD7">
            <w:rPr>
              <w:rFonts w:cs="Times New Roman"/>
              <w:i/>
              <w:iCs/>
              <w:szCs w:val="24"/>
            </w:rPr>
            <w:t>7</w:t>
          </w:r>
          <w:r w:rsidRPr="005B4DD7">
            <w:rPr>
              <w:rFonts w:cs="Times New Roman"/>
              <w:szCs w:val="24"/>
            </w:rPr>
            <w:t>(1), p.18.</w:t>
          </w:r>
        </w:p>
        <w:p w14:paraId="1E62EC30" w14:textId="77777777" w:rsidR="00E22A62" w:rsidRPr="00F249CB" w:rsidRDefault="00E22A62" w:rsidP="005B4DD7">
          <w:pPr>
            <w:rPr>
              <w:szCs w:val="24"/>
            </w:rPr>
          </w:pPr>
          <w:r w:rsidRPr="00F249CB">
            <w:rPr>
              <w:szCs w:val="24"/>
              <w:shd w:val="clear" w:color="auto" w:fill="FFFFFF"/>
            </w:rPr>
            <w:lastRenderedPageBreak/>
            <w:t>Putera, G.A. and Heikal, J. (2021) Business strategy of indah kiat pulp and paper Perawang Mill, Riau, Indonesia using PESTLE, Porter’s five forces, and SWOT Analysis under SOSTAC Framework. </w:t>
          </w:r>
          <w:r w:rsidRPr="00F249CB">
            <w:rPr>
              <w:i/>
              <w:iCs/>
              <w:szCs w:val="24"/>
              <w:shd w:val="clear" w:color="auto" w:fill="FFFFFF"/>
            </w:rPr>
            <w:t>International Journal of Scientific Research in Science and Technology</w:t>
          </w:r>
          <w:r w:rsidRPr="00F249CB">
            <w:rPr>
              <w:szCs w:val="24"/>
              <w:shd w:val="clear" w:color="auto" w:fill="FFFFFF"/>
            </w:rPr>
            <w:t>, </w:t>
          </w:r>
          <w:r w:rsidRPr="00F249CB">
            <w:rPr>
              <w:i/>
              <w:iCs/>
              <w:szCs w:val="24"/>
              <w:shd w:val="clear" w:color="auto" w:fill="FFFFFF"/>
            </w:rPr>
            <w:t>8</w:t>
          </w:r>
          <w:r w:rsidRPr="00F249CB">
            <w:rPr>
              <w:szCs w:val="24"/>
              <w:shd w:val="clear" w:color="auto" w:fill="FFFFFF"/>
            </w:rPr>
            <w:t>(6), pp.252-270.</w:t>
          </w:r>
        </w:p>
        <w:p w14:paraId="540BA4BC" w14:textId="77777777" w:rsidR="007A1E39" w:rsidRPr="005B4DD7" w:rsidRDefault="007A1E39" w:rsidP="005B4DD7">
          <w:pPr>
            <w:rPr>
              <w:rFonts w:cs="Times New Roman"/>
              <w:szCs w:val="24"/>
            </w:rPr>
          </w:pPr>
          <w:r w:rsidRPr="005B4DD7">
            <w:rPr>
              <w:rFonts w:cs="Times New Roman"/>
              <w:szCs w:val="24"/>
            </w:rPr>
            <w:t>Raihan, A. (2024) The influences of economic progress, natural resources, and capitalization on financial development in the United States. </w:t>
          </w:r>
          <w:r w:rsidRPr="005B4DD7">
            <w:rPr>
              <w:rFonts w:cs="Times New Roman"/>
              <w:i/>
              <w:iCs/>
              <w:szCs w:val="24"/>
            </w:rPr>
            <w:t>Innovation and Green Development</w:t>
          </w:r>
          <w:r w:rsidRPr="005B4DD7">
            <w:rPr>
              <w:rFonts w:cs="Times New Roman"/>
              <w:szCs w:val="24"/>
            </w:rPr>
            <w:t>, </w:t>
          </w:r>
          <w:r w:rsidRPr="005B4DD7">
            <w:rPr>
              <w:rFonts w:cs="Times New Roman"/>
              <w:i/>
              <w:iCs/>
              <w:szCs w:val="24"/>
            </w:rPr>
            <w:t>3</w:t>
          </w:r>
          <w:r w:rsidRPr="005B4DD7">
            <w:rPr>
              <w:rFonts w:cs="Times New Roman"/>
              <w:szCs w:val="24"/>
            </w:rPr>
            <w:t>(2), p.100146.</w:t>
          </w:r>
        </w:p>
        <w:p w14:paraId="5DBB9C15" w14:textId="77777777" w:rsidR="007A1E39" w:rsidRPr="005B4DD7" w:rsidRDefault="007A1E39" w:rsidP="005B4DD7">
          <w:pPr>
            <w:rPr>
              <w:rFonts w:cs="Times New Roman"/>
              <w:szCs w:val="24"/>
            </w:rPr>
          </w:pPr>
          <w:r w:rsidRPr="005B4DD7">
            <w:rPr>
              <w:rFonts w:cs="Times New Roman"/>
              <w:szCs w:val="24"/>
            </w:rPr>
            <w:t>Serfointein, E. and Govender, K.K. (2020) Stakeholders' views regarding macro-environment impacts on commercial flight operations in South Africa. </w:t>
          </w:r>
          <w:r w:rsidRPr="005B4DD7">
            <w:rPr>
              <w:rFonts w:cs="Times New Roman"/>
              <w:i/>
              <w:iCs/>
              <w:szCs w:val="24"/>
            </w:rPr>
            <w:t>Journal of Transport and Supply Chain Management</w:t>
          </w:r>
          <w:r w:rsidRPr="005B4DD7">
            <w:rPr>
              <w:rFonts w:cs="Times New Roman"/>
              <w:szCs w:val="24"/>
            </w:rPr>
            <w:t>, </w:t>
          </w:r>
          <w:r w:rsidRPr="005B4DD7">
            <w:rPr>
              <w:rFonts w:cs="Times New Roman"/>
              <w:i/>
              <w:iCs/>
              <w:szCs w:val="24"/>
            </w:rPr>
            <w:t>14</w:t>
          </w:r>
          <w:r w:rsidRPr="005B4DD7">
            <w:rPr>
              <w:rFonts w:cs="Times New Roman"/>
              <w:szCs w:val="24"/>
            </w:rPr>
            <w:t>(1), pp.1-11.</w:t>
          </w:r>
        </w:p>
        <w:p w14:paraId="015FBF07" w14:textId="77777777" w:rsidR="007A1E39" w:rsidRPr="005B4DD7" w:rsidRDefault="007A1E39" w:rsidP="005B4DD7">
          <w:pPr>
            <w:rPr>
              <w:rFonts w:cs="Times New Roman"/>
              <w:szCs w:val="24"/>
            </w:rPr>
          </w:pPr>
          <w:r w:rsidRPr="005B4DD7">
            <w:rPr>
              <w:rFonts w:cs="Times New Roman"/>
              <w:szCs w:val="24"/>
            </w:rPr>
            <w:t>Sharma, A., Soni, M., Borah, S.B. and Saboo, A.R. (2020) Identifying the drivers of luxury brand sales in emerging markets: An exploratory study. </w:t>
          </w:r>
          <w:r w:rsidRPr="005B4DD7">
            <w:rPr>
              <w:rFonts w:cs="Times New Roman"/>
              <w:i/>
              <w:iCs/>
              <w:szCs w:val="24"/>
            </w:rPr>
            <w:t>Journal of Business Research</w:t>
          </w:r>
          <w:r w:rsidRPr="005B4DD7">
            <w:rPr>
              <w:rFonts w:cs="Times New Roman"/>
              <w:szCs w:val="24"/>
            </w:rPr>
            <w:t>, </w:t>
          </w:r>
          <w:r w:rsidRPr="005B4DD7">
            <w:rPr>
              <w:rFonts w:cs="Times New Roman"/>
              <w:i/>
              <w:iCs/>
              <w:szCs w:val="24"/>
            </w:rPr>
            <w:t>111</w:t>
          </w:r>
          <w:r w:rsidRPr="005B4DD7">
            <w:rPr>
              <w:rFonts w:cs="Times New Roman"/>
              <w:szCs w:val="24"/>
            </w:rPr>
            <w:t>, pp.25-40.</w:t>
          </w:r>
        </w:p>
        <w:p w14:paraId="51302A83" w14:textId="77777777" w:rsidR="007A1E39" w:rsidRPr="005B4DD7" w:rsidRDefault="007A1E39" w:rsidP="005B4DD7">
          <w:pPr>
            <w:rPr>
              <w:rFonts w:cs="Times New Roman"/>
              <w:szCs w:val="24"/>
            </w:rPr>
          </w:pPr>
          <w:r w:rsidRPr="005B4DD7">
            <w:rPr>
              <w:rFonts w:cs="Times New Roman"/>
              <w:szCs w:val="24"/>
            </w:rPr>
            <w:t>Siddiqui, A. (2021) SWOT Analysis (or SWOT Matrix) Tool as a Strategic Planning and Management Technique in the Health Care Industry and Its Advantages. </w:t>
          </w:r>
          <w:r w:rsidRPr="005B4DD7">
            <w:rPr>
              <w:rFonts w:cs="Times New Roman"/>
              <w:i/>
              <w:iCs/>
              <w:szCs w:val="24"/>
            </w:rPr>
            <w:t>Biomedical Journal of Scientific &amp; Technical Research</w:t>
          </w:r>
          <w:r w:rsidRPr="005B4DD7">
            <w:rPr>
              <w:rFonts w:cs="Times New Roman"/>
              <w:szCs w:val="24"/>
            </w:rPr>
            <w:t>, </w:t>
          </w:r>
          <w:r w:rsidRPr="005B4DD7">
            <w:rPr>
              <w:rFonts w:cs="Times New Roman"/>
              <w:i/>
              <w:iCs/>
              <w:szCs w:val="24"/>
            </w:rPr>
            <w:t>40</w:t>
          </w:r>
          <w:r w:rsidRPr="005B4DD7">
            <w:rPr>
              <w:rFonts w:cs="Times New Roman"/>
              <w:szCs w:val="24"/>
            </w:rPr>
            <w:t>(2), pp.32035-32042.</w:t>
          </w:r>
        </w:p>
        <w:p w14:paraId="3FDBBB8F" w14:textId="77777777" w:rsidR="007A1E39" w:rsidRPr="005B4DD7" w:rsidRDefault="007A1E39" w:rsidP="005B4DD7">
          <w:pPr>
            <w:spacing w:after="200"/>
            <w:rPr>
              <w:rFonts w:cs="Times New Roman"/>
              <w:szCs w:val="24"/>
            </w:rPr>
          </w:pPr>
          <w:r w:rsidRPr="005B4DD7">
            <w:rPr>
              <w:rFonts w:cs="Times New Roman"/>
              <w:szCs w:val="24"/>
            </w:rPr>
            <w:t xml:space="preserve">Statista. (2024) </w:t>
          </w:r>
          <w:r w:rsidRPr="005B4DD7">
            <w:rPr>
              <w:rFonts w:cs="Times New Roman"/>
              <w:i/>
              <w:iCs/>
              <w:szCs w:val="24"/>
            </w:rPr>
            <w:t>Number of tesla employees 2023</w:t>
          </w:r>
          <w:r w:rsidRPr="005B4DD7">
            <w:rPr>
              <w:rFonts w:cs="Times New Roman"/>
              <w:szCs w:val="24"/>
            </w:rPr>
            <w:t xml:space="preserve">, </w:t>
          </w:r>
          <w:r w:rsidRPr="005B4DD7">
            <w:rPr>
              <w:rFonts w:cs="Times New Roman"/>
              <w:i/>
              <w:iCs/>
              <w:szCs w:val="24"/>
            </w:rPr>
            <w:t>Statista</w:t>
          </w:r>
          <w:r w:rsidRPr="005B4DD7">
            <w:rPr>
              <w:rFonts w:cs="Times New Roman"/>
              <w:szCs w:val="24"/>
            </w:rPr>
            <w:t xml:space="preserve">. Available at: https://www.statista.com/statistics/314768/number-of-tesla-employees/ (Accessed: 15 June 2024). </w:t>
          </w:r>
        </w:p>
        <w:p w14:paraId="6BB72554" w14:textId="77777777" w:rsidR="007A1E39" w:rsidRPr="005B4DD7" w:rsidRDefault="007A1E39" w:rsidP="005B4DD7">
          <w:pPr>
            <w:rPr>
              <w:rFonts w:cs="Times New Roman"/>
              <w:szCs w:val="24"/>
            </w:rPr>
          </w:pPr>
          <w:r w:rsidRPr="005B4DD7">
            <w:rPr>
              <w:rFonts w:cs="Times New Roman"/>
              <w:szCs w:val="24"/>
            </w:rPr>
            <w:t xml:space="preserve">Tesla (2024) </w:t>
          </w:r>
          <w:r w:rsidRPr="005B4DD7">
            <w:rPr>
              <w:rFonts w:cs="Times New Roman"/>
              <w:i/>
              <w:iCs/>
              <w:szCs w:val="24"/>
            </w:rPr>
            <w:t>About</w:t>
          </w:r>
          <w:r w:rsidRPr="005B4DD7">
            <w:rPr>
              <w:rFonts w:cs="Times New Roman"/>
              <w:szCs w:val="24"/>
            </w:rPr>
            <w:t xml:space="preserve">, </w:t>
          </w:r>
          <w:r w:rsidRPr="005B4DD7">
            <w:rPr>
              <w:rFonts w:cs="Times New Roman"/>
              <w:i/>
              <w:iCs/>
              <w:szCs w:val="24"/>
            </w:rPr>
            <w:t>Tesla | About</w:t>
          </w:r>
          <w:r w:rsidRPr="005B4DD7">
            <w:rPr>
              <w:rFonts w:cs="Times New Roman"/>
              <w:szCs w:val="24"/>
            </w:rPr>
            <w:t xml:space="preserve">. Available at: https://www.tesla.com/about (Accessed: 15 June 2024). </w:t>
          </w:r>
        </w:p>
        <w:p w14:paraId="6C1FF32F" w14:textId="77777777" w:rsidR="007A1E39" w:rsidRPr="005B4DD7" w:rsidRDefault="007A1E39" w:rsidP="005B4DD7">
          <w:pPr>
            <w:spacing w:after="200"/>
            <w:rPr>
              <w:rFonts w:cs="Times New Roman"/>
              <w:szCs w:val="24"/>
            </w:rPr>
          </w:pPr>
          <w:r w:rsidRPr="005B4DD7">
            <w:rPr>
              <w:rFonts w:cs="Times New Roman"/>
              <w:szCs w:val="24"/>
            </w:rPr>
            <w:t xml:space="preserve">Tesla. (2016) </w:t>
          </w:r>
          <w:r w:rsidRPr="005B4DD7">
            <w:rPr>
              <w:rFonts w:cs="Times New Roman"/>
              <w:i/>
              <w:iCs/>
              <w:szCs w:val="24"/>
            </w:rPr>
            <w:t>Tesla and SolarCity</w:t>
          </w:r>
          <w:r w:rsidRPr="005B4DD7">
            <w:rPr>
              <w:rFonts w:cs="Times New Roman"/>
              <w:szCs w:val="24"/>
            </w:rPr>
            <w:t xml:space="preserve">, </w:t>
          </w:r>
          <w:r w:rsidRPr="005B4DD7">
            <w:rPr>
              <w:rFonts w:cs="Times New Roman"/>
              <w:i/>
              <w:iCs/>
              <w:szCs w:val="24"/>
            </w:rPr>
            <w:t>Tesla</w:t>
          </w:r>
          <w:r w:rsidRPr="005B4DD7">
            <w:rPr>
              <w:rFonts w:cs="Times New Roman"/>
              <w:szCs w:val="24"/>
            </w:rPr>
            <w:t xml:space="preserve">. Available at: https://www.tesla.com/blog/tesla-and-solarcity (Accessed: 17 June 2024). </w:t>
          </w:r>
        </w:p>
        <w:p w14:paraId="20C15307" w14:textId="77777777" w:rsidR="007A1E39" w:rsidRPr="005B4DD7" w:rsidRDefault="007A1E39" w:rsidP="005B4DD7">
          <w:pPr>
            <w:spacing w:after="200"/>
            <w:rPr>
              <w:rFonts w:cs="Times New Roman"/>
              <w:szCs w:val="24"/>
            </w:rPr>
          </w:pPr>
          <w:r w:rsidRPr="005B4DD7">
            <w:rPr>
              <w:rFonts w:cs="Times New Roman"/>
              <w:szCs w:val="24"/>
            </w:rPr>
            <w:t xml:space="preserve">Tesla. (2024a) </w:t>
          </w:r>
          <w:r w:rsidRPr="005B4DD7">
            <w:rPr>
              <w:rFonts w:cs="Times New Roman"/>
              <w:i/>
              <w:iCs/>
              <w:szCs w:val="24"/>
            </w:rPr>
            <w:t>Corporate governance</w:t>
          </w:r>
          <w:r w:rsidRPr="005B4DD7">
            <w:rPr>
              <w:rFonts w:cs="Times New Roman"/>
              <w:szCs w:val="24"/>
            </w:rPr>
            <w:t xml:space="preserve">, </w:t>
          </w:r>
          <w:r w:rsidRPr="005B4DD7">
            <w:rPr>
              <w:rFonts w:cs="Times New Roman"/>
              <w:i/>
              <w:iCs/>
              <w:szCs w:val="24"/>
            </w:rPr>
            <w:t>Tesla Investor Relations</w:t>
          </w:r>
          <w:r w:rsidRPr="005B4DD7">
            <w:rPr>
              <w:rFonts w:cs="Times New Roman"/>
              <w:szCs w:val="24"/>
            </w:rPr>
            <w:t xml:space="preserve">. Available at: https://ir.tesla.com/corporate (Accessed: 17 June 2024). </w:t>
          </w:r>
        </w:p>
        <w:p w14:paraId="339AFE3F" w14:textId="77777777" w:rsidR="007A1E39" w:rsidRPr="005B4DD7" w:rsidRDefault="007A1E39" w:rsidP="005B4DD7">
          <w:pPr>
            <w:spacing w:after="200"/>
            <w:rPr>
              <w:rFonts w:cs="Times New Roman"/>
              <w:szCs w:val="24"/>
            </w:rPr>
          </w:pPr>
          <w:r w:rsidRPr="005B4DD7">
            <w:rPr>
              <w:rFonts w:cs="Times New Roman"/>
              <w:szCs w:val="24"/>
            </w:rPr>
            <w:t xml:space="preserve">Trading Economics. (2024) </w:t>
          </w:r>
          <w:r w:rsidRPr="005B4DD7">
            <w:rPr>
              <w:rFonts w:cs="Times New Roman"/>
              <w:i/>
              <w:iCs/>
              <w:szCs w:val="24"/>
            </w:rPr>
            <w:t>United States unemployment rate</w:t>
          </w:r>
          <w:r w:rsidRPr="005B4DD7">
            <w:rPr>
              <w:rFonts w:cs="Times New Roman"/>
              <w:szCs w:val="24"/>
            </w:rPr>
            <w:t xml:space="preserve">. Available at: https://tradingeconomics.com/united-states/unemployment-rate (Accessed: 15 June 2024). </w:t>
          </w:r>
        </w:p>
        <w:p w14:paraId="5C189465" w14:textId="77777777" w:rsidR="007A1E39" w:rsidRPr="005B4DD7" w:rsidRDefault="007A1E39" w:rsidP="005B4DD7">
          <w:pPr>
            <w:rPr>
              <w:rFonts w:cs="Times New Roman"/>
              <w:szCs w:val="24"/>
            </w:rPr>
          </w:pPr>
          <w:r w:rsidRPr="005B4DD7">
            <w:rPr>
              <w:rFonts w:cs="Times New Roman"/>
              <w:szCs w:val="24"/>
            </w:rPr>
            <w:lastRenderedPageBreak/>
            <w:t>Valaskova, K., Gajdosikova, D. and Pavić Kramarić, T. (2022) How important is the business environment for the performance of enterprises? case study of selected European countries. </w:t>
          </w:r>
          <w:r w:rsidRPr="005B4DD7">
            <w:rPr>
              <w:rFonts w:cs="Times New Roman"/>
              <w:i/>
              <w:iCs/>
              <w:szCs w:val="24"/>
            </w:rPr>
            <w:t>Central European Business Review</w:t>
          </w:r>
          <w:r w:rsidRPr="005B4DD7">
            <w:rPr>
              <w:rFonts w:cs="Times New Roman"/>
              <w:szCs w:val="24"/>
            </w:rPr>
            <w:t>, </w:t>
          </w:r>
          <w:r w:rsidRPr="005B4DD7">
            <w:rPr>
              <w:rFonts w:cs="Times New Roman"/>
              <w:i/>
              <w:iCs/>
              <w:szCs w:val="24"/>
            </w:rPr>
            <w:t>11</w:t>
          </w:r>
          <w:r w:rsidRPr="005B4DD7">
            <w:rPr>
              <w:rFonts w:cs="Times New Roman"/>
              <w:szCs w:val="24"/>
            </w:rPr>
            <w:t>(4), pp.85-110.</w:t>
          </w:r>
        </w:p>
        <w:p w14:paraId="3601DAE8" w14:textId="77777777" w:rsidR="007A1E39" w:rsidRPr="005B4DD7" w:rsidRDefault="007A1E39" w:rsidP="005B4DD7">
          <w:pPr>
            <w:rPr>
              <w:rFonts w:cs="Times New Roman"/>
              <w:szCs w:val="24"/>
            </w:rPr>
          </w:pPr>
          <w:r w:rsidRPr="005B4DD7">
            <w:rPr>
              <w:rFonts w:cs="Times New Roman"/>
              <w:szCs w:val="24"/>
            </w:rPr>
            <w:t>Vardopoulos, I., Tsilika, E., Sarantakou, E., Zorpas, A.A., Salvati, L. and Tsartas, P. (2021) An integrated SWOT-PESTLE-AHP model assessing sustainability in adaptive reuse projects. </w:t>
          </w:r>
          <w:r w:rsidRPr="005B4DD7">
            <w:rPr>
              <w:rFonts w:cs="Times New Roman"/>
              <w:i/>
              <w:iCs/>
              <w:szCs w:val="24"/>
            </w:rPr>
            <w:t>Applied Sciences</w:t>
          </w:r>
          <w:r w:rsidRPr="005B4DD7">
            <w:rPr>
              <w:rFonts w:cs="Times New Roman"/>
              <w:szCs w:val="24"/>
            </w:rPr>
            <w:t>, </w:t>
          </w:r>
          <w:r w:rsidRPr="005B4DD7">
            <w:rPr>
              <w:rFonts w:cs="Times New Roman"/>
              <w:i/>
              <w:iCs/>
              <w:szCs w:val="24"/>
            </w:rPr>
            <w:t>11</w:t>
          </w:r>
          <w:r w:rsidRPr="005B4DD7">
            <w:rPr>
              <w:rFonts w:cs="Times New Roman"/>
              <w:szCs w:val="24"/>
            </w:rPr>
            <w:t>(15), p.7134.</w:t>
          </w:r>
        </w:p>
        <w:p w14:paraId="0037C58F" w14:textId="77777777" w:rsidR="007A1E39" w:rsidRPr="005B4DD7" w:rsidRDefault="007A1E39" w:rsidP="005B4DD7">
          <w:pPr>
            <w:rPr>
              <w:rFonts w:cs="Times New Roman"/>
              <w:szCs w:val="24"/>
            </w:rPr>
          </w:pPr>
          <w:r w:rsidRPr="005B4DD7">
            <w:rPr>
              <w:rFonts w:cs="Times New Roman"/>
              <w:szCs w:val="24"/>
            </w:rPr>
            <w:t>Vermesan, O., John, R., Pype, P., Daalderop, G., Kriegel, K., Mitic, G., Lorentz, V., Bahr, R., Sand, H.E., Bockrath, S. and Waldhör, S. (2021) Automotive intelligence embedded in electric connected autonomous and shared vehicles technology for sustainable green mobility. </w:t>
          </w:r>
          <w:r w:rsidRPr="005B4DD7">
            <w:rPr>
              <w:rFonts w:cs="Times New Roman"/>
              <w:i/>
              <w:iCs/>
              <w:szCs w:val="24"/>
            </w:rPr>
            <w:t>Frontiers in Future Transportation</w:t>
          </w:r>
          <w:r w:rsidRPr="005B4DD7">
            <w:rPr>
              <w:rFonts w:cs="Times New Roman"/>
              <w:szCs w:val="24"/>
            </w:rPr>
            <w:t>, </w:t>
          </w:r>
          <w:r w:rsidRPr="005B4DD7">
            <w:rPr>
              <w:rFonts w:cs="Times New Roman"/>
              <w:i/>
              <w:iCs/>
              <w:szCs w:val="24"/>
            </w:rPr>
            <w:t>2</w:t>
          </w:r>
          <w:r w:rsidRPr="005B4DD7">
            <w:rPr>
              <w:rFonts w:cs="Times New Roman"/>
              <w:szCs w:val="24"/>
            </w:rPr>
            <w:t>, p.688482.</w:t>
          </w:r>
        </w:p>
        <w:p w14:paraId="76A2B92A" w14:textId="77777777" w:rsidR="007A1E39" w:rsidRPr="005B4DD7" w:rsidRDefault="007A1E39" w:rsidP="005B4DD7">
          <w:pPr>
            <w:spacing w:after="200"/>
            <w:rPr>
              <w:rFonts w:cs="Times New Roman"/>
              <w:szCs w:val="24"/>
            </w:rPr>
          </w:pPr>
          <w:r w:rsidRPr="005B4DD7">
            <w:rPr>
              <w:rFonts w:cs="Times New Roman"/>
              <w:szCs w:val="24"/>
            </w:rPr>
            <w:t xml:space="preserve">Visual Capitalist. (2024) </w:t>
          </w:r>
          <w:r w:rsidRPr="005B4DD7">
            <w:rPr>
              <w:rFonts w:cs="Times New Roman"/>
              <w:i/>
              <w:iCs/>
              <w:szCs w:val="24"/>
            </w:rPr>
            <w:t>Visualizing Global Electric Vehicle Sales in 2023, by market share</w:t>
          </w:r>
          <w:r w:rsidRPr="005B4DD7">
            <w:rPr>
              <w:rFonts w:cs="Times New Roman"/>
              <w:szCs w:val="24"/>
            </w:rPr>
            <w:t xml:space="preserve">, </w:t>
          </w:r>
          <w:r w:rsidRPr="005B4DD7">
            <w:rPr>
              <w:rFonts w:cs="Times New Roman"/>
              <w:i/>
              <w:iCs/>
              <w:szCs w:val="24"/>
            </w:rPr>
            <w:t>Visual Capitalist</w:t>
          </w:r>
          <w:r w:rsidRPr="005B4DD7">
            <w:rPr>
              <w:rFonts w:cs="Times New Roman"/>
              <w:szCs w:val="24"/>
            </w:rPr>
            <w:t xml:space="preserve">. Available at: https://www.visualcapitalist.com/visualizing-global-electric-vehicle-sales-in-2023-by-market-share/#:~:text=Currently%2C%20Tesla%20holds%20a%2019.9,followed%20by%20BYD%20with%2017.1%25.&amp;text=In%202022%2C%20the%20Chinese%20automaker,compared%20to%20Tesla’s%201.3%20million. (Accessed: 15 June 2024). </w:t>
          </w:r>
        </w:p>
        <w:p w14:paraId="5BA685A1" w14:textId="77777777" w:rsidR="007A1E39" w:rsidRPr="005B4DD7" w:rsidRDefault="007A1E39" w:rsidP="005B4DD7">
          <w:pPr>
            <w:rPr>
              <w:rFonts w:cs="Times New Roman"/>
              <w:szCs w:val="24"/>
            </w:rPr>
          </w:pPr>
          <w:r w:rsidRPr="005B4DD7">
            <w:rPr>
              <w:rFonts w:cs="Times New Roman"/>
              <w:szCs w:val="24"/>
            </w:rPr>
            <w:t>Wang, Z. (2024) A Case Study: Tesla's Acquisition of Solar City. </w:t>
          </w:r>
          <w:r w:rsidRPr="005B4DD7">
            <w:rPr>
              <w:rFonts w:cs="Times New Roman"/>
              <w:i/>
              <w:iCs/>
              <w:szCs w:val="24"/>
            </w:rPr>
            <w:t>Highlights in Business, Economics and Management</w:t>
          </w:r>
          <w:r w:rsidRPr="005B4DD7">
            <w:rPr>
              <w:rFonts w:cs="Times New Roman"/>
              <w:szCs w:val="24"/>
            </w:rPr>
            <w:t>, </w:t>
          </w:r>
          <w:r w:rsidRPr="005B4DD7">
            <w:rPr>
              <w:rFonts w:cs="Times New Roman"/>
              <w:i/>
              <w:iCs/>
              <w:szCs w:val="24"/>
            </w:rPr>
            <w:t>30</w:t>
          </w:r>
          <w:r w:rsidRPr="005B4DD7">
            <w:rPr>
              <w:rFonts w:cs="Times New Roman"/>
              <w:szCs w:val="24"/>
            </w:rPr>
            <w:t>, pp.29-37.</w:t>
          </w:r>
        </w:p>
        <w:p w14:paraId="1E616601" w14:textId="77777777" w:rsidR="007A1E39" w:rsidRPr="005B4DD7" w:rsidRDefault="007A1E39" w:rsidP="005B4DD7">
          <w:pPr>
            <w:rPr>
              <w:rFonts w:cs="Times New Roman"/>
              <w:szCs w:val="24"/>
            </w:rPr>
          </w:pPr>
          <w:r w:rsidRPr="005B4DD7">
            <w:rPr>
              <w:rFonts w:cs="Times New Roman"/>
              <w:szCs w:val="24"/>
            </w:rPr>
            <w:t>Wazeer, A., Das, A., Abeykoon, C., Sinha, A. and Karmakar, A. (2023) Composites for electric vehicles and automotive sector: A review. </w:t>
          </w:r>
          <w:r w:rsidRPr="005B4DD7">
            <w:rPr>
              <w:rFonts w:cs="Times New Roman"/>
              <w:i/>
              <w:iCs/>
              <w:szCs w:val="24"/>
            </w:rPr>
            <w:t>Green Energy and Intelligent Transportation</w:t>
          </w:r>
          <w:r w:rsidRPr="005B4DD7">
            <w:rPr>
              <w:rFonts w:cs="Times New Roman"/>
              <w:szCs w:val="24"/>
            </w:rPr>
            <w:t>, </w:t>
          </w:r>
          <w:r w:rsidRPr="005B4DD7">
            <w:rPr>
              <w:rFonts w:cs="Times New Roman"/>
              <w:i/>
              <w:iCs/>
              <w:szCs w:val="24"/>
            </w:rPr>
            <w:t>2</w:t>
          </w:r>
          <w:r w:rsidRPr="005B4DD7">
            <w:rPr>
              <w:rFonts w:cs="Times New Roman"/>
              <w:szCs w:val="24"/>
            </w:rPr>
            <w:t>(1), p.100043.</w:t>
          </w:r>
        </w:p>
        <w:p w14:paraId="1992F926" w14:textId="77777777" w:rsidR="004A11F6" w:rsidRDefault="007A1E39" w:rsidP="00E22A62">
          <w:pPr>
            <w:rPr>
              <w:rFonts w:cs="Times New Roman"/>
              <w:szCs w:val="24"/>
            </w:rPr>
          </w:pPr>
          <w:r w:rsidRPr="005B4DD7">
            <w:rPr>
              <w:rFonts w:cs="Times New Roman"/>
              <w:szCs w:val="24"/>
            </w:rPr>
            <w:t>Wu, Y. (2020, February) The marketing strategies of IKEA in China using tools of PESTEL, five forces model and SWOT analysis. In </w:t>
          </w:r>
          <w:r w:rsidRPr="005B4DD7">
            <w:rPr>
              <w:rFonts w:cs="Times New Roman"/>
              <w:i/>
              <w:iCs/>
              <w:szCs w:val="24"/>
            </w:rPr>
            <w:t>International academic conference on frontiers in social sciences and management innovation (IAFSM 2019)</w:t>
          </w:r>
          <w:r w:rsidRPr="005B4DD7">
            <w:rPr>
              <w:rFonts w:cs="Times New Roman"/>
              <w:szCs w:val="24"/>
            </w:rPr>
            <w:t> (pp. 348-355). Atlantis Press.</w:t>
          </w:r>
        </w:p>
      </w:sdtContent>
    </w:sdt>
    <w:sectPr w:rsidR="004A11F6"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53B279" w14:textId="77777777" w:rsidR="0070144F" w:rsidRDefault="0070144F" w:rsidP="005B4DD7">
      <w:pPr>
        <w:spacing w:after="0" w:line="240" w:lineRule="auto"/>
      </w:pPr>
      <w:r>
        <w:separator/>
      </w:r>
    </w:p>
  </w:endnote>
  <w:endnote w:type="continuationSeparator" w:id="0">
    <w:p w14:paraId="13D9FAB8" w14:textId="77777777" w:rsidR="0070144F" w:rsidRDefault="0070144F" w:rsidP="005B4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1963936"/>
      <w:docPartObj>
        <w:docPartGallery w:val="Page Numbers (Bottom of Page)"/>
        <w:docPartUnique/>
      </w:docPartObj>
    </w:sdtPr>
    <w:sdtEndPr>
      <w:rPr>
        <w:noProof/>
      </w:rPr>
    </w:sdtEndPr>
    <w:sdtContent>
      <w:p w14:paraId="7B6E83A0" w14:textId="77777777" w:rsidR="006E33BB" w:rsidRDefault="00395498">
        <w:pPr>
          <w:pStyle w:val="Footer"/>
          <w:jc w:val="right"/>
        </w:pPr>
        <w:r>
          <w:fldChar w:fldCharType="begin"/>
        </w:r>
        <w:r>
          <w:instrText xml:space="preserve"> PAGE   \* MERGEFORMAT </w:instrText>
        </w:r>
        <w:r>
          <w:fldChar w:fldCharType="separate"/>
        </w:r>
        <w:r w:rsidR="00E22A62">
          <w:rPr>
            <w:noProof/>
          </w:rPr>
          <w:t>24</w:t>
        </w:r>
        <w:r>
          <w:rPr>
            <w:noProof/>
          </w:rPr>
          <w:fldChar w:fldCharType="end"/>
        </w:r>
      </w:p>
    </w:sdtContent>
  </w:sdt>
  <w:p w14:paraId="59BC7AEC" w14:textId="77777777" w:rsidR="006E33BB" w:rsidRDefault="006E33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06DA6F" w14:textId="77777777" w:rsidR="0070144F" w:rsidRDefault="0070144F" w:rsidP="005B4DD7">
      <w:pPr>
        <w:spacing w:after="0" w:line="240" w:lineRule="auto"/>
      </w:pPr>
      <w:r>
        <w:separator/>
      </w:r>
    </w:p>
  </w:footnote>
  <w:footnote w:type="continuationSeparator" w:id="0">
    <w:p w14:paraId="5E2D9447" w14:textId="77777777" w:rsidR="0070144F" w:rsidRDefault="0070144F" w:rsidP="005B4D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A27AA4"/>
    <w:multiLevelType w:val="hybridMultilevel"/>
    <w:tmpl w:val="6772013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3B33D3"/>
    <w:multiLevelType w:val="hybridMultilevel"/>
    <w:tmpl w:val="C25E02C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495124"/>
    <w:multiLevelType w:val="hybridMultilevel"/>
    <w:tmpl w:val="529A58EE"/>
    <w:lvl w:ilvl="0" w:tplc="094C1B60">
      <w:start w:val="1"/>
      <w:numFmt w:val="bullet"/>
      <w:lvlText w:val="o"/>
      <w:lvlJc w:val="left"/>
      <w:pPr>
        <w:ind w:left="720" w:hanging="360"/>
      </w:pPr>
      <w:rPr>
        <w:rFonts w:ascii="Courier New" w:hAnsi="Courier New" w:cs="Courier New"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491792">
    <w:abstractNumId w:val="2"/>
  </w:num>
  <w:num w:numId="2" w16cid:durableId="158666794">
    <w:abstractNumId w:val="0"/>
  </w:num>
  <w:num w:numId="3" w16cid:durableId="986742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47"/>
    <w:rsid w:val="000006D1"/>
    <w:rsid w:val="00003E47"/>
    <w:rsid w:val="00012152"/>
    <w:rsid w:val="000212F4"/>
    <w:rsid w:val="0003771F"/>
    <w:rsid w:val="00040765"/>
    <w:rsid w:val="00044727"/>
    <w:rsid w:val="00063F9D"/>
    <w:rsid w:val="000808F3"/>
    <w:rsid w:val="000A2B0C"/>
    <w:rsid w:val="000C354E"/>
    <w:rsid w:val="000F460A"/>
    <w:rsid w:val="00107936"/>
    <w:rsid w:val="00115B96"/>
    <w:rsid w:val="001640EF"/>
    <w:rsid w:val="00186B8E"/>
    <w:rsid w:val="001A04FE"/>
    <w:rsid w:val="001D1F78"/>
    <w:rsid w:val="001F1C6E"/>
    <w:rsid w:val="00240AAC"/>
    <w:rsid w:val="00276C8D"/>
    <w:rsid w:val="002C781F"/>
    <w:rsid w:val="002F24C9"/>
    <w:rsid w:val="003221D8"/>
    <w:rsid w:val="00322B00"/>
    <w:rsid w:val="00324CCD"/>
    <w:rsid w:val="00361632"/>
    <w:rsid w:val="00361802"/>
    <w:rsid w:val="00395498"/>
    <w:rsid w:val="003D580E"/>
    <w:rsid w:val="003F3246"/>
    <w:rsid w:val="003F392B"/>
    <w:rsid w:val="003F45F9"/>
    <w:rsid w:val="004179C0"/>
    <w:rsid w:val="004365EA"/>
    <w:rsid w:val="0045293D"/>
    <w:rsid w:val="00460009"/>
    <w:rsid w:val="004762F7"/>
    <w:rsid w:val="00480872"/>
    <w:rsid w:val="0049538C"/>
    <w:rsid w:val="004A11F6"/>
    <w:rsid w:val="004D519C"/>
    <w:rsid w:val="004F12CF"/>
    <w:rsid w:val="00524A34"/>
    <w:rsid w:val="00534E5E"/>
    <w:rsid w:val="005738AB"/>
    <w:rsid w:val="00592513"/>
    <w:rsid w:val="005B4DD7"/>
    <w:rsid w:val="005D45BA"/>
    <w:rsid w:val="005E4AD3"/>
    <w:rsid w:val="005F0287"/>
    <w:rsid w:val="006373C0"/>
    <w:rsid w:val="006E06A3"/>
    <w:rsid w:val="006E33BB"/>
    <w:rsid w:val="0070144F"/>
    <w:rsid w:val="00703774"/>
    <w:rsid w:val="007072E6"/>
    <w:rsid w:val="00716B56"/>
    <w:rsid w:val="00731981"/>
    <w:rsid w:val="00770266"/>
    <w:rsid w:val="00794D61"/>
    <w:rsid w:val="007A1E39"/>
    <w:rsid w:val="007B1090"/>
    <w:rsid w:val="007D1947"/>
    <w:rsid w:val="0081558E"/>
    <w:rsid w:val="00820EAC"/>
    <w:rsid w:val="00835698"/>
    <w:rsid w:val="008471F2"/>
    <w:rsid w:val="00850F02"/>
    <w:rsid w:val="0085484A"/>
    <w:rsid w:val="00875CF0"/>
    <w:rsid w:val="008868B9"/>
    <w:rsid w:val="008A5BD6"/>
    <w:rsid w:val="008B12C7"/>
    <w:rsid w:val="008C121A"/>
    <w:rsid w:val="008D4E8C"/>
    <w:rsid w:val="00917B99"/>
    <w:rsid w:val="00931CAA"/>
    <w:rsid w:val="009537A1"/>
    <w:rsid w:val="009C1F97"/>
    <w:rsid w:val="009C614A"/>
    <w:rsid w:val="009D2E6A"/>
    <w:rsid w:val="009E1192"/>
    <w:rsid w:val="00A12B58"/>
    <w:rsid w:val="00A400DE"/>
    <w:rsid w:val="00A83A5F"/>
    <w:rsid w:val="00AA2A91"/>
    <w:rsid w:val="00AB4C8A"/>
    <w:rsid w:val="00AC2415"/>
    <w:rsid w:val="00AD2480"/>
    <w:rsid w:val="00B00DAA"/>
    <w:rsid w:val="00B026D2"/>
    <w:rsid w:val="00B05448"/>
    <w:rsid w:val="00B173DE"/>
    <w:rsid w:val="00B30DBE"/>
    <w:rsid w:val="00B36C35"/>
    <w:rsid w:val="00B4058F"/>
    <w:rsid w:val="00B73707"/>
    <w:rsid w:val="00BB3248"/>
    <w:rsid w:val="00BF1F8E"/>
    <w:rsid w:val="00C02575"/>
    <w:rsid w:val="00C11AA2"/>
    <w:rsid w:val="00C164E0"/>
    <w:rsid w:val="00C5598A"/>
    <w:rsid w:val="00CA09F3"/>
    <w:rsid w:val="00CD1C88"/>
    <w:rsid w:val="00CE1FAB"/>
    <w:rsid w:val="00D11C3F"/>
    <w:rsid w:val="00D12DEE"/>
    <w:rsid w:val="00D3445E"/>
    <w:rsid w:val="00D742A8"/>
    <w:rsid w:val="00D758DE"/>
    <w:rsid w:val="00D854A5"/>
    <w:rsid w:val="00D87DC6"/>
    <w:rsid w:val="00DB0BDF"/>
    <w:rsid w:val="00DB550A"/>
    <w:rsid w:val="00DE1AB3"/>
    <w:rsid w:val="00E07F89"/>
    <w:rsid w:val="00E15338"/>
    <w:rsid w:val="00E22A62"/>
    <w:rsid w:val="00E55B28"/>
    <w:rsid w:val="00E6132A"/>
    <w:rsid w:val="00E86D85"/>
    <w:rsid w:val="00E87E66"/>
    <w:rsid w:val="00E92E90"/>
    <w:rsid w:val="00EB3267"/>
    <w:rsid w:val="00EE3AE3"/>
    <w:rsid w:val="00EE4146"/>
    <w:rsid w:val="00EF09E7"/>
    <w:rsid w:val="00F06073"/>
    <w:rsid w:val="00F226BB"/>
    <w:rsid w:val="00F249CB"/>
    <w:rsid w:val="00F312C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C2C53"/>
  <w15:docId w15:val="{A8E860EC-E475-4393-8DCF-D139AEC4E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DD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B4DD7"/>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5B4DD7"/>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5B4DD7"/>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5B4DD7"/>
    <w:rPr>
      <w:rFonts w:ascii="Times New Roman" w:eastAsiaTheme="majorEastAsia" w:hAnsi="Times New Roman" w:cstheme="majorBidi"/>
      <w:b/>
      <w:color w:val="000000" w:themeColor="text1"/>
      <w:sz w:val="24"/>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EE41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4146"/>
    <w:rPr>
      <w:rFonts w:ascii="Tahoma" w:hAnsi="Tahoma" w:cs="Tahoma"/>
      <w:sz w:val="16"/>
      <w:szCs w:val="16"/>
    </w:rPr>
  </w:style>
  <w:style w:type="paragraph" w:styleId="ListParagraph">
    <w:name w:val="List Paragraph"/>
    <w:basedOn w:val="Normal"/>
    <w:link w:val="ListParagraphChar"/>
    <w:uiPriority w:val="34"/>
    <w:qFormat/>
    <w:rsid w:val="007A1E39"/>
    <w:pPr>
      <w:spacing w:after="0"/>
      <w:ind w:left="720"/>
      <w:contextualSpacing/>
    </w:pPr>
    <w:rPr>
      <w:rFonts w:eastAsia="Times New Roman" w:cs="Times New Roman"/>
      <w:szCs w:val="20"/>
      <w:lang w:eastAsia="en-GB"/>
    </w:rPr>
  </w:style>
  <w:style w:type="character" w:customStyle="1" w:styleId="ListParagraphChar">
    <w:name w:val="List Paragraph Char"/>
    <w:link w:val="ListParagraph"/>
    <w:uiPriority w:val="34"/>
    <w:locked/>
    <w:rsid w:val="007A1E39"/>
    <w:rPr>
      <w:rFonts w:ascii="Times New Roman" w:eastAsia="Times New Roman" w:hAnsi="Times New Roman" w:cs="Times New Roman"/>
      <w:sz w:val="24"/>
      <w:szCs w:val="20"/>
      <w:lang w:eastAsia="en-GB"/>
    </w:rPr>
  </w:style>
  <w:style w:type="paragraph" w:styleId="Header">
    <w:name w:val="header"/>
    <w:basedOn w:val="Normal"/>
    <w:link w:val="HeaderChar"/>
    <w:uiPriority w:val="99"/>
    <w:unhideWhenUsed/>
    <w:rsid w:val="005B4D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DD7"/>
    <w:rPr>
      <w:rFonts w:ascii="Times New Roman" w:hAnsi="Times New Roman"/>
      <w:sz w:val="24"/>
    </w:rPr>
  </w:style>
  <w:style w:type="paragraph" w:styleId="Footer">
    <w:name w:val="footer"/>
    <w:basedOn w:val="Normal"/>
    <w:link w:val="FooterChar"/>
    <w:uiPriority w:val="99"/>
    <w:unhideWhenUsed/>
    <w:rsid w:val="005B4D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DD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07004D-C298-4408-810E-AF4489192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25</Pages>
  <Words>7862</Words>
  <Characters>44818</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University of Wales Trinity Saint David</Company>
  <LinksUpToDate>false</LinksUpToDate>
  <CharactersWithSpaces>52575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TESLA</dc:subject>
  <dc:creator>Madalina Nagy</dc:creator>
  <cp:lastModifiedBy>Madalina Nagy</cp:lastModifiedBy>
  <cp:revision>76</cp:revision>
  <dcterms:created xsi:type="dcterms:W3CDTF">2024-07-12T13:06:00Z</dcterms:created>
  <dcterms:modified xsi:type="dcterms:W3CDTF">2024-07-12T18:20:00Z</dcterms:modified>
</cp:coreProperties>
</file>