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D5892" w14:textId="77777777" w:rsidR="00C67DF6" w:rsidRPr="00C67DF6" w:rsidRDefault="00C67DF6" w:rsidP="00C67DF6">
      <w:pPr>
        <w:pStyle w:val="Heading1"/>
        <w:rPr>
          <w:sz w:val="24"/>
          <w:szCs w:val="24"/>
        </w:rPr>
      </w:pPr>
      <w:r w:rsidRPr="00C67DF6">
        <w:rPr>
          <w:sz w:val="24"/>
          <w:szCs w:val="24"/>
        </w:rPr>
        <w:t>POSTER</w:t>
      </w:r>
    </w:p>
    <w:p w14:paraId="5D4B90A2" w14:textId="77777777" w:rsidR="00C67DF6" w:rsidRDefault="00C67DF6" w:rsidP="00C67DF6">
      <w:pPr>
        <w:pStyle w:val="Heading2"/>
      </w:pPr>
      <w:r w:rsidRPr="00C67DF6">
        <w:rPr>
          <w:sz w:val="24"/>
          <w:szCs w:val="24"/>
        </w:rPr>
        <w:t>Title: Breaking the Silence – Dementia Without Stigma in African Communities (UK</w:t>
      </w:r>
      <w:r>
        <w:t>)</w:t>
      </w:r>
    </w:p>
    <w:tbl>
      <w:tblPr>
        <w:tblStyle w:val="TableGrid"/>
        <w:tblW w:w="0" w:type="auto"/>
        <w:tblLook w:val="04A0" w:firstRow="1" w:lastRow="0" w:firstColumn="1" w:lastColumn="0" w:noHBand="0" w:noVBand="1"/>
      </w:tblPr>
      <w:tblGrid>
        <w:gridCol w:w="9016"/>
      </w:tblGrid>
      <w:tr w:rsidR="00C67DF6" w14:paraId="6A60800C" w14:textId="77777777" w:rsidTr="00C67DF6">
        <w:tc>
          <w:tcPr>
            <w:tcW w:w="9016" w:type="dxa"/>
          </w:tcPr>
          <w:p w14:paraId="128D1736" w14:textId="77777777" w:rsidR="00C67DF6" w:rsidRPr="007B6B5D" w:rsidRDefault="00C67DF6" w:rsidP="00C67DF6">
            <w:pPr>
              <w:rPr>
                <w:sz w:val="22"/>
                <w:szCs w:val="22"/>
              </w:rPr>
            </w:pPr>
            <w:r w:rsidRPr="007B6B5D">
              <w:rPr>
                <w:sz w:val="22"/>
                <w:szCs w:val="22"/>
              </w:rPr>
              <w:t>Innovation Overview:</w:t>
            </w:r>
            <w:r w:rsidRPr="007B6B5D">
              <w:rPr>
                <w:sz w:val="22"/>
                <w:szCs w:val="22"/>
              </w:rPr>
              <w:br/>
              <w:t>This concept proposes a culturally tailored dementia awareness and digital assistance initiative specifically designed for African communities in the UK. The effort incorporates community-focused education, partnerships with faith leaders, digital-first primary care access, and an AI-enhanced multilingual mobile application to address stigma, enable early diagnosis, and foster culturally competent care.</w:t>
            </w:r>
          </w:p>
          <w:p w14:paraId="636665E9" w14:textId="77777777" w:rsidR="00C67DF6" w:rsidRDefault="00C67DF6"/>
        </w:tc>
      </w:tr>
    </w:tbl>
    <w:tbl>
      <w:tblPr>
        <w:tblStyle w:val="TableGrid"/>
        <w:tblpPr w:leftFromText="180" w:rightFromText="180" w:vertAnchor="text" w:horzAnchor="margin" w:tblpY="335"/>
        <w:tblW w:w="8798" w:type="dxa"/>
        <w:tblLook w:val="04A0" w:firstRow="1" w:lastRow="0" w:firstColumn="1" w:lastColumn="0" w:noHBand="0" w:noVBand="1"/>
      </w:tblPr>
      <w:tblGrid>
        <w:gridCol w:w="2932"/>
        <w:gridCol w:w="2932"/>
        <w:gridCol w:w="2934"/>
      </w:tblGrid>
      <w:tr w:rsidR="00C67DF6" w14:paraId="242AAF83" w14:textId="77777777" w:rsidTr="001279D9">
        <w:trPr>
          <w:trHeight w:val="6247"/>
        </w:trPr>
        <w:tc>
          <w:tcPr>
            <w:tcW w:w="2932" w:type="dxa"/>
          </w:tcPr>
          <w:p w14:paraId="43E2E084" w14:textId="69BDD33D" w:rsidR="00C67DF6" w:rsidRPr="001279D9" w:rsidRDefault="00C67DF6" w:rsidP="00C67DF6">
            <w:pPr>
              <w:pStyle w:val="Heading3"/>
              <w:rPr>
                <w:sz w:val="22"/>
                <w:szCs w:val="22"/>
              </w:rPr>
            </w:pPr>
            <w:r w:rsidRPr="001279D9">
              <w:rPr>
                <w:sz w:val="22"/>
                <w:szCs w:val="22"/>
                <w:highlight w:val="yellow"/>
              </w:rPr>
              <w:t>The Issue / Gaps in Health &amp; Social Care</w:t>
            </w:r>
            <w:r w:rsidR="001279D9" w:rsidRPr="001279D9">
              <w:rPr>
                <w:sz w:val="22"/>
                <w:szCs w:val="22"/>
                <w:highlight w:val="yellow"/>
              </w:rPr>
              <w:t>:</w:t>
            </w:r>
            <w:r w:rsidR="001279D9">
              <w:rPr>
                <w:sz w:val="22"/>
                <w:szCs w:val="22"/>
              </w:rPr>
              <w:t xml:space="preserve"> </w:t>
            </w:r>
            <w:r w:rsidRPr="001279D9">
              <w:rPr>
                <w:rFonts w:eastAsiaTheme="minorEastAsia" w:cstheme="minorBidi"/>
                <w:color w:val="auto"/>
                <w:sz w:val="22"/>
                <w:szCs w:val="22"/>
              </w:rPr>
              <w:t>Dementia constitutes a global health priority (Wortmann, 2012). Despite the rising frequency in the UK, ethnic minority communities encounter diagnostic delays and restricted access to services (Mukadam, Cooper and Livingston, 2011). Studies suggest that some African communities may interpret dementia symptoms as signs of witchcraft or spiritual punishment, leading to stigma and postponement of treatment (Moriarty et al., 2011). Prolonged diagnosis reduces the likelihood of timely intervention and personalised treatment (Morris, 2005).</w:t>
            </w:r>
          </w:p>
          <w:p w14:paraId="71CC03F6" w14:textId="77777777" w:rsidR="00C67DF6" w:rsidRDefault="00C67DF6" w:rsidP="00C67DF6"/>
        </w:tc>
        <w:tc>
          <w:tcPr>
            <w:tcW w:w="2932" w:type="dxa"/>
          </w:tcPr>
          <w:p w14:paraId="3AC0F6AB" w14:textId="77777777" w:rsidR="00C67DF6" w:rsidRPr="001279D9" w:rsidRDefault="00C67DF6" w:rsidP="00C67DF6">
            <w:pPr>
              <w:pStyle w:val="Heading3"/>
              <w:rPr>
                <w:sz w:val="22"/>
                <w:szCs w:val="22"/>
              </w:rPr>
            </w:pPr>
            <w:r w:rsidRPr="001279D9">
              <w:rPr>
                <w:sz w:val="22"/>
                <w:szCs w:val="22"/>
                <w:highlight w:val="yellow"/>
              </w:rPr>
              <w:t>Target Audience and Impact</w:t>
            </w:r>
          </w:p>
          <w:p w14:paraId="17C3D32B" w14:textId="77777777" w:rsidR="00C67DF6" w:rsidRDefault="00C67DF6" w:rsidP="00C67DF6">
            <w:r>
              <w:t xml:space="preserve">Primary target: </w:t>
            </w:r>
            <w:r w:rsidRPr="007D5B11">
              <w:rPr>
                <w:rFonts w:eastAsiaTheme="minorEastAsia"/>
              </w:rPr>
              <w:t>Seniors (65+) from African communities in the United Kingdom and their relatives.</w:t>
            </w:r>
            <w:r>
              <w:t xml:space="preserve"> </w:t>
            </w:r>
            <w:r w:rsidRPr="007D5B11">
              <w:rPr>
                <w:rFonts w:eastAsiaTheme="minorEastAsia"/>
              </w:rPr>
              <w:t>Secondary audience: Faith leaders, community leaders, general practitioners, and social care providers.</w:t>
            </w:r>
          </w:p>
          <w:p w14:paraId="4E88D251" w14:textId="77777777" w:rsidR="00C67DF6" w:rsidRPr="008E2AFB" w:rsidRDefault="00C67DF6" w:rsidP="00C67DF6">
            <w:pPr>
              <w:rPr>
                <w:rFonts w:eastAsiaTheme="minorEastAsia"/>
              </w:rPr>
            </w:pPr>
            <w:r w:rsidRPr="007D5B11">
              <w:rPr>
                <w:rFonts w:eastAsiaTheme="minorEastAsia"/>
              </w:rPr>
              <w:t>Effect</w:t>
            </w:r>
            <w:r>
              <w:rPr>
                <w:rFonts w:eastAsiaTheme="minorEastAsia"/>
                <w:b/>
                <w:bCs/>
              </w:rPr>
              <w:t xml:space="preserve">: </w:t>
            </w:r>
            <w:r w:rsidRPr="007D5B11">
              <w:rPr>
                <w:rFonts w:eastAsiaTheme="minorEastAsia"/>
              </w:rPr>
              <w:t>Timely help-seeking, diminished stigma, enhanced culturally competent service engagement, improved health outcomes, and fortified confidence between communities and the NHS.</w:t>
            </w:r>
          </w:p>
          <w:p w14:paraId="71F94204" w14:textId="77777777" w:rsidR="00C67DF6" w:rsidRDefault="00C67DF6" w:rsidP="00C67DF6"/>
        </w:tc>
        <w:tc>
          <w:tcPr>
            <w:tcW w:w="2934" w:type="dxa"/>
          </w:tcPr>
          <w:p w14:paraId="0266966F" w14:textId="77777777" w:rsidR="00C67DF6" w:rsidRPr="001279D9" w:rsidRDefault="00C67DF6" w:rsidP="00C67DF6">
            <w:pPr>
              <w:pStyle w:val="Heading3"/>
              <w:rPr>
                <w:sz w:val="22"/>
                <w:szCs w:val="22"/>
              </w:rPr>
            </w:pPr>
            <w:r w:rsidRPr="001279D9">
              <w:rPr>
                <w:sz w:val="22"/>
                <w:szCs w:val="22"/>
                <w:highlight w:val="yellow"/>
              </w:rPr>
              <w:t>Implementation</w:t>
            </w:r>
          </w:p>
          <w:p w14:paraId="6311A1A0" w14:textId="77777777" w:rsidR="00C67DF6" w:rsidRDefault="00C67DF6" w:rsidP="00C67DF6">
            <w:pPr>
              <w:pStyle w:val="Heading3"/>
              <w:spacing w:before="200" w:after="0"/>
              <w:rPr>
                <w:rFonts w:eastAsiaTheme="minorEastAsia" w:cstheme="minorBidi"/>
                <w:color w:val="auto"/>
                <w:sz w:val="22"/>
                <w:szCs w:val="22"/>
              </w:rPr>
            </w:pPr>
            <w:r w:rsidRPr="00C67DF6">
              <w:rPr>
                <w:rFonts w:eastAsiaTheme="minorEastAsia" w:cstheme="minorBidi"/>
                <w:color w:val="auto"/>
                <w:sz w:val="22"/>
                <w:szCs w:val="22"/>
              </w:rPr>
              <w:t xml:space="preserve">Locations include community </w:t>
            </w:r>
            <w:r w:rsidRPr="00C67DF6">
              <w:rPr>
                <w:rFonts w:eastAsiaTheme="minorEastAsia" w:cstheme="minorBidi"/>
                <w:color w:val="auto"/>
                <w:sz w:val="22"/>
                <w:szCs w:val="22"/>
              </w:rPr>
              <w:t>canters</w:t>
            </w:r>
            <w:r w:rsidRPr="00C67DF6">
              <w:rPr>
                <w:rFonts w:eastAsiaTheme="minorEastAsia" w:cstheme="minorBidi"/>
                <w:color w:val="auto"/>
                <w:sz w:val="22"/>
                <w:szCs w:val="22"/>
              </w:rPr>
              <w:t>, churches, mosques, general practitioner practices, and local NHS Trusts.</w:t>
            </w:r>
          </w:p>
          <w:p w14:paraId="55E6D1BC" w14:textId="6E879951" w:rsidR="00C67DF6" w:rsidRPr="00C67DF6" w:rsidRDefault="00C67DF6" w:rsidP="00C67DF6">
            <w:pPr>
              <w:pStyle w:val="Heading3"/>
              <w:spacing w:before="200" w:after="0"/>
              <w:rPr>
                <w:rFonts w:eastAsiaTheme="minorEastAsia" w:cstheme="minorBidi"/>
                <w:color w:val="auto"/>
                <w:sz w:val="22"/>
                <w:szCs w:val="22"/>
              </w:rPr>
            </w:pPr>
            <w:r w:rsidRPr="00C67DF6">
              <w:rPr>
                <w:rFonts w:eastAsiaTheme="minorEastAsia" w:cstheme="minorBidi"/>
                <w:color w:val="auto"/>
                <w:sz w:val="22"/>
                <w:szCs w:val="22"/>
              </w:rPr>
              <w:t>Individuals involved: Dementia nurses, general practitioners, community health advocates, nonprofit groups, and religious leaders.</w:t>
            </w:r>
          </w:p>
          <w:p w14:paraId="13090C64" w14:textId="5B965892" w:rsidR="00C67DF6" w:rsidRPr="00C67DF6" w:rsidRDefault="00C67DF6" w:rsidP="00C67DF6">
            <w:pPr>
              <w:pStyle w:val="Heading3"/>
              <w:rPr>
                <w:rFonts w:eastAsiaTheme="minorEastAsia" w:cstheme="minorBidi"/>
                <w:color w:val="auto"/>
                <w:sz w:val="22"/>
                <w:szCs w:val="22"/>
              </w:rPr>
            </w:pPr>
            <w:r w:rsidRPr="00C67DF6">
              <w:rPr>
                <w:rFonts w:eastAsiaTheme="minorEastAsia" w:cstheme="minorBidi"/>
                <w:color w:val="auto"/>
                <w:sz w:val="22"/>
                <w:szCs w:val="22"/>
              </w:rPr>
              <w:t xml:space="preserve">Methods: </w:t>
            </w:r>
            <w:r>
              <w:rPr>
                <w:rFonts w:eastAsiaTheme="minorEastAsia" w:cstheme="minorBidi"/>
                <w:color w:val="auto"/>
                <w:sz w:val="22"/>
                <w:szCs w:val="22"/>
              </w:rPr>
              <w:t xml:space="preserve">Community workshops </w:t>
            </w:r>
            <w:r w:rsidRPr="00C67DF6">
              <w:rPr>
                <w:rFonts w:eastAsiaTheme="minorEastAsia" w:cstheme="minorBidi"/>
                <w:color w:val="auto"/>
                <w:sz w:val="22"/>
                <w:szCs w:val="22"/>
              </w:rPr>
              <w:t>translated educational resources, culturally tailored dementia assessments, and incorporation into digital-first primary care frameworks (M et al., 2019).</w:t>
            </w:r>
          </w:p>
          <w:p w14:paraId="5D2D0BCD" w14:textId="77777777" w:rsidR="00C67DF6" w:rsidRDefault="00C67DF6" w:rsidP="00C67DF6"/>
        </w:tc>
      </w:tr>
    </w:tbl>
    <w:p w14:paraId="16F8D9DC" w14:textId="77777777" w:rsidR="00C67DF6" w:rsidRDefault="00C67DF6"/>
    <w:p w14:paraId="11410BEF" w14:textId="77777777" w:rsidR="00C67DF6" w:rsidRDefault="00C67DF6"/>
    <w:tbl>
      <w:tblPr>
        <w:tblStyle w:val="TableGrid"/>
        <w:tblW w:w="0" w:type="auto"/>
        <w:tblLook w:val="04A0" w:firstRow="1" w:lastRow="0" w:firstColumn="1" w:lastColumn="0" w:noHBand="0" w:noVBand="1"/>
      </w:tblPr>
      <w:tblGrid>
        <w:gridCol w:w="9016"/>
      </w:tblGrid>
      <w:tr w:rsidR="001279D9" w14:paraId="6044C3F0" w14:textId="77777777" w:rsidTr="001279D9">
        <w:tc>
          <w:tcPr>
            <w:tcW w:w="9016" w:type="dxa"/>
          </w:tcPr>
          <w:p w14:paraId="2AD1A438" w14:textId="77777777" w:rsidR="001279D9" w:rsidRPr="001279D9" w:rsidRDefault="001279D9" w:rsidP="001279D9">
            <w:pPr>
              <w:pStyle w:val="Heading3"/>
              <w:rPr>
                <w:sz w:val="22"/>
                <w:szCs w:val="22"/>
              </w:rPr>
            </w:pPr>
            <w:r w:rsidRPr="001279D9">
              <w:rPr>
                <w:sz w:val="22"/>
                <w:szCs w:val="22"/>
              </w:rPr>
              <w:lastRenderedPageBreak/>
              <w:t>Timeline</w:t>
            </w:r>
          </w:p>
          <w:p w14:paraId="4795D4F4" w14:textId="77777777" w:rsidR="001279D9" w:rsidRPr="001279D9" w:rsidRDefault="001279D9" w:rsidP="001279D9">
            <w:pPr>
              <w:pStyle w:val="Heading3"/>
              <w:spacing w:before="200" w:after="0"/>
              <w:rPr>
                <w:rFonts w:eastAsiaTheme="minorEastAsia" w:cstheme="minorBidi"/>
                <w:color w:val="auto"/>
                <w:sz w:val="22"/>
                <w:szCs w:val="22"/>
              </w:rPr>
            </w:pPr>
            <w:r w:rsidRPr="001279D9">
              <w:rPr>
                <w:rFonts w:eastAsiaTheme="minorEastAsia" w:cstheme="minorBidi"/>
                <w:color w:val="auto"/>
                <w:sz w:val="22"/>
                <w:szCs w:val="22"/>
              </w:rPr>
              <w:t>Phase 1 (Months 1–3): Engagement with stakeholders and collaborative design with African community leaders.</w:t>
            </w:r>
          </w:p>
          <w:p w14:paraId="5A1781F6" w14:textId="77777777" w:rsidR="001279D9" w:rsidRPr="001279D9" w:rsidRDefault="001279D9" w:rsidP="001279D9">
            <w:pPr>
              <w:pStyle w:val="Heading3"/>
              <w:spacing w:before="200" w:after="0"/>
              <w:rPr>
                <w:rFonts w:eastAsiaTheme="minorEastAsia" w:cstheme="minorBidi"/>
                <w:color w:val="auto"/>
                <w:sz w:val="22"/>
                <w:szCs w:val="22"/>
              </w:rPr>
            </w:pPr>
            <w:r w:rsidRPr="001279D9">
              <w:rPr>
                <w:rFonts w:eastAsiaTheme="minorEastAsia" w:cstheme="minorBidi"/>
                <w:color w:val="auto"/>
                <w:sz w:val="22"/>
                <w:szCs w:val="22"/>
              </w:rPr>
              <w:t>Phase 2 (Months 4–6): Creation of the digital application and instructional materials.</w:t>
            </w:r>
          </w:p>
          <w:p w14:paraId="52E194BB" w14:textId="77777777" w:rsidR="001279D9" w:rsidRPr="001279D9" w:rsidRDefault="001279D9" w:rsidP="001279D9">
            <w:pPr>
              <w:pStyle w:val="Heading3"/>
              <w:spacing w:before="200" w:after="0"/>
              <w:rPr>
                <w:rFonts w:eastAsiaTheme="minorEastAsia" w:cstheme="minorBidi"/>
                <w:color w:val="auto"/>
                <w:sz w:val="22"/>
                <w:szCs w:val="22"/>
              </w:rPr>
            </w:pPr>
            <w:r w:rsidRPr="001279D9">
              <w:rPr>
                <w:rFonts w:eastAsiaTheme="minorEastAsia" w:cstheme="minorBidi"/>
                <w:color w:val="auto"/>
                <w:sz w:val="22"/>
                <w:szCs w:val="22"/>
              </w:rPr>
              <w:t>Phase 3 (Months 7–12): Pilot execution in certain UK cities.</w:t>
            </w:r>
          </w:p>
          <w:p w14:paraId="3313A606" w14:textId="77777777" w:rsidR="001279D9" w:rsidRPr="001279D9" w:rsidRDefault="001279D9" w:rsidP="001279D9">
            <w:pPr>
              <w:pStyle w:val="Heading3"/>
              <w:rPr>
                <w:rFonts w:eastAsiaTheme="minorEastAsia" w:cstheme="minorBidi"/>
                <w:b/>
                <w:bCs/>
                <w:color w:val="auto"/>
                <w:sz w:val="22"/>
                <w:szCs w:val="22"/>
              </w:rPr>
            </w:pPr>
            <w:r w:rsidRPr="001279D9">
              <w:rPr>
                <w:rFonts w:eastAsiaTheme="minorEastAsia" w:cstheme="minorBidi"/>
                <w:color w:val="auto"/>
                <w:sz w:val="22"/>
                <w:szCs w:val="22"/>
              </w:rPr>
              <w:t>Phase 4 (Year 2): Assessment and nationwide expansion.</w:t>
            </w:r>
          </w:p>
          <w:p w14:paraId="60EC31F1" w14:textId="77777777" w:rsidR="001279D9" w:rsidRDefault="001279D9"/>
        </w:tc>
      </w:tr>
    </w:tbl>
    <w:p w14:paraId="091BFC43" w14:textId="77777777" w:rsidR="001279D9" w:rsidRDefault="001279D9"/>
    <w:tbl>
      <w:tblPr>
        <w:tblStyle w:val="TableGrid"/>
        <w:tblW w:w="0" w:type="auto"/>
        <w:tblLook w:val="04A0" w:firstRow="1" w:lastRow="0" w:firstColumn="1" w:lastColumn="0" w:noHBand="0" w:noVBand="1"/>
      </w:tblPr>
      <w:tblGrid>
        <w:gridCol w:w="2254"/>
        <w:gridCol w:w="2254"/>
        <w:gridCol w:w="2254"/>
        <w:gridCol w:w="2254"/>
      </w:tblGrid>
      <w:tr w:rsidR="001279D9" w14:paraId="4FF0CB33" w14:textId="77777777" w:rsidTr="001279D9">
        <w:tc>
          <w:tcPr>
            <w:tcW w:w="2254" w:type="dxa"/>
          </w:tcPr>
          <w:p w14:paraId="7348078E" w14:textId="77777777" w:rsidR="001279D9" w:rsidRPr="00D42D35" w:rsidRDefault="001279D9" w:rsidP="001279D9">
            <w:pPr>
              <w:pStyle w:val="Heading3"/>
              <w:rPr>
                <w:sz w:val="22"/>
                <w:szCs w:val="22"/>
              </w:rPr>
            </w:pPr>
            <w:r w:rsidRPr="00D42D35">
              <w:rPr>
                <w:sz w:val="22"/>
                <w:szCs w:val="22"/>
                <w:highlight w:val="yellow"/>
              </w:rPr>
              <w:t>Development and Regulations</w:t>
            </w:r>
          </w:p>
          <w:p w14:paraId="2D56CDB2" w14:textId="77777777" w:rsidR="001279D9" w:rsidRPr="00D42D35" w:rsidRDefault="001279D9" w:rsidP="001279D9">
            <w:pPr>
              <w:rPr>
                <w:sz w:val="22"/>
                <w:szCs w:val="22"/>
              </w:rPr>
            </w:pPr>
            <w:r w:rsidRPr="00D42D35">
              <w:rPr>
                <w:sz w:val="22"/>
                <w:szCs w:val="22"/>
              </w:rPr>
              <w:t>Compliance with the Data Protection Act 2018 (Scott, 2019), NHS data governance mandates, CQC standards, Equality Act 2010, and NICE dementia protocols.</w:t>
            </w:r>
            <w:r w:rsidRPr="00D42D35">
              <w:rPr>
                <w:sz w:val="22"/>
                <w:szCs w:val="22"/>
              </w:rPr>
              <w:br/>
              <w:t>Data security: Encrypted digital platform, secure methods for the transfer of NHS data.</w:t>
            </w:r>
          </w:p>
          <w:p w14:paraId="1DBA383A" w14:textId="77777777" w:rsidR="001279D9" w:rsidRDefault="001279D9"/>
        </w:tc>
        <w:tc>
          <w:tcPr>
            <w:tcW w:w="2254" w:type="dxa"/>
          </w:tcPr>
          <w:p w14:paraId="21187E1E" w14:textId="77777777" w:rsidR="00D42D35" w:rsidRPr="00D42D35" w:rsidRDefault="00D42D35" w:rsidP="00D42D35">
            <w:pPr>
              <w:pStyle w:val="Heading3"/>
              <w:rPr>
                <w:sz w:val="22"/>
                <w:szCs w:val="22"/>
              </w:rPr>
            </w:pPr>
            <w:r w:rsidRPr="00D42D35">
              <w:rPr>
                <w:sz w:val="22"/>
                <w:szCs w:val="22"/>
                <w:highlight w:val="yellow"/>
              </w:rPr>
              <w:t>Technology Integration</w:t>
            </w:r>
          </w:p>
          <w:p w14:paraId="43AB1885" w14:textId="77777777" w:rsidR="00D42D35" w:rsidRPr="00D42D35" w:rsidRDefault="00D42D35" w:rsidP="00D42D35">
            <w:pPr>
              <w:pStyle w:val="Heading3"/>
              <w:rPr>
                <w:rFonts w:ascii="Times New Roman" w:eastAsia="Times New Roman" w:hAnsi="Times New Roman" w:cs="Times New Roman"/>
                <w:b/>
                <w:bCs/>
                <w:color w:val="auto"/>
                <w:sz w:val="22"/>
                <w:szCs w:val="22"/>
                <w:lang w:eastAsia="en-GB"/>
              </w:rPr>
            </w:pPr>
            <w:r w:rsidRPr="00D42D35">
              <w:rPr>
                <w:rFonts w:ascii="Times New Roman" w:eastAsia="Times New Roman" w:hAnsi="Times New Roman" w:cs="Times New Roman"/>
                <w:color w:val="auto"/>
                <w:sz w:val="22"/>
                <w:szCs w:val="22"/>
                <w:lang w:eastAsia="en-GB"/>
              </w:rPr>
              <w:t>A multilingual mobile application offering symptom assistance, appointment scheduling connections, myth-busting resources, AI chat support, and culturally tailored educational films. Integration with NHS digital-first primary care models improves accessibility (M et al., 2019).</w:t>
            </w:r>
          </w:p>
          <w:p w14:paraId="0C0BCE9B" w14:textId="77777777" w:rsidR="001279D9" w:rsidRDefault="001279D9"/>
        </w:tc>
        <w:tc>
          <w:tcPr>
            <w:tcW w:w="2254" w:type="dxa"/>
          </w:tcPr>
          <w:p w14:paraId="2DD396A4" w14:textId="77777777" w:rsidR="00D42D35" w:rsidRPr="00D42D35" w:rsidRDefault="00D42D35" w:rsidP="00D42D35">
            <w:pPr>
              <w:pStyle w:val="Heading3"/>
              <w:rPr>
                <w:sz w:val="22"/>
                <w:szCs w:val="22"/>
              </w:rPr>
            </w:pPr>
            <w:r w:rsidRPr="00D42D35">
              <w:rPr>
                <w:sz w:val="22"/>
                <w:szCs w:val="22"/>
              </w:rPr>
              <w:t>Dissemination Strategy</w:t>
            </w:r>
          </w:p>
          <w:p w14:paraId="2946DF21" w14:textId="77777777" w:rsidR="00D42D35" w:rsidRPr="00D42D35" w:rsidRDefault="00D42D35" w:rsidP="00D42D35">
            <w:pPr>
              <w:pStyle w:val="Heading3"/>
              <w:spacing w:before="200" w:line="276" w:lineRule="auto"/>
              <w:rPr>
                <w:rFonts w:ascii="Times New Roman" w:eastAsia="Times New Roman" w:hAnsi="Times New Roman" w:cs="Times New Roman"/>
                <w:color w:val="auto"/>
                <w:sz w:val="22"/>
                <w:szCs w:val="22"/>
                <w:lang w:eastAsia="en-GB"/>
              </w:rPr>
            </w:pPr>
            <w:r w:rsidRPr="00D42D35">
              <w:rPr>
                <w:rFonts w:ascii="Times New Roman" w:eastAsia="Times New Roman" w:hAnsi="Times New Roman" w:cs="Times New Roman"/>
                <w:color w:val="auto"/>
                <w:sz w:val="22"/>
                <w:szCs w:val="22"/>
                <w:lang w:eastAsia="en-GB"/>
              </w:rPr>
              <w:t>Social media initiatives aimed at African diaspora networks.</w:t>
            </w:r>
          </w:p>
          <w:p w14:paraId="1EEACEC1" w14:textId="77777777" w:rsidR="00D42D35" w:rsidRPr="00D42D35" w:rsidRDefault="00D42D35" w:rsidP="00D42D35">
            <w:pPr>
              <w:pStyle w:val="Heading3"/>
              <w:spacing w:before="200" w:line="276" w:lineRule="auto"/>
              <w:rPr>
                <w:rFonts w:ascii="Times New Roman" w:eastAsia="Times New Roman" w:hAnsi="Times New Roman" w:cs="Times New Roman"/>
                <w:color w:val="auto"/>
                <w:sz w:val="22"/>
                <w:szCs w:val="22"/>
                <w:lang w:eastAsia="en-GB"/>
              </w:rPr>
            </w:pPr>
            <w:r w:rsidRPr="00D42D35">
              <w:rPr>
                <w:rFonts w:ascii="Times New Roman" w:eastAsia="Times New Roman" w:hAnsi="Times New Roman" w:cs="Times New Roman"/>
                <w:color w:val="auto"/>
                <w:sz w:val="22"/>
                <w:szCs w:val="22"/>
                <w:lang w:eastAsia="en-GB"/>
              </w:rPr>
              <w:t>Radio broadcasts and communal religious gatherings.</w:t>
            </w:r>
          </w:p>
          <w:p w14:paraId="310A8CD1" w14:textId="77777777" w:rsidR="00D42D35" w:rsidRPr="00D42D35" w:rsidRDefault="00D42D35" w:rsidP="00D42D35">
            <w:pPr>
              <w:pStyle w:val="Heading3"/>
              <w:spacing w:before="200" w:line="276" w:lineRule="auto"/>
              <w:rPr>
                <w:rFonts w:ascii="Times New Roman" w:eastAsia="Times New Roman" w:hAnsi="Times New Roman" w:cs="Times New Roman"/>
                <w:color w:val="auto"/>
                <w:sz w:val="22"/>
                <w:szCs w:val="22"/>
                <w:lang w:eastAsia="en-GB"/>
              </w:rPr>
            </w:pPr>
            <w:r w:rsidRPr="00D42D35">
              <w:rPr>
                <w:rFonts w:ascii="Times New Roman" w:eastAsia="Times New Roman" w:hAnsi="Times New Roman" w:cs="Times New Roman"/>
                <w:color w:val="auto"/>
                <w:sz w:val="22"/>
                <w:szCs w:val="22"/>
                <w:lang w:eastAsia="en-GB"/>
              </w:rPr>
              <w:t>Engagement with NHS newsletters and general practitioner practices.</w:t>
            </w:r>
          </w:p>
          <w:p w14:paraId="7CC90B6F" w14:textId="77777777" w:rsidR="00D42D35" w:rsidRPr="00D42D35" w:rsidRDefault="00D42D35" w:rsidP="00D42D35">
            <w:pPr>
              <w:pStyle w:val="Heading3"/>
              <w:rPr>
                <w:rFonts w:ascii="Times New Roman" w:eastAsia="Times New Roman" w:hAnsi="Times New Roman" w:cs="Times New Roman"/>
                <w:b/>
                <w:bCs/>
                <w:color w:val="auto"/>
                <w:sz w:val="22"/>
                <w:szCs w:val="22"/>
                <w:lang w:eastAsia="en-GB"/>
              </w:rPr>
            </w:pPr>
            <w:r w:rsidRPr="00D42D35">
              <w:rPr>
                <w:rFonts w:ascii="Times New Roman" w:eastAsia="Times New Roman" w:hAnsi="Times New Roman" w:cs="Times New Roman"/>
                <w:color w:val="auto"/>
                <w:sz w:val="22"/>
                <w:szCs w:val="22"/>
                <w:lang w:eastAsia="en-GB"/>
              </w:rPr>
              <w:t>Collaboration with the Alzheimer’s Society and municipal authorities.</w:t>
            </w:r>
          </w:p>
          <w:p w14:paraId="3C01D95D" w14:textId="77777777" w:rsidR="001279D9" w:rsidRPr="00D42D35" w:rsidRDefault="001279D9">
            <w:pPr>
              <w:rPr>
                <w:sz w:val="22"/>
                <w:szCs w:val="22"/>
              </w:rPr>
            </w:pPr>
          </w:p>
        </w:tc>
        <w:tc>
          <w:tcPr>
            <w:tcW w:w="2254" w:type="dxa"/>
          </w:tcPr>
          <w:p w14:paraId="6F48F3D1" w14:textId="77777777" w:rsidR="00D42D35" w:rsidRPr="00D42D35" w:rsidRDefault="00D42D35" w:rsidP="00D42D35">
            <w:pPr>
              <w:pStyle w:val="Heading3"/>
              <w:rPr>
                <w:sz w:val="22"/>
                <w:szCs w:val="22"/>
              </w:rPr>
            </w:pPr>
            <w:r w:rsidRPr="00D42D35">
              <w:rPr>
                <w:sz w:val="22"/>
                <w:szCs w:val="22"/>
              </w:rPr>
              <w:t>Conclusion (Poster Summary)</w:t>
            </w:r>
          </w:p>
          <w:p w14:paraId="5CBE7D1A" w14:textId="77777777" w:rsidR="00D42D35" w:rsidRDefault="00D42D35" w:rsidP="00D42D35">
            <w:r w:rsidRPr="00D42D35">
              <w:rPr>
                <w:sz w:val="22"/>
                <w:szCs w:val="22"/>
              </w:rPr>
              <w:t>Breaking the Silence confronts dementia stigma in African communities with culturally attuned education, digital innovation, and community collaboration. The effort enhances awareness and accessibility, thereby fostering equity, facilitating early diagnosis, and improving health outcomes.</w:t>
            </w:r>
          </w:p>
          <w:p w14:paraId="2DFCA272" w14:textId="77777777" w:rsidR="001279D9" w:rsidRDefault="001279D9"/>
        </w:tc>
      </w:tr>
    </w:tbl>
    <w:p w14:paraId="7A3851A6" w14:textId="77777777" w:rsidR="001279D9" w:rsidRDefault="001279D9"/>
    <w:p w14:paraId="308DC836" w14:textId="77777777" w:rsidR="00EA2ED9" w:rsidRDefault="00EA2ED9"/>
    <w:p w14:paraId="0E3E146D" w14:textId="77777777" w:rsidR="00EA2ED9" w:rsidRDefault="00EA2ED9"/>
    <w:p w14:paraId="3306687D" w14:textId="77777777" w:rsidR="00EA2ED9" w:rsidRDefault="00EA2ED9"/>
    <w:p w14:paraId="08E4AD45" w14:textId="77777777" w:rsidR="00EA2ED9" w:rsidRDefault="00EA2ED9"/>
    <w:p w14:paraId="40F35526" w14:textId="77777777" w:rsidR="00EA2ED9" w:rsidRDefault="00EA2ED9"/>
    <w:p w14:paraId="4335B1E3" w14:textId="77777777" w:rsidR="00EA2ED9" w:rsidRDefault="00EA2ED9"/>
    <w:p w14:paraId="6791E4E3" w14:textId="77777777" w:rsidR="00EA2ED9" w:rsidRDefault="00EA2ED9"/>
    <w:p w14:paraId="03177D07" w14:textId="77777777" w:rsidR="00EA2ED9" w:rsidRDefault="00EA2ED9"/>
    <w:p w14:paraId="50688B5B" w14:textId="57C0304A" w:rsidR="00EA2ED9" w:rsidRPr="00EA2ED9" w:rsidRDefault="00EA2ED9" w:rsidP="00EA2ED9">
      <w:pPr>
        <w:pStyle w:val="Heading1"/>
        <w:rPr>
          <w:color w:val="auto"/>
          <w:sz w:val="24"/>
          <w:szCs w:val="24"/>
        </w:rPr>
      </w:pPr>
      <w:r>
        <w:rPr>
          <w:color w:val="auto"/>
          <w:sz w:val="24"/>
          <w:szCs w:val="24"/>
        </w:rPr>
        <w:lastRenderedPageBreak/>
        <w:t xml:space="preserve">THE </w:t>
      </w:r>
      <w:r w:rsidRPr="00EA2ED9">
        <w:rPr>
          <w:color w:val="auto"/>
          <w:sz w:val="24"/>
          <w:szCs w:val="24"/>
        </w:rPr>
        <w:t>PITCH:</w:t>
      </w:r>
    </w:p>
    <w:p w14:paraId="7FA0F98B" w14:textId="283A5848" w:rsidR="00EA2ED9" w:rsidRDefault="00EA2ED9" w:rsidP="00EA2ED9">
      <w:pPr>
        <w:pStyle w:val="Heading1"/>
        <w:rPr>
          <w:color w:val="auto"/>
          <w:sz w:val="24"/>
          <w:szCs w:val="24"/>
        </w:rPr>
      </w:pPr>
      <w:r w:rsidRPr="00EA2ED9">
        <w:rPr>
          <w:color w:val="auto"/>
          <w:sz w:val="24"/>
          <w:szCs w:val="24"/>
        </w:rPr>
        <w:t xml:space="preserve">Title: </w:t>
      </w:r>
      <w:r w:rsidRPr="00EA2ED9">
        <w:rPr>
          <w:color w:val="auto"/>
          <w:sz w:val="24"/>
          <w:szCs w:val="24"/>
        </w:rPr>
        <w:t>Breaking the Silence – Dementia Without Stigma in African Communities (UK)</w:t>
      </w:r>
    </w:p>
    <w:p w14:paraId="4F9FFE2B" w14:textId="5786F09B" w:rsidR="00DD2EBE" w:rsidRDefault="00DD2EBE" w:rsidP="00DD2EBE">
      <w:r>
        <w:t>Dementia is acknowledged worldwide as a major and escalating public health issue, necessitating prompt and coordinated actions from health and social care systems (Wortmann, 2012). The prevalence of dementia in the United Kingdom is increasing due to an ageing population, hence placing more pressure on the NHS and social care systems (Morris, 2005). However, access to early diagnosis and sufficient support is not consistently available to all groups. Studies demonstrate that ethnic minority groups, especially African communities, have structural, cultural, and systemic barriers in accessing dementia services (Mukadam, Cooper and Livingston, 2011). These variations highlight the urgent need for culturally sensitive innovation in dementia therapy (Moriarty et al., 2011).</w:t>
      </w:r>
    </w:p>
    <w:p w14:paraId="7597B451" w14:textId="62AE65DE" w:rsidR="00DD2EBE" w:rsidRDefault="00DD2EBE" w:rsidP="00DD2EBE">
      <w:r>
        <w:t>Within some African cultural contexts, symptoms of dementia such as memory loss, confusion, and behavioural changes may be interpreted through spiritual or supernatural frameworks, including beliefs linked to witchcraft (Moriarty et al., 2011). Such interpretations can lead to stigma, shame, and concealment of symptoms within families, delaying professional assessment and intervention (Mukadam, Cooper and Livingston, 2011). Delayed diagnosis reduces opportunities for early-stage management, support planning, and improved quality of life (Morris, 2005). Therefore, addressing stigma is not only a cultural issue but a clinical and public health priority (Wortmann, 2012).</w:t>
      </w:r>
    </w:p>
    <w:p w14:paraId="57ED8933" w14:textId="77777777" w:rsidR="00DD2EBE" w:rsidRDefault="00DD2EBE" w:rsidP="00DD2EBE">
      <w:r>
        <w:t>The initiative Breaking the Silence:</w:t>
      </w:r>
    </w:p>
    <w:p w14:paraId="4EB55A72" w14:textId="77777777" w:rsidR="00DD2EBE" w:rsidRDefault="00DD2EBE" w:rsidP="00DD2EBE">
      <w:r>
        <w:t>Dementia Without Stigma advocates for a culturally customised approach to awareness, education, and digital assistance specifically aimed at African populations in the UK (Mukadam, Cooper and Livingston, 2011). The innovation seeks to confront detrimental stereotypes, enhance dementia literacy, and fortify trust between African communities and statutory health and social care systems (Moriarty et al., 2011). By integrating the intervention into reputable community settings and synchronising it with NHS service delivery frameworks, the effort fosters timely involvement and equal access to healthcare (M et al., 2019).</w:t>
      </w:r>
    </w:p>
    <w:p w14:paraId="1E5B96FE" w14:textId="77777777" w:rsidR="00DD2EBE" w:rsidRDefault="00DD2EBE" w:rsidP="00DD2EBE"/>
    <w:p w14:paraId="62A37AE3" w14:textId="09E9A011" w:rsidR="00DD2EBE" w:rsidRDefault="00DD2EBE" w:rsidP="00DD2EBE">
      <w:r>
        <w:t xml:space="preserve">Studies indicate that ethnic minority communities tend to encounter lengthier and more intricate routes to dementia diagnosis than White British populations (Mukadam, Cooper and Livingston, 2011). Timely identification is essential as it allows persons to access care planning, proper pharmaceutical therapy, and psychosocial therapies that enhance wellbeing (Morris, 2005). Recent studies on mild cognitive impairment and biological markers underscore the importance of early detection and evaluation (Doan </w:t>
      </w:r>
      <w:r>
        <w:lastRenderedPageBreak/>
        <w:t>et al., 2023). However, without culturally relevant engagement tactics, these developments may fail to reach communities impacted by stigma (Wortmann, 2012).</w:t>
      </w:r>
    </w:p>
    <w:p w14:paraId="34AE3E17" w14:textId="77777777" w:rsidR="00DD2EBE" w:rsidRDefault="00DD2EBE" w:rsidP="00DD2EBE">
      <w:r>
        <w:t>Overview of the Innovation</w:t>
      </w:r>
    </w:p>
    <w:p w14:paraId="1B90DA37" w14:textId="77777777" w:rsidR="00DD2EBE" w:rsidRDefault="00DD2EBE" w:rsidP="00DD2EBE">
      <w:r>
        <w:t>Breaking the Silence encompasses three fundamental elements: community-oriented education, digital-first multilingual assistance, and professional training in cultural competency (M et al., 2019).</w:t>
      </w:r>
    </w:p>
    <w:p w14:paraId="1F102C00" w14:textId="77777777" w:rsidR="00DD2EBE" w:rsidRDefault="00DD2EBE" w:rsidP="00DD2EBE">
      <w:r>
        <w:t>Community workshops will be conducted in churches, mosques, and African community groups, facilitated in partnership with dementia nurses and qualified religious leaders (Moriarty et al., 2011). Involving spiritual leaders is crucial since they are frequently regarded as trusted authorities capable of shaping perceptions and confronting detrimental beliefs in culturally sensitive manners (Mukadam, Cooper and Livingston, 2011). This culturally ingrained approach fosters open conversation and mitigates anxiety over diagnosis (Wortmann, 2012).</w:t>
      </w:r>
    </w:p>
    <w:p w14:paraId="4A74C26F" w14:textId="77777777" w:rsidR="00DD2EBE" w:rsidRDefault="00DD2EBE" w:rsidP="00DD2EBE">
      <w:r>
        <w:t>The program endorses the NHS digital-first primary care policy, enhancing access to technology-enabled services (M et al., 2019). A multilingual mobile application will have culturally pertinent instructional materials, analyses of films, symptom assessment tools, and direct linkages for making appointments with general practitioners (M et al., 2019). Junior family members assisting elderly relatives in navigating healthcare systems have advantages from digital integration (Scott, 2019). NHS-compliant data governance and safe encryption will provide confidentiality and adherence to the Data Protection Act 2018 (Scott, 2019).</w:t>
      </w:r>
    </w:p>
    <w:p w14:paraId="7C53EC45" w14:textId="77777777" w:rsidR="00DD2EBE" w:rsidRDefault="00DD2EBE" w:rsidP="00DD2EBE">
      <w:r>
        <w:t>Professional training constitutes a crucial element of the innovation. Health and social care practitioners may exhibit a deficiency in confidence when addressing culturally sensitive attitudes on dementia (Mukadam, Cooper and Livingston, 2011). Cultural competence courses will provide professionals with communication skills that foster respect, empathy, and person-centred care (Moriarty et al., 2011). Enhancing practitioner awareness mitigates unconscious prejudice and fosters therapeutic interactions, hence increasing patient experience and service engagement (Morris, 2005).</w:t>
      </w:r>
    </w:p>
    <w:p w14:paraId="3A9C0C00" w14:textId="77777777" w:rsidR="00DD2EBE" w:rsidRDefault="00DD2EBE" w:rsidP="00DD2EBE">
      <w:r>
        <w:t>Policy and Legislative Alignment</w:t>
      </w:r>
    </w:p>
    <w:p w14:paraId="0F853C70" w14:textId="77777777" w:rsidR="00DD2EBE" w:rsidRDefault="00DD2EBE" w:rsidP="00DD2EBE">
      <w:r>
        <w:t xml:space="preserve">The project closely fits with national policy frameworks designed to mitigate health disparities and foster inclusive healthcare delivery (Wortmann, 2012). The Equality Act 2010 mandates that services provide fair access irrespective of ethnicity, whereas NHS digital transformation policies promote innovation in service accessibility (M et al., 2019). Moreover, adherence to the Data Protection Act 2018 guarantees that digital systems safeguard personal data and uphold public confidence (Scott, 2019). </w:t>
      </w:r>
      <w:r>
        <w:lastRenderedPageBreak/>
        <w:t>Incorporating regulatory compliance during the design phase enhances sustainability and credibility (Scott, 2019).</w:t>
      </w:r>
    </w:p>
    <w:p w14:paraId="056C3F67" w14:textId="77777777" w:rsidR="00DD2EBE" w:rsidRDefault="00DD2EBE" w:rsidP="00DD2EBE">
      <w:r>
        <w:t>For individuals living with dementia:</w:t>
      </w:r>
    </w:p>
    <w:p w14:paraId="24C8F410" w14:textId="77777777" w:rsidR="00DD2EBE" w:rsidRDefault="00DD2EBE" w:rsidP="00DD2EBE">
      <w:r>
        <w:t>Early detection and intervention for patients with dementia correlate with improved care planning, greater autonomy, and enhanced quality of life (Morris, 2005). Families gain from enhanced comprehension of symptoms, alleviating feelings of fear, guilt, and isolation that could otherwise hinder the pursuit of assistance (Mukadam, Cooper and Livingston, 2011). The project reframes dementia as a medical ailment instead than a spiritual issue, so promoting dignity and mitigating discrimination (Moriarty et al., 2011). This enhances mental well-being and fosters communal cohesion (Wortmann, 2012).</w:t>
      </w:r>
    </w:p>
    <w:p w14:paraId="4C47D2A4" w14:textId="77777777" w:rsidR="00DD2EBE" w:rsidRDefault="00DD2EBE" w:rsidP="00DD2EBE">
      <w:r>
        <w:t>Community involvement:</w:t>
      </w:r>
    </w:p>
    <w:p w14:paraId="7A68CCB2" w14:textId="77777777" w:rsidR="00DD2EBE" w:rsidRDefault="00DD2EBE" w:rsidP="00DD2EBE">
      <w:r>
        <w:t>Community engagement is fundamental to the sustainability of Breaking the Silence. Collaboration with African diaspora organisations guarantees cultural authenticity and responsiveness (Mukadam, Cooper, and Livingston, 2011). Public storytelling events and awareness campaigns will create secure environments for families to share their stories, facilitating the normalisation of discussions on ageing and memory loss (Moriarty et al., 2011). Fostering community ownership converts dementia awareness from an externally mandated message into a collective social obligation (Wortmann, 2012).</w:t>
      </w:r>
    </w:p>
    <w:p w14:paraId="2181B0D1" w14:textId="77777777" w:rsidR="00DD2EBE" w:rsidRDefault="00DD2EBE" w:rsidP="00DD2EBE">
      <w:r>
        <w:t>Evaluation and Sustainability:</w:t>
      </w:r>
    </w:p>
    <w:p w14:paraId="076907FD" w14:textId="77777777" w:rsidR="00DD2EBE" w:rsidRDefault="00DD2EBE" w:rsidP="00DD2EBE">
      <w:r>
        <w:t xml:space="preserve">Evaluation metrics will encompass enhanced dementia screening participation, diminished delays in primary care presentation, and elevated community knowledge ratings </w:t>
      </w:r>
      <w:proofErr w:type="gramStart"/>
      <w:r>
        <w:t>subsequent to</w:t>
      </w:r>
      <w:proofErr w:type="gramEnd"/>
      <w:r>
        <w:t xml:space="preserve"> workshops (Morris, 2005). Input from service users and professionals will evaluate perceived cultural sensitivity and trust in services (Mukadam, Cooper and Livingston, 2011). Mobile platform digital analytics will offer insights into engagement levels while ensuring adherence to data protection regulations (Scott, 2019). Ongoing assessment facilitates evidence-driven enhancement and sustainable scalability (M et al., 2019).</w:t>
      </w:r>
    </w:p>
    <w:p w14:paraId="42F69CC9" w14:textId="77777777" w:rsidR="00DD2EBE" w:rsidRDefault="00DD2EBE" w:rsidP="00DD2EBE">
      <w:r>
        <w:t>I</w:t>
      </w:r>
      <w:r>
        <w:t>n</w:t>
      </w:r>
      <w:r>
        <w:t xml:space="preserve"> conclusion:</w:t>
      </w:r>
    </w:p>
    <w:p w14:paraId="6980FBBC" w14:textId="7B13D59B" w:rsidR="00DD2EBE" w:rsidRPr="00DD2EBE" w:rsidRDefault="00DD2EBE" w:rsidP="00DD2EBE">
      <w:r>
        <w:t xml:space="preserve">In conclusion, Breaking the Silence addresses a critical shortcoming in UK dementia care by confronting stigma within African communities through culturally relevant education, technological innovations, and professional development (Mukadam, Cooper and Livingston, 2011). Research highlights persistent discrepancies in diagnostic methods and stresses the importance of early intervention for improved results (Morris, 2005; Doan et al., 2023). Without focused engagement, advancements in dementia care may worsen disparities rather than mitigate them (Wortmann, 2012). This initiative enhances health and social care experiences for patients, families, and </w:t>
      </w:r>
      <w:r>
        <w:lastRenderedPageBreak/>
        <w:t>professionals by integrating community trust, regulatory adherence, and NHS digital transformation, while promoting equality and social inclusion (M et al., 2019).</w:t>
      </w:r>
    </w:p>
    <w:p w14:paraId="7FA8891C" w14:textId="77777777" w:rsidR="00EA2ED9" w:rsidRDefault="00EA2ED9"/>
    <w:sectPr w:rsidR="00EA2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F6"/>
    <w:rsid w:val="001279D9"/>
    <w:rsid w:val="007B6B5D"/>
    <w:rsid w:val="007E029D"/>
    <w:rsid w:val="008F5DEA"/>
    <w:rsid w:val="00953777"/>
    <w:rsid w:val="00C67DF6"/>
    <w:rsid w:val="00D42D35"/>
    <w:rsid w:val="00DD2EBE"/>
    <w:rsid w:val="00EA2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CB1CB"/>
  <w15:chartTrackingRefBased/>
  <w15:docId w15:val="{73D140BC-AA32-4C1E-8811-9C3D78DA6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7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7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DF6"/>
    <w:rPr>
      <w:rFonts w:eastAsiaTheme="majorEastAsia" w:cstheme="majorBidi"/>
      <w:color w:val="272727" w:themeColor="text1" w:themeTint="D8"/>
    </w:rPr>
  </w:style>
  <w:style w:type="paragraph" w:styleId="Title">
    <w:name w:val="Title"/>
    <w:basedOn w:val="Normal"/>
    <w:next w:val="Normal"/>
    <w:link w:val="TitleChar"/>
    <w:uiPriority w:val="10"/>
    <w:qFormat/>
    <w:rsid w:val="00C67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D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D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DF6"/>
    <w:pPr>
      <w:spacing w:before="160"/>
      <w:jc w:val="center"/>
    </w:pPr>
    <w:rPr>
      <w:i/>
      <w:iCs/>
      <w:color w:val="404040" w:themeColor="text1" w:themeTint="BF"/>
    </w:rPr>
  </w:style>
  <w:style w:type="character" w:customStyle="1" w:styleId="QuoteChar">
    <w:name w:val="Quote Char"/>
    <w:basedOn w:val="DefaultParagraphFont"/>
    <w:link w:val="Quote"/>
    <w:uiPriority w:val="29"/>
    <w:rsid w:val="00C67DF6"/>
    <w:rPr>
      <w:i/>
      <w:iCs/>
      <w:color w:val="404040" w:themeColor="text1" w:themeTint="BF"/>
    </w:rPr>
  </w:style>
  <w:style w:type="paragraph" w:styleId="ListParagraph">
    <w:name w:val="List Paragraph"/>
    <w:basedOn w:val="Normal"/>
    <w:uiPriority w:val="34"/>
    <w:qFormat/>
    <w:rsid w:val="00C67DF6"/>
    <w:pPr>
      <w:ind w:left="720"/>
      <w:contextualSpacing/>
    </w:pPr>
  </w:style>
  <w:style w:type="character" w:styleId="IntenseEmphasis">
    <w:name w:val="Intense Emphasis"/>
    <w:basedOn w:val="DefaultParagraphFont"/>
    <w:uiPriority w:val="21"/>
    <w:qFormat/>
    <w:rsid w:val="00C67DF6"/>
    <w:rPr>
      <w:i/>
      <w:iCs/>
      <w:color w:val="0F4761" w:themeColor="accent1" w:themeShade="BF"/>
    </w:rPr>
  </w:style>
  <w:style w:type="paragraph" w:styleId="IntenseQuote">
    <w:name w:val="Intense Quote"/>
    <w:basedOn w:val="Normal"/>
    <w:next w:val="Normal"/>
    <w:link w:val="IntenseQuoteChar"/>
    <w:uiPriority w:val="30"/>
    <w:qFormat/>
    <w:rsid w:val="00C67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DF6"/>
    <w:rPr>
      <w:i/>
      <w:iCs/>
      <w:color w:val="0F4761" w:themeColor="accent1" w:themeShade="BF"/>
    </w:rPr>
  </w:style>
  <w:style w:type="character" w:styleId="IntenseReference">
    <w:name w:val="Intense Reference"/>
    <w:basedOn w:val="DefaultParagraphFont"/>
    <w:uiPriority w:val="32"/>
    <w:qFormat/>
    <w:rsid w:val="00C67DF6"/>
    <w:rPr>
      <w:b/>
      <w:bCs/>
      <w:smallCaps/>
      <w:color w:val="0F4761" w:themeColor="accent1" w:themeShade="BF"/>
      <w:spacing w:val="5"/>
    </w:rPr>
  </w:style>
  <w:style w:type="table" w:styleId="TableGrid">
    <w:name w:val="Table Grid"/>
    <w:basedOn w:val="TableNormal"/>
    <w:uiPriority w:val="39"/>
    <w:rsid w:val="00C67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933262B-7365-43AE-BD4F-6EB50DACF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96C125-25DE-4C69-900A-4861045BB28E}">
  <ds:schemaRefs>
    <ds:schemaRef ds:uri="http://schemas.microsoft.com/sharepoint/v3/contenttype/forms"/>
  </ds:schemaRefs>
</ds:datastoreItem>
</file>

<file path=customXml/itemProps3.xml><?xml version="1.0" encoding="utf-8"?>
<ds:datastoreItem xmlns:ds="http://schemas.openxmlformats.org/officeDocument/2006/customXml" ds:itemID="{D2C89DF3-EFF3-49F7-8571-E43ACEC84AAC}">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2</cp:revision>
  <dcterms:created xsi:type="dcterms:W3CDTF">2026-03-07T00:13:00Z</dcterms:created>
  <dcterms:modified xsi:type="dcterms:W3CDTF">2026-03-07T00:13:00Z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