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D868132" wp14:paraId="33FDC6C2" wp14:textId="233AA3CE">
      <w:pPr>
        <w:spacing w:after="160" w:line="279"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4D868132" w:rsidR="5407A37B">
        <w:rPr>
          <w:rFonts w:ascii="Arial" w:hAnsi="Arial" w:eastAsia="Arial" w:cs="Arial"/>
          <w:b w:val="0"/>
          <w:bCs w:val="0"/>
          <w:i w:val="0"/>
          <w:iCs w:val="0"/>
          <w:caps w:val="0"/>
          <w:smallCaps w:val="0"/>
          <w:strike w:val="0"/>
          <w:dstrike w:val="0"/>
          <w:noProof w:val="0"/>
          <w:color w:val="auto"/>
          <w:sz w:val="24"/>
          <w:szCs w:val="24"/>
          <w:u w:val="single"/>
          <w:lang w:val="en-US"/>
        </w:rPr>
        <w:t>‘Jesus reformed Jewish attitudes to women. Discuss.’</w:t>
      </w:r>
    </w:p>
    <w:p xmlns:wp14="http://schemas.microsoft.com/office/word/2010/wordml" w:rsidP="4D868132" wp14:paraId="3FED2BB0" wp14:textId="6CD0AA51">
      <w:pPr>
        <w:spacing w:before="240" w:beforeAutospacing="off" w:after="240" w:afterAutospacing="off"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4D868132" w:rsidR="5407A37B">
        <w:rPr>
          <w:rFonts w:ascii="Arial" w:hAnsi="Arial" w:eastAsia="Arial" w:cs="Arial"/>
          <w:b w:val="0"/>
          <w:bCs w:val="0"/>
          <w:i w:val="0"/>
          <w:iCs w:val="0"/>
          <w:caps w:val="0"/>
          <w:smallCaps w:val="0"/>
          <w:noProof w:val="0"/>
          <w:color w:val="auto"/>
          <w:sz w:val="24"/>
          <w:szCs w:val="24"/>
          <w:lang w:val="en-US"/>
        </w:rPr>
        <w:t>As a Jew, Jesus’ attitude to women is often examined against first-century Jewish culture.</w:t>
      </w:r>
      <w:r w:rsidRPr="4D868132" w:rsidR="5407A37B">
        <w:rPr>
          <w:rFonts w:ascii="Arial" w:hAnsi="Arial" w:eastAsia="Arial" w:cs="Arial"/>
          <w:b w:val="0"/>
          <w:bCs w:val="0"/>
          <w:i w:val="0"/>
          <w:iCs w:val="0"/>
          <w:caps w:val="0"/>
          <w:smallCaps w:val="0"/>
          <w:noProof w:val="0"/>
          <w:color w:val="auto"/>
          <w:sz w:val="24"/>
          <w:szCs w:val="24"/>
          <w:lang w:val="en-US"/>
        </w:rPr>
        <w:t xml:space="preserve"> Many Christian scholars argue that Jesus’ attitude to women was contrary to his Jewish contemporaries. To examine this </w:t>
      </w:r>
      <w:r w:rsidRPr="4D868132" w:rsidR="475401A7">
        <w:rPr>
          <w:rFonts w:ascii="Arial" w:hAnsi="Arial" w:eastAsia="Arial" w:cs="Arial"/>
          <w:b w:val="0"/>
          <w:bCs w:val="0"/>
          <w:i w:val="0"/>
          <w:iCs w:val="0"/>
          <w:caps w:val="0"/>
          <w:smallCaps w:val="0"/>
          <w:noProof w:val="0"/>
          <w:color w:val="auto"/>
          <w:sz w:val="24"/>
          <w:szCs w:val="24"/>
          <w:lang w:val="en-US"/>
        </w:rPr>
        <w:t>statement</w:t>
      </w:r>
      <w:r w:rsidRPr="4D868132" w:rsidR="5407A37B">
        <w:rPr>
          <w:rFonts w:ascii="Arial" w:hAnsi="Arial" w:eastAsia="Arial" w:cs="Arial"/>
          <w:b w:val="0"/>
          <w:bCs w:val="0"/>
          <w:i w:val="0"/>
          <w:iCs w:val="0"/>
          <w:caps w:val="0"/>
          <w:smallCaps w:val="0"/>
          <w:noProof w:val="0"/>
          <w:color w:val="auto"/>
          <w:sz w:val="24"/>
          <w:szCs w:val="24"/>
          <w:lang w:val="en-US"/>
        </w:rPr>
        <w:t xml:space="preserve">, this essay is going to </w:t>
      </w:r>
      <w:r w:rsidRPr="4D868132" w:rsidR="52B8E904">
        <w:rPr>
          <w:rFonts w:ascii="Arial" w:hAnsi="Arial" w:eastAsia="Arial" w:cs="Arial"/>
          <w:b w:val="0"/>
          <w:bCs w:val="0"/>
          <w:i w:val="0"/>
          <w:iCs w:val="0"/>
          <w:caps w:val="0"/>
          <w:smallCaps w:val="0"/>
          <w:noProof w:val="0"/>
          <w:color w:val="auto"/>
          <w:sz w:val="24"/>
          <w:szCs w:val="24"/>
          <w:lang w:val="en-US"/>
        </w:rPr>
        <w:t>analyze</w:t>
      </w:r>
      <w:r w:rsidRPr="4D868132" w:rsidR="5407A37B">
        <w:rPr>
          <w:rFonts w:ascii="Arial" w:hAnsi="Arial" w:eastAsia="Arial" w:cs="Arial"/>
          <w:b w:val="0"/>
          <w:bCs w:val="0"/>
          <w:i w:val="0"/>
          <w:iCs w:val="0"/>
          <w:caps w:val="0"/>
          <w:smallCaps w:val="0"/>
          <w:noProof w:val="0"/>
          <w:color w:val="auto"/>
          <w:sz w:val="24"/>
          <w:szCs w:val="24"/>
          <w:lang w:val="en-US"/>
        </w:rPr>
        <w:t xml:space="preserve"> Jesus’</w:t>
      </w:r>
      <w:r w:rsidRPr="4D868132" w:rsidR="172FB8A7">
        <w:rPr>
          <w:rFonts w:ascii="Arial" w:hAnsi="Arial" w:eastAsia="Arial" w:cs="Arial"/>
          <w:b w:val="0"/>
          <w:bCs w:val="0"/>
          <w:i w:val="0"/>
          <w:iCs w:val="0"/>
          <w:caps w:val="0"/>
          <w:smallCaps w:val="0"/>
          <w:noProof w:val="0"/>
          <w:color w:val="auto"/>
          <w:sz w:val="24"/>
          <w:szCs w:val="24"/>
          <w:lang w:val="en-US"/>
        </w:rPr>
        <w:t xml:space="preserve"> </w:t>
      </w:r>
      <w:r w:rsidRPr="4D868132" w:rsidR="49AD39B6">
        <w:rPr>
          <w:rFonts w:ascii="Arial" w:hAnsi="Arial" w:eastAsia="Arial" w:cs="Arial"/>
          <w:b w:val="0"/>
          <w:bCs w:val="0"/>
          <w:i w:val="0"/>
          <w:iCs w:val="0"/>
          <w:caps w:val="0"/>
          <w:smallCaps w:val="0"/>
          <w:noProof w:val="0"/>
          <w:color w:val="auto"/>
          <w:sz w:val="24"/>
          <w:szCs w:val="24"/>
          <w:lang w:val="en-US"/>
        </w:rPr>
        <w:t xml:space="preserve">attitudes to women in his </w:t>
      </w:r>
      <w:r w:rsidRPr="4D868132" w:rsidR="172FB8A7">
        <w:rPr>
          <w:rFonts w:ascii="Arial" w:hAnsi="Arial" w:eastAsia="Arial" w:cs="Arial"/>
          <w:b w:val="0"/>
          <w:bCs w:val="0"/>
          <w:i w:val="0"/>
          <w:iCs w:val="0"/>
          <w:caps w:val="0"/>
          <w:smallCaps w:val="0"/>
          <w:noProof w:val="0"/>
          <w:color w:val="auto"/>
          <w:sz w:val="24"/>
          <w:szCs w:val="24"/>
          <w:lang w:val="en-US"/>
        </w:rPr>
        <w:t>teachings</w:t>
      </w:r>
      <w:r w:rsidRPr="4D868132" w:rsidR="2DE4DEFF">
        <w:rPr>
          <w:rFonts w:ascii="Arial" w:hAnsi="Arial" w:eastAsia="Arial" w:cs="Arial"/>
          <w:b w:val="0"/>
          <w:bCs w:val="0"/>
          <w:i w:val="0"/>
          <w:iCs w:val="0"/>
          <w:caps w:val="0"/>
          <w:smallCaps w:val="0"/>
          <w:noProof w:val="0"/>
          <w:color w:val="auto"/>
          <w:sz w:val="24"/>
          <w:szCs w:val="24"/>
          <w:lang w:val="en-US"/>
        </w:rPr>
        <w:t xml:space="preserve"> </w:t>
      </w:r>
      <w:r w:rsidRPr="4D868132" w:rsidR="0A225120">
        <w:rPr>
          <w:rFonts w:ascii="Arial" w:hAnsi="Arial" w:eastAsia="Arial" w:cs="Arial"/>
          <w:b w:val="0"/>
          <w:bCs w:val="0"/>
          <w:i w:val="0"/>
          <w:iCs w:val="0"/>
          <w:caps w:val="0"/>
          <w:smallCaps w:val="0"/>
          <w:noProof w:val="0"/>
          <w:color w:val="auto"/>
          <w:sz w:val="24"/>
          <w:szCs w:val="24"/>
          <w:lang w:val="en-US"/>
        </w:rPr>
        <w:t xml:space="preserve">and </w:t>
      </w:r>
      <w:r w:rsidRPr="4D868132" w:rsidR="6AA4694C">
        <w:rPr>
          <w:rFonts w:ascii="Arial" w:hAnsi="Arial" w:eastAsia="Arial" w:cs="Arial"/>
          <w:b w:val="0"/>
          <w:bCs w:val="0"/>
          <w:i w:val="0"/>
          <w:iCs w:val="0"/>
          <w:caps w:val="0"/>
          <w:smallCaps w:val="0"/>
          <w:noProof w:val="0"/>
          <w:color w:val="auto"/>
          <w:sz w:val="24"/>
          <w:szCs w:val="24"/>
          <w:lang w:val="en-US"/>
        </w:rPr>
        <w:t xml:space="preserve">during </w:t>
      </w:r>
      <w:r w:rsidRPr="4D868132" w:rsidR="45F92764">
        <w:rPr>
          <w:rFonts w:ascii="Arial" w:hAnsi="Arial" w:eastAsia="Arial" w:cs="Arial"/>
          <w:b w:val="0"/>
          <w:bCs w:val="0"/>
          <w:i w:val="0"/>
          <w:iCs w:val="0"/>
          <w:caps w:val="0"/>
          <w:smallCaps w:val="0"/>
          <w:noProof w:val="0"/>
          <w:color w:val="auto"/>
          <w:sz w:val="24"/>
          <w:szCs w:val="24"/>
          <w:lang w:val="en-US"/>
        </w:rPr>
        <w:t xml:space="preserve">his </w:t>
      </w:r>
      <w:r w:rsidRPr="4D868132" w:rsidR="0A225120">
        <w:rPr>
          <w:rFonts w:ascii="Arial" w:hAnsi="Arial" w:eastAsia="Arial" w:cs="Arial"/>
          <w:b w:val="0"/>
          <w:bCs w:val="0"/>
          <w:i w:val="0"/>
          <w:iCs w:val="0"/>
          <w:caps w:val="0"/>
          <w:smallCaps w:val="0"/>
          <w:noProof w:val="0"/>
          <w:color w:val="auto"/>
          <w:sz w:val="24"/>
          <w:szCs w:val="24"/>
          <w:lang w:val="en-US"/>
        </w:rPr>
        <w:t>ministry</w:t>
      </w:r>
      <w:r w:rsidRPr="4D868132" w:rsidR="457BC701">
        <w:rPr>
          <w:rFonts w:ascii="Arial" w:hAnsi="Arial" w:eastAsia="Arial" w:cs="Arial"/>
          <w:b w:val="0"/>
          <w:bCs w:val="0"/>
          <w:i w:val="0"/>
          <w:iCs w:val="0"/>
          <w:caps w:val="0"/>
          <w:smallCaps w:val="0"/>
          <w:noProof w:val="0"/>
          <w:color w:val="auto"/>
          <w:sz w:val="24"/>
          <w:szCs w:val="24"/>
          <w:lang w:val="en-US"/>
        </w:rPr>
        <w:t xml:space="preserve">. </w:t>
      </w:r>
      <w:r w:rsidRPr="4D868132" w:rsidR="5407A37B">
        <w:rPr>
          <w:rFonts w:ascii="Arial" w:hAnsi="Arial" w:eastAsia="Arial" w:cs="Arial"/>
          <w:b w:val="0"/>
          <w:bCs w:val="0"/>
          <w:i w:val="0"/>
          <w:iCs w:val="0"/>
          <w:caps w:val="0"/>
          <w:smallCaps w:val="0"/>
          <w:noProof w:val="0"/>
          <w:color w:val="auto"/>
          <w:sz w:val="24"/>
          <w:szCs w:val="24"/>
          <w:lang w:val="en-US"/>
        </w:rPr>
        <w:t xml:space="preserve"> </w:t>
      </w:r>
      <w:r w:rsidRPr="4D868132" w:rsidR="251A6566">
        <w:rPr>
          <w:rFonts w:ascii="Arial" w:hAnsi="Arial" w:eastAsia="Arial" w:cs="Arial"/>
          <w:b w:val="0"/>
          <w:bCs w:val="0"/>
          <w:i w:val="0"/>
          <w:iCs w:val="0"/>
          <w:caps w:val="0"/>
          <w:smallCaps w:val="0"/>
          <w:noProof w:val="0"/>
          <w:color w:val="auto"/>
          <w:sz w:val="24"/>
          <w:szCs w:val="24"/>
          <w:lang w:val="en-US"/>
        </w:rPr>
        <w:t>In doing so,</w:t>
      </w:r>
      <w:r w:rsidRPr="4D868132" w:rsidR="61EAEF2E">
        <w:rPr>
          <w:rFonts w:ascii="Arial" w:hAnsi="Arial" w:eastAsia="Arial" w:cs="Arial"/>
          <w:b w:val="0"/>
          <w:bCs w:val="0"/>
          <w:i w:val="0"/>
          <w:iCs w:val="0"/>
          <w:caps w:val="0"/>
          <w:smallCaps w:val="0"/>
          <w:noProof w:val="0"/>
          <w:color w:val="auto"/>
          <w:sz w:val="24"/>
          <w:szCs w:val="24"/>
          <w:lang w:val="en-US"/>
        </w:rPr>
        <w:t xml:space="preserve"> it</w:t>
      </w:r>
      <w:r w:rsidRPr="4D868132" w:rsidR="61EAEF2E">
        <w:rPr>
          <w:rFonts w:ascii="Arial" w:hAnsi="Arial" w:eastAsia="Arial" w:cs="Arial"/>
          <w:b w:val="0"/>
          <w:bCs w:val="0"/>
          <w:i w:val="0"/>
          <w:iCs w:val="0"/>
          <w:caps w:val="0"/>
          <w:smallCaps w:val="0"/>
          <w:noProof w:val="0"/>
          <w:color w:val="auto"/>
          <w:sz w:val="24"/>
          <w:szCs w:val="24"/>
          <w:lang w:val="en-US"/>
        </w:rPr>
        <w:t xml:space="preserve"> will </w:t>
      </w:r>
      <w:r w:rsidRPr="4D868132" w:rsidR="5407A37B">
        <w:rPr>
          <w:rFonts w:ascii="Arial" w:hAnsi="Arial" w:eastAsia="Arial" w:cs="Arial"/>
          <w:b w:val="0"/>
          <w:bCs w:val="0"/>
          <w:i w:val="0"/>
          <w:iCs w:val="0"/>
          <w:caps w:val="0"/>
          <w:smallCaps w:val="0"/>
          <w:noProof w:val="0"/>
          <w:color w:val="auto"/>
          <w:sz w:val="24"/>
          <w:szCs w:val="24"/>
          <w:lang w:val="en-US"/>
        </w:rPr>
        <w:t xml:space="preserve">argue that Jesus did not reform Jewish attitudes to women. In examining Jesus’ healing of a woman with a hemorrhage, the essay will argue that Jesus does not abrogate Jewish purity laws on the account that they were oppressive to women. Secondly, Jesus’ </w:t>
      </w:r>
      <w:r w:rsidRPr="4D868132" w:rsidR="186FDB33">
        <w:rPr>
          <w:rFonts w:ascii="Arial" w:hAnsi="Arial" w:eastAsia="Arial" w:cs="Arial"/>
          <w:b w:val="0"/>
          <w:bCs w:val="0"/>
          <w:i w:val="0"/>
          <w:iCs w:val="0"/>
          <w:caps w:val="0"/>
          <w:smallCaps w:val="0"/>
          <w:noProof w:val="0"/>
          <w:color w:val="auto"/>
          <w:sz w:val="24"/>
          <w:szCs w:val="24"/>
          <w:lang w:val="en-US"/>
        </w:rPr>
        <w:t>te</w:t>
      </w:r>
      <w:r w:rsidRPr="4D868132" w:rsidR="186FDB33">
        <w:rPr>
          <w:rFonts w:ascii="Arial" w:hAnsi="Arial" w:eastAsia="Arial" w:cs="Arial"/>
          <w:b w:val="0"/>
          <w:bCs w:val="0"/>
          <w:i w:val="0"/>
          <w:iCs w:val="0"/>
          <w:caps w:val="0"/>
          <w:smallCaps w:val="0"/>
          <w:noProof w:val="0"/>
          <w:color w:val="auto"/>
          <w:sz w:val="24"/>
          <w:szCs w:val="24"/>
          <w:lang w:val="en-US"/>
        </w:rPr>
        <w:t xml:space="preserve">achings </w:t>
      </w:r>
      <w:r w:rsidRPr="4D868132" w:rsidR="186FDB33">
        <w:rPr>
          <w:rFonts w:ascii="Arial" w:hAnsi="Arial" w:eastAsia="Arial" w:cs="Arial"/>
          <w:b w:val="0"/>
          <w:bCs w:val="0"/>
          <w:i w:val="0"/>
          <w:iCs w:val="0"/>
          <w:caps w:val="0"/>
          <w:smallCaps w:val="0"/>
          <w:noProof w:val="0"/>
          <w:color w:val="auto"/>
          <w:sz w:val="24"/>
          <w:szCs w:val="24"/>
          <w:lang w:val="en-US"/>
        </w:rPr>
        <w:t xml:space="preserve">seem to </w:t>
      </w:r>
      <w:r w:rsidRPr="4D868132" w:rsidR="014E50D0">
        <w:rPr>
          <w:rFonts w:ascii="Arial" w:hAnsi="Arial" w:eastAsia="Arial" w:cs="Arial"/>
          <w:b w:val="0"/>
          <w:bCs w:val="0"/>
          <w:i w:val="0"/>
          <w:iCs w:val="0"/>
          <w:caps w:val="0"/>
          <w:smallCaps w:val="0"/>
          <w:noProof w:val="0"/>
          <w:color w:val="auto"/>
          <w:sz w:val="24"/>
          <w:szCs w:val="24"/>
          <w:lang w:val="en-US"/>
        </w:rPr>
        <w:t>r</w:t>
      </w:r>
      <w:r w:rsidRPr="4D868132" w:rsidR="014E50D0">
        <w:rPr>
          <w:rFonts w:ascii="Arial" w:hAnsi="Arial" w:eastAsia="Arial" w:cs="Arial"/>
          <w:b w:val="0"/>
          <w:bCs w:val="0"/>
          <w:i w:val="0"/>
          <w:iCs w:val="0"/>
          <w:caps w:val="0"/>
          <w:smallCaps w:val="0"/>
          <w:noProof w:val="0"/>
          <w:color w:val="auto"/>
          <w:sz w:val="24"/>
          <w:szCs w:val="24"/>
          <w:lang w:val="en-US"/>
        </w:rPr>
        <w:t>einforce</w:t>
      </w:r>
      <w:r w:rsidRPr="4D868132" w:rsidR="014E50D0">
        <w:rPr>
          <w:rFonts w:ascii="Arial" w:hAnsi="Arial" w:eastAsia="Arial" w:cs="Arial"/>
          <w:b w:val="0"/>
          <w:bCs w:val="0"/>
          <w:i w:val="0"/>
          <w:iCs w:val="0"/>
          <w:caps w:val="0"/>
          <w:smallCaps w:val="0"/>
          <w:noProof w:val="0"/>
          <w:color w:val="auto"/>
          <w:sz w:val="24"/>
          <w:szCs w:val="24"/>
          <w:lang w:val="en-US"/>
        </w:rPr>
        <w:t xml:space="preserve"> stereotypical gender roles</w:t>
      </w:r>
      <w:r w:rsidRPr="4D868132" w:rsidR="1B734890">
        <w:rPr>
          <w:rFonts w:ascii="Arial" w:hAnsi="Arial" w:eastAsia="Arial" w:cs="Arial"/>
          <w:b w:val="0"/>
          <w:bCs w:val="0"/>
          <w:i w:val="0"/>
          <w:iCs w:val="0"/>
          <w:caps w:val="0"/>
          <w:smallCaps w:val="0"/>
          <w:noProof w:val="0"/>
          <w:color w:val="auto"/>
          <w:sz w:val="24"/>
          <w:szCs w:val="24"/>
          <w:lang w:val="en-US"/>
        </w:rPr>
        <w:t xml:space="preserve">. </w:t>
      </w:r>
      <w:r w:rsidRPr="4D868132" w:rsidR="7FE91EBC">
        <w:rPr>
          <w:rFonts w:ascii="Arial" w:hAnsi="Arial" w:eastAsia="Arial" w:cs="Arial"/>
          <w:b w:val="0"/>
          <w:bCs w:val="0"/>
          <w:i w:val="0"/>
          <w:iCs w:val="0"/>
          <w:caps w:val="0"/>
          <w:smallCaps w:val="0"/>
          <w:noProof w:val="0"/>
          <w:color w:val="auto"/>
          <w:sz w:val="24"/>
          <w:szCs w:val="24"/>
          <w:lang w:val="en-US"/>
        </w:rPr>
        <w:t xml:space="preserve">It will be argued that Jesus’ </w:t>
      </w:r>
      <w:r w:rsidRPr="4D868132" w:rsidR="1B734890">
        <w:rPr>
          <w:rFonts w:ascii="Arial" w:hAnsi="Arial" w:eastAsia="Arial" w:cs="Arial"/>
          <w:b w:val="0"/>
          <w:bCs w:val="0"/>
          <w:i w:val="0"/>
          <w:iCs w:val="0"/>
          <w:caps w:val="0"/>
          <w:smallCaps w:val="0"/>
          <w:noProof w:val="0"/>
          <w:color w:val="auto"/>
          <w:sz w:val="24"/>
          <w:szCs w:val="24"/>
          <w:lang w:val="en-US"/>
        </w:rPr>
        <w:t xml:space="preserve">parables do </w:t>
      </w:r>
      <w:r w:rsidRPr="4D868132" w:rsidR="5407A37B">
        <w:rPr>
          <w:rFonts w:ascii="Arial" w:hAnsi="Arial" w:eastAsia="Arial" w:cs="Arial"/>
          <w:b w:val="0"/>
          <w:bCs w:val="0"/>
          <w:i w:val="0"/>
          <w:iCs w:val="0"/>
          <w:caps w:val="0"/>
          <w:smallCaps w:val="0"/>
          <w:noProof w:val="0"/>
          <w:color w:val="auto"/>
          <w:sz w:val="24"/>
          <w:szCs w:val="24"/>
          <w:lang w:val="en-US"/>
        </w:rPr>
        <w:t xml:space="preserve">not overtly challenge gender, but class. Thirdly, Jesus’ inclusion of female disciples was not revolutionary to his Jewish environment. Finally, </w:t>
      </w:r>
      <w:r w:rsidRPr="4D868132" w:rsidR="1BDA8B27">
        <w:rPr>
          <w:rFonts w:ascii="Arial" w:hAnsi="Arial" w:eastAsia="Arial" w:cs="Arial"/>
          <w:b w:val="0"/>
          <w:bCs w:val="0"/>
          <w:i w:val="0"/>
          <w:iCs w:val="0"/>
          <w:caps w:val="0"/>
          <w:smallCaps w:val="0"/>
          <w:noProof w:val="0"/>
          <w:color w:val="auto"/>
          <w:sz w:val="24"/>
          <w:szCs w:val="24"/>
          <w:lang w:val="en-US"/>
        </w:rPr>
        <w:t>the essay</w:t>
      </w:r>
      <w:r w:rsidRPr="4D868132" w:rsidR="5407A37B">
        <w:rPr>
          <w:rFonts w:ascii="Arial" w:hAnsi="Arial" w:eastAsia="Arial" w:cs="Arial"/>
          <w:b w:val="0"/>
          <w:bCs w:val="0"/>
          <w:i w:val="0"/>
          <w:iCs w:val="0"/>
          <w:caps w:val="0"/>
          <w:smallCaps w:val="0"/>
          <w:noProof w:val="0"/>
          <w:color w:val="auto"/>
          <w:sz w:val="24"/>
          <w:szCs w:val="24"/>
          <w:lang w:val="en-US"/>
        </w:rPr>
        <w:t xml:space="preserve"> will argue that Jesus’ prohibition of divorce does not suggest that the Jewish divorce system was explicitly patriarchal.</w:t>
      </w:r>
    </w:p>
    <w:p xmlns:wp14="http://schemas.microsoft.com/office/word/2010/wordml" w:rsidP="4D868132" wp14:paraId="2F07AB02" wp14:textId="68D99024">
      <w:pPr>
        <w:spacing w:before="240" w:beforeAutospacing="off" w:after="240" w:afterAutospacing="off"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4D868132" w:rsidR="544D2DBE">
        <w:rPr>
          <w:rFonts w:ascii="Arial" w:hAnsi="Arial" w:eastAsia="Arial" w:cs="Arial"/>
          <w:b w:val="0"/>
          <w:bCs w:val="0"/>
          <w:i w:val="0"/>
          <w:iCs w:val="0"/>
          <w:caps w:val="0"/>
          <w:smallCaps w:val="0"/>
          <w:noProof w:val="0"/>
          <w:color w:val="auto"/>
          <w:sz w:val="24"/>
          <w:szCs w:val="24"/>
          <w:lang w:val="en-US"/>
        </w:rPr>
        <w:t>It has been argued that Jesus abrogates Jewish purity laws, which socially excluded women from society. This has been interpreted in Jesus healing a woman who has had a ‘flow of blood for twelve years’ (Mt 9:20-22, Mk 5:25-34, Lk 8:41) with the language being identified with Levitical purity legislation (Lev 15:19, 25; 20:18).</w:t>
      </w:r>
      <w:r w:rsidRPr="4D868132">
        <w:rPr>
          <w:rStyle w:val="FootnoteReference"/>
          <w:rFonts w:ascii="Arial" w:hAnsi="Arial" w:eastAsia="Arial" w:cs="Arial"/>
          <w:b w:val="0"/>
          <w:bCs w:val="0"/>
          <w:i w:val="0"/>
          <w:iCs w:val="0"/>
          <w:caps w:val="0"/>
          <w:smallCaps w:val="0"/>
          <w:noProof w:val="0"/>
          <w:color w:val="auto"/>
          <w:sz w:val="24"/>
          <w:szCs w:val="24"/>
          <w:lang w:val="en-US"/>
        </w:rPr>
        <w:footnoteReference w:id="7104"/>
      </w:r>
      <w:r w:rsidRPr="4D868132" w:rsidR="544D2DBE">
        <w:rPr>
          <w:rFonts w:ascii="Arial" w:hAnsi="Arial" w:eastAsia="Arial" w:cs="Arial"/>
          <w:b w:val="0"/>
          <w:bCs w:val="0"/>
          <w:i w:val="0"/>
          <w:iCs w:val="0"/>
          <w:caps w:val="0"/>
          <w:smallCaps w:val="0"/>
          <w:noProof w:val="0"/>
          <w:color w:val="auto"/>
          <w:sz w:val="24"/>
          <w:szCs w:val="24"/>
          <w:lang w:val="en-US"/>
        </w:rPr>
        <w:t xml:space="preserve">According to Leviticus, women during their menstrual cycles would have been </w:t>
      </w:r>
      <w:r w:rsidRPr="4D868132" w:rsidR="544D2DBE">
        <w:rPr>
          <w:rFonts w:ascii="Arial" w:hAnsi="Arial" w:eastAsia="Arial" w:cs="Arial"/>
          <w:b w:val="0"/>
          <w:bCs w:val="0"/>
          <w:i w:val="0"/>
          <w:iCs w:val="0"/>
          <w:caps w:val="0"/>
          <w:smallCaps w:val="0"/>
          <w:noProof w:val="0"/>
          <w:color w:val="auto"/>
          <w:sz w:val="24"/>
          <w:szCs w:val="24"/>
          <w:lang w:val="en-US"/>
        </w:rPr>
        <w:t>rendered</w:t>
      </w:r>
      <w:r w:rsidRPr="4D868132" w:rsidR="544D2DBE">
        <w:rPr>
          <w:rFonts w:ascii="Arial" w:hAnsi="Arial" w:eastAsia="Arial" w:cs="Arial"/>
          <w:b w:val="0"/>
          <w:bCs w:val="0"/>
          <w:i w:val="0"/>
          <w:iCs w:val="0"/>
          <w:caps w:val="0"/>
          <w:smallCaps w:val="0"/>
          <w:noProof w:val="0"/>
          <w:color w:val="auto"/>
          <w:sz w:val="24"/>
          <w:szCs w:val="24"/>
          <w:lang w:val="en-US"/>
        </w:rPr>
        <w:t xml:space="preserve"> impure for the first seven days, and anyone who touched them would have been ritually impure until the evening (Lev 15:19).</w:t>
      </w:r>
      <w:r w:rsidRPr="4D868132" w:rsidR="202AE043">
        <w:rPr>
          <w:rFonts w:ascii="Arial" w:hAnsi="Arial" w:eastAsia="Arial" w:cs="Arial"/>
          <w:b w:val="0"/>
          <w:bCs w:val="0"/>
          <w:i w:val="0"/>
          <w:iCs w:val="0"/>
          <w:caps w:val="0"/>
          <w:smallCaps w:val="0"/>
          <w:noProof w:val="0"/>
          <w:color w:val="auto"/>
          <w:sz w:val="24"/>
          <w:szCs w:val="24"/>
          <w:lang w:val="en-US"/>
        </w:rPr>
        <w:t xml:space="preserve"> </w:t>
      </w:r>
      <w:r w:rsidRPr="4D868132" w:rsidR="544D2DBE">
        <w:rPr>
          <w:rFonts w:ascii="Arial" w:hAnsi="Arial" w:eastAsia="Arial" w:cs="Arial"/>
          <w:b w:val="0"/>
          <w:bCs w:val="0"/>
          <w:i w:val="0"/>
          <w:iCs w:val="0"/>
          <w:caps w:val="0"/>
          <w:smallCaps w:val="0"/>
          <w:noProof w:val="0"/>
          <w:color w:val="auto"/>
          <w:sz w:val="24"/>
          <w:szCs w:val="24"/>
          <w:lang w:val="en-US"/>
        </w:rPr>
        <w:t>However, the prolonged length of the woman’s blood flow in the gospel accounts would have pronounced the woman impure until she had been cured (Lev 15:25</w:t>
      </w:r>
      <w:r w:rsidRPr="4D868132" w:rsidR="544D2DBE">
        <w:rPr>
          <w:rFonts w:ascii="Arial" w:hAnsi="Arial" w:eastAsia="Arial" w:cs="Arial"/>
          <w:b w:val="0"/>
          <w:bCs w:val="0"/>
          <w:i w:val="0"/>
          <w:iCs w:val="0"/>
          <w:caps w:val="0"/>
          <w:smallCaps w:val="0"/>
          <w:noProof w:val="0"/>
          <w:color w:val="auto"/>
          <w:sz w:val="24"/>
          <w:szCs w:val="24"/>
          <w:lang w:val="en-US"/>
        </w:rPr>
        <w:t>).</w:t>
      </w:r>
      <w:r w:rsidRPr="4D868132">
        <w:rPr>
          <w:rStyle w:val="FootnoteReference"/>
          <w:rFonts w:ascii="Arial" w:hAnsi="Arial" w:eastAsia="Arial" w:cs="Arial"/>
          <w:b w:val="0"/>
          <w:bCs w:val="0"/>
          <w:i w:val="0"/>
          <w:iCs w:val="0"/>
          <w:caps w:val="0"/>
          <w:smallCaps w:val="0"/>
          <w:noProof w:val="0"/>
          <w:color w:val="auto"/>
          <w:sz w:val="24"/>
          <w:szCs w:val="24"/>
          <w:lang w:val="en-US"/>
        </w:rPr>
        <w:footnoteReference w:id="22212"/>
      </w:r>
      <w:r w:rsidRPr="4D868132" w:rsidR="72283C7F">
        <w:rPr>
          <w:rFonts w:ascii="Arial" w:hAnsi="Arial" w:eastAsia="Arial" w:cs="Arial"/>
          <w:b w:val="0"/>
          <w:bCs w:val="0"/>
          <w:i w:val="0"/>
          <w:iCs w:val="0"/>
          <w:caps w:val="0"/>
          <w:smallCaps w:val="0"/>
          <w:noProof w:val="0"/>
          <w:color w:val="auto"/>
          <w:sz w:val="24"/>
          <w:szCs w:val="24"/>
          <w:lang w:val="en-US"/>
        </w:rPr>
        <w:t xml:space="preserve"> </w:t>
      </w:r>
      <w:r w:rsidRPr="4D868132" w:rsidR="544D2DBE">
        <w:rPr>
          <w:rFonts w:ascii="Arial" w:hAnsi="Arial" w:eastAsia="Arial" w:cs="Arial"/>
          <w:b w:val="0"/>
          <w:bCs w:val="0"/>
          <w:i w:val="0"/>
          <w:iCs w:val="0"/>
          <w:caps w:val="0"/>
          <w:smallCaps w:val="0"/>
          <w:noProof w:val="0"/>
          <w:color w:val="auto"/>
          <w:sz w:val="24"/>
          <w:szCs w:val="24"/>
          <w:lang w:val="en-US"/>
        </w:rPr>
        <w:t xml:space="preserve"> </w:t>
      </w:r>
    </w:p>
    <w:p xmlns:wp14="http://schemas.microsoft.com/office/word/2010/wordml" w:rsidP="4D868132" wp14:paraId="6A74865D" wp14:textId="0630E634">
      <w:pPr>
        <w:spacing w:before="240" w:beforeAutospacing="off" w:after="240" w:afterAutospacing="off" w:line="360" w:lineRule="auto"/>
        <w:rPr>
          <w:rFonts w:ascii="Arial" w:hAnsi="Arial" w:eastAsia="Arial" w:cs="Arial"/>
          <w:b w:val="0"/>
          <w:bCs w:val="0"/>
          <w:i w:val="0"/>
          <w:iCs w:val="0"/>
          <w:caps w:val="0"/>
          <w:smallCaps w:val="0"/>
          <w:noProof w:val="0"/>
          <w:color w:val="auto"/>
          <w:sz w:val="24"/>
          <w:szCs w:val="24"/>
          <w:lang w:val="en-US"/>
        </w:rPr>
      </w:pPr>
      <w:r w:rsidRPr="4D868132" w:rsidR="544D2DBE">
        <w:rPr>
          <w:rFonts w:ascii="Arial" w:hAnsi="Arial" w:eastAsia="Arial" w:cs="Arial"/>
          <w:b w:val="0"/>
          <w:bCs w:val="0"/>
          <w:i w:val="0"/>
          <w:iCs w:val="0"/>
          <w:caps w:val="0"/>
          <w:smallCaps w:val="0"/>
          <w:noProof w:val="0"/>
          <w:color w:val="auto"/>
          <w:sz w:val="24"/>
          <w:szCs w:val="24"/>
          <w:lang w:val="en-US"/>
        </w:rPr>
        <w:t xml:space="preserve">According to Marla Selvidge, the woman would have been </w:t>
      </w:r>
      <w:r w:rsidRPr="4D868132" w:rsidR="482A16C3">
        <w:rPr>
          <w:rFonts w:ascii="Arial" w:hAnsi="Arial" w:eastAsia="Arial" w:cs="Arial"/>
          <w:b w:val="0"/>
          <w:bCs w:val="0"/>
          <w:i w:val="0"/>
          <w:iCs w:val="0"/>
          <w:caps w:val="0"/>
          <w:smallCaps w:val="0"/>
          <w:noProof w:val="0"/>
          <w:color w:val="auto"/>
          <w:sz w:val="24"/>
          <w:szCs w:val="24"/>
          <w:lang w:val="en-US"/>
        </w:rPr>
        <w:t>‘‘</w:t>
      </w:r>
      <w:r w:rsidRPr="4D868132" w:rsidR="544D2DBE">
        <w:rPr>
          <w:rFonts w:ascii="Arial" w:hAnsi="Arial" w:eastAsia="Arial" w:cs="Arial"/>
          <w:b w:val="0"/>
          <w:bCs w:val="0"/>
          <w:i w:val="0"/>
          <w:iCs w:val="0"/>
          <w:caps w:val="0"/>
          <w:smallCaps w:val="0"/>
          <w:noProof w:val="0"/>
          <w:color w:val="auto"/>
          <w:sz w:val="24"/>
          <w:szCs w:val="24"/>
          <w:lang w:val="en-US"/>
        </w:rPr>
        <w:t>socially restricted from the cult, society, and the home’</w:t>
      </w:r>
      <w:r w:rsidRPr="4D868132" w:rsidR="3C5C33D1">
        <w:rPr>
          <w:rFonts w:ascii="Arial" w:hAnsi="Arial" w:eastAsia="Arial" w:cs="Arial"/>
          <w:b w:val="0"/>
          <w:bCs w:val="0"/>
          <w:i w:val="0"/>
          <w:iCs w:val="0"/>
          <w:caps w:val="0"/>
          <w:smallCaps w:val="0"/>
          <w:noProof w:val="0"/>
          <w:color w:val="auto"/>
          <w:sz w:val="24"/>
          <w:szCs w:val="24"/>
          <w:lang w:val="en-US"/>
        </w:rPr>
        <w:t>’</w:t>
      </w:r>
      <w:r w:rsidRPr="4D868132">
        <w:rPr>
          <w:rStyle w:val="FootnoteReference"/>
          <w:rFonts w:ascii="Arial" w:hAnsi="Arial" w:eastAsia="Arial" w:cs="Arial"/>
          <w:b w:val="0"/>
          <w:bCs w:val="0"/>
          <w:i w:val="0"/>
          <w:iCs w:val="0"/>
          <w:caps w:val="0"/>
          <w:smallCaps w:val="0"/>
          <w:noProof w:val="0"/>
          <w:color w:val="auto"/>
          <w:sz w:val="24"/>
          <w:szCs w:val="24"/>
          <w:lang w:val="en-US"/>
        </w:rPr>
        <w:footnoteReference w:id="3943"/>
      </w:r>
      <w:r w:rsidRPr="4D868132" w:rsidR="544D2DBE">
        <w:rPr>
          <w:rFonts w:ascii="Arial" w:hAnsi="Arial" w:eastAsia="Arial" w:cs="Arial"/>
          <w:b w:val="0"/>
          <w:bCs w:val="0"/>
          <w:i w:val="0"/>
          <w:iCs w:val="0"/>
          <w:caps w:val="0"/>
          <w:smallCaps w:val="0"/>
          <w:noProof w:val="0"/>
          <w:color w:val="auto"/>
          <w:sz w:val="24"/>
          <w:szCs w:val="24"/>
          <w:lang w:val="en-US"/>
        </w:rPr>
        <w:t xml:space="preserve"> because of her state of impurity. However, in examining the account in Mark, Selvidge argues that Jesus ‘‘subtly shatters the legal purity system and its restrictive social conditioning.’’</w:t>
      </w:r>
      <w:r w:rsidRPr="4D868132">
        <w:rPr>
          <w:rStyle w:val="FootnoteReference"/>
          <w:rFonts w:ascii="Arial" w:hAnsi="Arial" w:eastAsia="Arial" w:cs="Arial"/>
          <w:b w:val="0"/>
          <w:bCs w:val="0"/>
          <w:i w:val="0"/>
          <w:iCs w:val="0"/>
          <w:caps w:val="0"/>
          <w:smallCaps w:val="0"/>
          <w:noProof w:val="0"/>
          <w:color w:val="auto"/>
          <w:sz w:val="24"/>
          <w:szCs w:val="24"/>
          <w:lang w:val="en-US"/>
        </w:rPr>
        <w:footnoteReference w:id="13283"/>
      </w:r>
      <w:r w:rsidRPr="4D868132" w:rsidR="544D2DBE">
        <w:rPr>
          <w:rFonts w:ascii="Arial" w:hAnsi="Arial" w:eastAsia="Arial" w:cs="Arial"/>
          <w:b w:val="0"/>
          <w:bCs w:val="0"/>
          <w:i w:val="0"/>
          <w:iCs w:val="0"/>
          <w:caps w:val="0"/>
          <w:smallCaps w:val="0"/>
          <w:noProof w:val="0"/>
          <w:color w:val="auto"/>
          <w:sz w:val="24"/>
          <w:szCs w:val="24"/>
          <w:lang w:val="en-US"/>
        </w:rPr>
        <w:t xml:space="preserve"> Selvidge argues that Jesus does not reprimand the woman for touching him, but instead shows compassion by calling her ‘daughter’</w:t>
      </w:r>
      <w:r w:rsidRPr="4D868132">
        <w:rPr>
          <w:rStyle w:val="FootnoteReference"/>
          <w:rFonts w:ascii="Arial" w:hAnsi="Arial" w:eastAsia="Arial" w:cs="Arial"/>
          <w:b w:val="0"/>
          <w:bCs w:val="0"/>
          <w:i w:val="0"/>
          <w:iCs w:val="0"/>
          <w:caps w:val="0"/>
          <w:smallCaps w:val="0"/>
          <w:noProof w:val="0"/>
          <w:color w:val="auto"/>
          <w:sz w:val="24"/>
          <w:szCs w:val="24"/>
          <w:lang w:val="en-US"/>
        </w:rPr>
        <w:footnoteReference w:id="30095"/>
      </w:r>
      <w:r w:rsidRPr="4D868132" w:rsidR="544D2DBE">
        <w:rPr>
          <w:rFonts w:ascii="Arial" w:hAnsi="Arial" w:eastAsia="Arial" w:cs="Arial"/>
          <w:b w:val="0"/>
          <w:bCs w:val="0"/>
          <w:i w:val="0"/>
          <w:iCs w:val="0"/>
          <w:caps w:val="0"/>
          <w:smallCaps w:val="0"/>
          <w:noProof w:val="0"/>
          <w:color w:val="auto"/>
          <w:sz w:val="24"/>
          <w:szCs w:val="24"/>
          <w:lang w:val="en-US"/>
        </w:rPr>
        <w:t xml:space="preserve"> (Mk 5:34). Furthermore, in healing the woman, Selvidge argues Jesus liberates the woman from the physical and social suffering she has endured due to the androcentric nature of Jewish </w:t>
      </w:r>
      <w:r w:rsidRPr="4D868132" w:rsidR="544D2DBE">
        <w:rPr>
          <w:rFonts w:ascii="Arial" w:hAnsi="Arial" w:eastAsia="Arial" w:cs="Arial"/>
          <w:b w:val="0"/>
          <w:bCs w:val="0"/>
          <w:i w:val="0"/>
          <w:iCs w:val="0"/>
          <w:caps w:val="0"/>
          <w:smallCaps w:val="0"/>
          <w:noProof w:val="0"/>
          <w:color w:val="auto"/>
          <w:sz w:val="24"/>
          <w:szCs w:val="24"/>
          <w:lang w:val="en-US"/>
        </w:rPr>
        <w:t xml:space="preserve">culture.</w:t>
      </w:r>
      <w:r w:rsidRPr="4D868132">
        <w:rPr>
          <w:rStyle w:val="FootnoteReference"/>
          <w:rFonts w:ascii="Arial" w:hAnsi="Arial" w:eastAsia="Arial" w:cs="Arial"/>
          <w:b w:val="0"/>
          <w:bCs w:val="0"/>
          <w:i w:val="0"/>
          <w:iCs w:val="0"/>
          <w:caps w:val="0"/>
          <w:smallCaps w:val="0"/>
          <w:noProof w:val="0"/>
          <w:color w:val="auto"/>
          <w:sz w:val="24"/>
          <w:szCs w:val="24"/>
          <w:lang w:val="en-US"/>
        </w:rPr>
        <w:footnoteReference w:id="14118"/>
      </w:r>
      <w:r w:rsidRPr="4D868132" w:rsidR="476DCEAA">
        <w:rPr>
          <w:rFonts w:ascii="Arial" w:hAnsi="Arial" w:eastAsia="Arial" w:cs="Arial"/>
          <w:b w:val="0"/>
          <w:bCs w:val="0"/>
          <w:i w:val="0"/>
          <w:iCs w:val="0"/>
          <w:caps w:val="0"/>
          <w:smallCaps w:val="0"/>
          <w:noProof w:val="0"/>
          <w:color w:val="auto"/>
          <w:sz w:val="24"/>
          <w:szCs w:val="24"/>
          <w:lang w:val="en-US"/>
        </w:rPr>
        <w:t xml:space="preserve"> </w:t>
      </w:r>
      <w:r w:rsidRPr="4D868132" w:rsidR="2DA44F31">
        <w:rPr>
          <w:rFonts w:ascii="Arial" w:hAnsi="Arial" w:eastAsia="Arial" w:cs="Arial"/>
          <w:b w:val="0"/>
          <w:bCs w:val="0"/>
          <w:i w:val="0"/>
          <w:iCs w:val="0"/>
          <w:caps w:val="0"/>
          <w:smallCaps w:val="0"/>
          <w:noProof w:val="0"/>
          <w:color w:val="auto"/>
          <w:sz w:val="24"/>
          <w:szCs w:val="24"/>
          <w:lang w:val="en-US"/>
        </w:rPr>
        <w:t xml:space="preserve"> However, Judith </w:t>
      </w:r>
      <w:r w:rsidRPr="4D868132" w:rsidR="2DA44F31">
        <w:rPr>
          <w:rFonts w:ascii="Arial" w:hAnsi="Arial" w:eastAsia="Arial" w:cs="Arial"/>
          <w:b w:val="0"/>
          <w:bCs w:val="0"/>
          <w:i w:val="0"/>
          <w:iCs w:val="0"/>
          <w:caps w:val="0"/>
          <w:smallCaps w:val="0"/>
          <w:noProof w:val="0"/>
          <w:color w:val="auto"/>
          <w:sz w:val="24"/>
          <w:szCs w:val="24"/>
          <w:lang w:val="en-US"/>
        </w:rPr>
        <w:t>Plaskow</w:t>
      </w:r>
      <w:r w:rsidRPr="4D868132" w:rsidR="2DA44F31">
        <w:rPr>
          <w:rFonts w:ascii="Arial" w:hAnsi="Arial" w:eastAsia="Arial" w:cs="Arial"/>
          <w:b w:val="0"/>
          <w:bCs w:val="0"/>
          <w:i w:val="0"/>
          <w:iCs w:val="0"/>
          <w:caps w:val="0"/>
          <w:smallCaps w:val="0"/>
          <w:noProof w:val="0"/>
          <w:color w:val="auto"/>
          <w:sz w:val="24"/>
          <w:szCs w:val="24"/>
          <w:lang w:val="en-US"/>
        </w:rPr>
        <w:t xml:space="preserve"> argues that Christian </w:t>
      </w:r>
      <w:r w:rsidRPr="4D868132" w:rsidR="1FA652D4">
        <w:rPr>
          <w:rFonts w:ascii="Arial" w:hAnsi="Arial" w:eastAsia="Arial" w:cs="Arial"/>
          <w:b w:val="0"/>
          <w:bCs w:val="0"/>
          <w:i w:val="0"/>
          <w:iCs w:val="0"/>
          <w:caps w:val="0"/>
          <w:smallCaps w:val="0"/>
          <w:noProof w:val="0"/>
          <w:color w:val="auto"/>
          <w:sz w:val="24"/>
          <w:szCs w:val="24"/>
          <w:lang w:val="en-US"/>
        </w:rPr>
        <w:t>feminists</w:t>
      </w:r>
      <w:r w:rsidRPr="4D868132" w:rsidR="2DA44F31">
        <w:rPr>
          <w:rFonts w:ascii="Arial" w:hAnsi="Arial" w:eastAsia="Arial" w:cs="Arial"/>
          <w:b w:val="0"/>
          <w:bCs w:val="0"/>
          <w:i w:val="0"/>
          <w:iCs w:val="0"/>
          <w:caps w:val="0"/>
          <w:smallCaps w:val="0"/>
          <w:noProof w:val="0"/>
          <w:color w:val="auto"/>
          <w:sz w:val="24"/>
          <w:szCs w:val="24"/>
          <w:lang w:val="en-US"/>
        </w:rPr>
        <w:t xml:space="preserve"> like S</w:t>
      </w:r>
      <w:r w:rsidRPr="4D868132" w:rsidR="4FC069ED">
        <w:rPr>
          <w:rFonts w:ascii="Arial" w:hAnsi="Arial" w:eastAsia="Arial" w:cs="Arial"/>
          <w:b w:val="0"/>
          <w:bCs w:val="0"/>
          <w:i w:val="0"/>
          <w:iCs w:val="0"/>
          <w:caps w:val="0"/>
          <w:smallCaps w:val="0"/>
          <w:noProof w:val="0"/>
          <w:color w:val="auto"/>
          <w:sz w:val="24"/>
          <w:szCs w:val="24"/>
          <w:lang w:val="en-US"/>
        </w:rPr>
        <w:t xml:space="preserve">elvidge, </w:t>
      </w:r>
      <w:r w:rsidRPr="4D868132" w:rsidR="7EF8C56C">
        <w:rPr>
          <w:rFonts w:ascii="Arial" w:hAnsi="Arial" w:eastAsia="Arial" w:cs="Arial"/>
          <w:b w:val="0"/>
          <w:bCs w:val="0"/>
          <w:i w:val="0"/>
          <w:iCs w:val="0"/>
          <w:caps w:val="0"/>
          <w:smallCaps w:val="0"/>
          <w:noProof w:val="0"/>
          <w:color w:val="auto"/>
          <w:sz w:val="24"/>
          <w:szCs w:val="24"/>
          <w:lang w:val="en-US"/>
        </w:rPr>
        <w:t>showcase</w:t>
      </w:r>
      <w:r w:rsidRPr="4D868132" w:rsidR="7EF8C56C">
        <w:rPr>
          <w:rFonts w:ascii="Arial" w:hAnsi="Arial" w:eastAsia="Arial" w:cs="Arial"/>
          <w:b w:val="0"/>
          <w:bCs w:val="0"/>
          <w:i w:val="0"/>
          <w:iCs w:val="0"/>
          <w:caps w:val="0"/>
          <w:smallCaps w:val="0"/>
          <w:noProof w:val="0"/>
          <w:color w:val="auto"/>
          <w:sz w:val="24"/>
          <w:szCs w:val="24"/>
          <w:lang w:val="en-US"/>
        </w:rPr>
        <w:t xml:space="preserve"> an anti-Judaism rhetoric, and do not critically examine the </w:t>
      </w:r>
      <w:r w:rsidRPr="4D868132" w:rsidR="7EF8C56C">
        <w:rPr>
          <w:rFonts w:ascii="Arial" w:hAnsi="Arial" w:eastAsia="Arial" w:cs="Arial"/>
          <w:b w:val="0"/>
          <w:bCs w:val="0"/>
          <w:i w:val="0"/>
          <w:iCs w:val="0"/>
          <w:caps w:val="0"/>
          <w:smallCaps w:val="0"/>
          <w:noProof w:val="0"/>
          <w:color w:val="auto"/>
          <w:sz w:val="24"/>
          <w:szCs w:val="24"/>
          <w:lang w:val="en-US"/>
        </w:rPr>
        <w:t>real historical</w:t>
      </w:r>
      <w:r w:rsidRPr="4D868132" w:rsidR="7EF8C56C">
        <w:rPr>
          <w:rFonts w:ascii="Arial" w:hAnsi="Arial" w:eastAsia="Arial" w:cs="Arial"/>
          <w:b w:val="0"/>
          <w:bCs w:val="0"/>
          <w:i w:val="0"/>
          <w:iCs w:val="0"/>
          <w:caps w:val="0"/>
          <w:smallCaps w:val="0"/>
          <w:noProof w:val="0"/>
          <w:color w:val="auto"/>
          <w:sz w:val="24"/>
          <w:szCs w:val="24"/>
          <w:lang w:val="en-US"/>
        </w:rPr>
        <w:t xml:space="preserve"> lives of Jewish women</w:t>
      </w:r>
      <w:r w:rsidRPr="4D868132" w:rsidR="4002DB4E">
        <w:rPr>
          <w:rFonts w:ascii="Arial" w:hAnsi="Arial" w:eastAsia="Arial" w:cs="Arial"/>
          <w:b w:val="0"/>
          <w:bCs w:val="0"/>
          <w:i w:val="0"/>
          <w:iCs w:val="0"/>
          <w:caps w:val="0"/>
          <w:smallCaps w:val="0"/>
          <w:noProof w:val="0"/>
          <w:color w:val="auto"/>
          <w:sz w:val="24"/>
          <w:szCs w:val="24"/>
          <w:lang w:val="en-US"/>
        </w:rPr>
        <w:t xml:space="preserve">. Instead, they try to make Jesus’ Jewish background look </w:t>
      </w:r>
      <w:r w:rsidRPr="4D868132" w:rsidR="52B26C58">
        <w:rPr>
          <w:rFonts w:ascii="Arial" w:hAnsi="Arial" w:eastAsia="Arial" w:cs="Arial"/>
          <w:b w:val="0"/>
          <w:bCs w:val="0"/>
          <w:i w:val="0"/>
          <w:iCs w:val="0"/>
          <w:caps w:val="0"/>
          <w:smallCaps w:val="0"/>
          <w:noProof w:val="0"/>
          <w:color w:val="auto"/>
          <w:sz w:val="24"/>
          <w:szCs w:val="24"/>
          <w:lang w:val="en-US"/>
        </w:rPr>
        <w:t xml:space="preserve">more misogynistic to present Christianity as being better to </w:t>
      </w:r>
      <w:r w:rsidRPr="4D868132" w:rsidR="52B26C58">
        <w:rPr>
          <w:rFonts w:ascii="Arial" w:hAnsi="Arial" w:eastAsia="Arial" w:cs="Arial"/>
          <w:b w:val="0"/>
          <w:bCs w:val="0"/>
          <w:i w:val="0"/>
          <w:iCs w:val="0"/>
          <w:caps w:val="0"/>
          <w:smallCaps w:val="0"/>
          <w:noProof w:val="0"/>
          <w:color w:val="auto"/>
          <w:sz w:val="24"/>
          <w:szCs w:val="24"/>
          <w:lang w:val="en-US"/>
        </w:rPr>
        <w:t>women.</w:t>
      </w:r>
      <w:r w:rsidRPr="4D868132">
        <w:rPr>
          <w:rStyle w:val="FootnoteReference"/>
          <w:rFonts w:ascii="Arial" w:hAnsi="Arial" w:eastAsia="Arial" w:cs="Arial"/>
          <w:b w:val="0"/>
          <w:bCs w:val="0"/>
          <w:i w:val="0"/>
          <w:iCs w:val="0"/>
          <w:caps w:val="0"/>
          <w:smallCaps w:val="0"/>
          <w:noProof w:val="0"/>
          <w:color w:val="auto"/>
          <w:sz w:val="24"/>
          <w:szCs w:val="24"/>
          <w:lang w:val="en-US"/>
        </w:rPr>
        <w:footnoteReference w:id="31638"/>
      </w:r>
    </w:p>
    <w:p xmlns:wp14="http://schemas.microsoft.com/office/word/2010/wordml" w:rsidP="4D868132" wp14:paraId="05D3A3E2" wp14:textId="7A6C80B8">
      <w:pPr>
        <w:spacing w:before="240" w:beforeAutospacing="off" w:after="240" w:afterAutospacing="off" w:line="360" w:lineRule="auto"/>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pPr>
      <w:r w:rsidRPr="4D868132" w:rsidR="4162BB50">
        <w:rPr>
          <w:rFonts w:ascii="Arial" w:hAnsi="Arial" w:eastAsia="Arial" w:cs="Arial"/>
          <w:b w:val="0"/>
          <w:bCs w:val="0"/>
          <w:i w:val="0"/>
          <w:iCs w:val="0"/>
          <w:caps w:val="0"/>
          <w:smallCaps w:val="0"/>
          <w:noProof w:val="0"/>
          <w:color w:val="auto"/>
          <w:sz w:val="24"/>
          <w:szCs w:val="24"/>
          <w:lang w:val="en-US"/>
        </w:rPr>
        <w:t xml:space="preserve">However, as Susan Haber notes, there is no evidence that Jesus abrogates the purity laws. For instance, it is the woman who </w:t>
      </w:r>
      <w:r w:rsidRPr="4D868132" w:rsidR="4162BB50">
        <w:rPr>
          <w:rFonts w:ascii="Arial" w:hAnsi="Arial" w:eastAsia="Arial" w:cs="Arial"/>
          <w:b w:val="0"/>
          <w:bCs w:val="0"/>
          <w:i w:val="0"/>
          <w:iCs w:val="0"/>
          <w:caps w:val="0"/>
          <w:smallCaps w:val="0"/>
          <w:noProof w:val="0"/>
          <w:color w:val="auto"/>
          <w:sz w:val="24"/>
          <w:szCs w:val="24"/>
          <w:lang w:val="en-US"/>
        </w:rPr>
        <w:t>initiates</w:t>
      </w:r>
      <w:r w:rsidRPr="4D868132" w:rsidR="4162BB50">
        <w:rPr>
          <w:rFonts w:ascii="Arial" w:hAnsi="Arial" w:eastAsia="Arial" w:cs="Arial"/>
          <w:b w:val="0"/>
          <w:bCs w:val="0"/>
          <w:i w:val="0"/>
          <w:iCs w:val="0"/>
          <w:caps w:val="0"/>
          <w:smallCaps w:val="0"/>
          <w:noProof w:val="0"/>
          <w:color w:val="auto"/>
          <w:sz w:val="24"/>
          <w:szCs w:val="24"/>
          <w:lang w:val="en-US"/>
        </w:rPr>
        <w:t xml:space="preserve"> touching Jesus (Mk 5:28) which </w:t>
      </w:r>
      <w:r w:rsidRPr="4D868132" w:rsidR="4162BB50">
        <w:rPr>
          <w:rFonts w:ascii="Arial" w:hAnsi="Arial" w:eastAsia="Arial" w:cs="Arial"/>
          <w:b w:val="0"/>
          <w:bCs w:val="0"/>
          <w:i w:val="0"/>
          <w:iCs w:val="0"/>
          <w:caps w:val="0"/>
          <w:smallCaps w:val="0"/>
          <w:noProof w:val="0"/>
          <w:color w:val="auto"/>
          <w:sz w:val="24"/>
          <w:szCs w:val="24"/>
          <w:lang w:val="en-US"/>
        </w:rPr>
        <w:t>possibly suggests</w:t>
      </w:r>
      <w:r w:rsidRPr="4D868132" w:rsidR="4162BB50">
        <w:rPr>
          <w:rFonts w:ascii="Arial" w:hAnsi="Arial" w:eastAsia="Arial" w:cs="Arial"/>
          <w:b w:val="0"/>
          <w:bCs w:val="0"/>
          <w:i w:val="0"/>
          <w:iCs w:val="0"/>
          <w:caps w:val="0"/>
          <w:smallCaps w:val="0"/>
          <w:noProof w:val="0"/>
          <w:color w:val="auto"/>
          <w:sz w:val="24"/>
          <w:szCs w:val="24"/>
          <w:lang w:val="en-US"/>
        </w:rPr>
        <w:t xml:space="preserve"> that Jesus still abided to Jewish purity laws. Furthermore, if ritual impurity </w:t>
      </w:r>
      <w:r w:rsidRPr="4D868132" w:rsidR="4162BB50">
        <w:rPr>
          <w:rFonts w:ascii="Arial" w:hAnsi="Arial" w:eastAsia="Arial" w:cs="Arial"/>
          <w:b w:val="0"/>
          <w:bCs w:val="0"/>
          <w:i w:val="0"/>
          <w:iCs w:val="0"/>
          <w:caps w:val="0"/>
          <w:smallCaps w:val="0"/>
          <w:noProof w:val="0"/>
          <w:color w:val="auto"/>
          <w:sz w:val="24"/>
          <w:szCs w:val="24"/>
          <w:lang w:val="en-US"/>
        </w:rPr>
        <w:t>was</w:t>
      </w:r>
      <w:r w:rsidRPr="4D868132" w:rsidR="4162BB50">
        <w:rPr>
          <w:rFonts w:ascii="Arial" w:hAnsi="Arial" w:eastAsia="Arial" w:cs="Arial"/>
          <w:b w:val="0"/>
          <w:bCs w:val="0"/>
          <w:i w:val="0"/>
          <w:iCs w:val="0"/>
          <w:caps w:val="0"/>
          <w:smallCaps w:val="0"/>
          <w:noProof w:val="0"/>
          <w:color w:val="auto"/>
          <w:sz w:val="24"/>
          <w:szCs w:val="24"/>
          <w:lang w:val="en-US"/>
        </w:rPr>
        <w:t xml:space="preserve"> passed on from the woman, Jesus could have followed the purification ritual to cleanse himself (Lev 15;19). Furthermore, Selvidge does not consider how first-century Jewish communities would have interpreted the Levitical purity laws</w:t>
      </w:r>
      <w:r w:rsidRPr="4D868132" w:rsidR="0220A030">
        <w:rPr>
          <w:rFonts w:ascii="Arial" w:hAnsi="Arial" w:eastAsia="Arial" w:cs="Arial"/>
          <w:b w:val="0"/>
          <w:bCs w:val="0"/>
          <w:i w:val="0"/>
          <w:iCs w:val="0"/>
          <w:caps w:val="0"/>
          <w:smallCaps w:val="0"/>
          <w:noProof w:val="0"/>
          <w:color w:val="auto"/>
          <w:sz w:val="24"/>
          <w:szCs w:val="24"/>
          <w:lang w:val="en-US"/>
        </w:rPr>
        <w:t xml:space="preserve">. </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Amy Jill-Levine argues t</w:t>
      </w:r>
      <w:r w:rsidRPr="4D868132" w:rsidR="0A77F493">
        <w:rPr>
          <w:rFonts w:ascii="Arial" w:hAnsi="Arial" w:eastAsia="Arial" w:cs="Arial"/>
          <w:b w:val="0"/>
          <w:bCs w:val="0"/>
          <w:i w:val="0"/>
          <w:iCs w:val="0"/>
          <w:caps w:val="0"/>
          <w:smallCaps w:val="0"/>
          <w:strike w:val="0"/>
          <w:dstrike w:val="0"/>
          <w:noProof w:val="0"/>
          <w:color w:val="auto"/>
          <w:sz w:val="24"/>
          <w:szCs w:val="24"/>
          <w:u w:val="none"/>
          <w:lang w:val="en-US"/>
        </w:rPr>
        <w:t xml:space="preserve">hat Selvidge's </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 xml:space="preserve">interpretation of the text is a misrepresentation of the Jewish legal purity system in the Second Temple </w:t>
      </w:r>
      <w:r w:rsidRPr="4D868132" w:rsidR="505E883B">
        <w:rPr>
          <w:rFonts w:ascii="Arial" w:hAnsi="Arial" w:eastAsia="Arial" w:cs="Arial"/>
          <w:b w:val="0"/>
          <w:bCs w:val="0"/>
          <w:i w:val="0"/>
          <w:iCs w:val="0"/>
          <w:caps w:val="0"/>
          <w:smallCaps w:val="0"/>
          <w:strike w:val="0"/>
          <w:dstrike w:val="0"/>
          <w:noProof w:val="0"/>
          <w:color w:val="auto"/>
          <w:sz w:val="24"/>
          <w:szCs w:val="24"/>
          <w:u w:val="none"/>
          <w:lang w:val="en-US"/>
        </w:rPr>
        <w:t>p</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 xml:space="preserve">eriod. </w:t>
      </w:r>
      <w:r w:rsidRPr="4D868132" w:rsidR="6C78D284">
        <w:rPr>
          <w:rFonts w:ascii="Arial" w:hAnsi="Arial" w:eastAsia="Arial" w:cs="Arial"/>
          <w:b w:val="0"/>
          <w:bCs w:val="0"/>
          <w:i w:val="0"/>
          <w:iCs w:val="0"/>
          <w:caps w:val="0"/>
          <w:smallCaps w:val="0"/>
          <w:strike w:val="0"/>
          <w:dstrike w:val="0"/>
          <w:noProof w:val="0"/>
          <w:color w:val="auto"/>
          <w:sz w:val="24"/>
          <w:szCs w:val="24"/>
          <w:u w:val="none"/>
          <w:lang w:val="en-US"/>
        </w:rPr>
        <w:t>Haber</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 xml:space="preserve"> notes how some Jewish sects such as the Pharisees would have </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likely had</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 xml:space="preserve"> a stricter view of purity legislation outside of the </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 xml:space="preserve">temple.</w:t>
      </w:r>
      <w:r w:rsidRPr="4D868132">
        <w:rPr>
          <w:rStyle w:val="FootnoteReference"/>
          <w:rFonts w:ascii="Arial" w:hAnsi="Arial" w:eastAsia="Arial" w:cs="Arial"/>
          <w:b w:val="0"/>
          <w:bCs w:val="0"/>
          <w:i w:val="0"/>
          <w:iCs w:val="0"/>
          <w:caps w:val="0"/>
          <w:smallCaps w:val="0"/>
          <w:strike w:val="0"/>
          <w:dstrike w:val="0"/>
          <w:noProof w:val="0"/>
          <w:color w:val="auto"/>
          <w:sz w:val="24"/>
          <w:szCs w:val="24"/>
          <w:u w:val="none"/>
          <w:lang w:val="en-US"/>
        </w:rPr>
        <w:footnoteReference w:id="1535"/>
      </w:r>
      <w:r w:rsidRPr="4D868132" w:rsidR="2F5CA087">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However</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 xml:space="preserve">, other Jewish communities would have reinterpreted the laws according to their own </w:t>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lives.</w:t>
      </w:r>
      <w:r w:rsidRPr="4D868132">
        <w:rPr>
          <w:rStyle w:val="FootnoteReference"/>
          <w:rFonts w:ascii="Arial" w:hAnsi="Arial" w:eastAsia="Arial" w:cs="Arial"/>
          <w:b w:val="0"/>
          <w:bCs w:val="0"/>
          <w:i w:val="0"/>
          <w:iCs w:val="0"/>
          <w:caps w:val="0"/>
          <w:smallCaps w:val="0"/>
          <w:strike w:val="0"/>
          <w:dstrike w:val="0"/>
          <w:noProof w:val="0"/>
          <w:color w:val="auto"/>
          <w:sz w:val="24"/>
          <w:szCs w:val="24"/>
          <w:u w:val="none"/>
          <w:lang w:val="en-US"/>
        </w:rPr>
        <w:footnoteReference w:id="2321"/>
      </w:r>
      <w:r w:rsidRPr="4D868132" w:rsidR="544D2DBE">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D868132" w:rsidR="4CAACA32">
        <w:rPr>
          <w:rFonts w:ascii="Arial" w:hAnsi="Arial" w:eastAsia="Arial" w:cs="Arial"/>
          <w:b w:val="0"/>
          <w:bCs w:val="0"/>
          <w:i w:val="0"/>
          <w:iCs w:val="0"/>
          <w:caps w:val="0"/>
          <w:smallCaps w:val="0"/>
          <w:strike w:val="0"/>
          <w:dstrike w:val="0"/>
          <w:noProof w:val="0"/>
          <w:color w:val="auto"/>
          <w:sz w:val="24"/>
          <w:szCs w:val="24"/>
          <w:u w:val="none"/>
          <w:lang w:val="en-US"/>
        </w:rPr>
        <w:t xml:space="preserve">This suggests that Jesus did not </w:t>
      </w:r>
      <w:r w:rsidRPr="4D868132" w:rsidR="501EB2E8">
        <w:rPr>
          <w:rFonts w:ascii="Arial" w:hAnsi="Arial" w:eastAsia="Arial" w:cs="Arial"/>
          <w:b w:val="0"/>
          <w:bCs w:val="0"/>
          <w:i w:val="0"/>
          <w:iCs w:val="0"/>
          <w:caps w:val="0"/>
          <w:smallCaps w:val="0"/>
          <w:strike w:val="0"/>
          <w:dstrike w:val="0"/>
          <w:noProof w:val="0"/>
          <w:color w:val="auto"/>
          <w:sz w:val="24"/>
          <w:szCs w:val="24"/>
          <w:u w:val="none"/>
          <w:lang w:val="en-US"/>
        </w:rPr>
        <w:t>reform Jewish attitudes to women</w:t>
      </w:r>
      <w:r w:rsidRPr="4D868132" w:rsidR="0CAC1443">
        <w:rPr>
          <w:rFonts w:ascii="Arial" w:hAnsi="Arial" w:eastAsia="Arial" w:cs="Arial"/>
          <w:b w:val="0"/>
          <w:bCs w:val="0"/>
          <w:i w:val="0"/>
          <w:iCs w:val="0"/>
          <w:caps w:val="0"/>
          <w:smallCaps w:val="0"/>
          <w:strike w:val="0"/>
          <w:dstrike w:val="0"/>
          <w:noProof w:val="0"/>
          <w:color w:val="auto"/>
          <w:sz w:val="24"/>
          <w:szCs w:val="24"/>
          <w:u w:val="none"/>
          <w:lang w:val="en-US"/>
        </w:rPr>
        <w:t xml:space="preserve"> by</w:t>
      </w:r>
      <w:r w:rsidRPr="4D868132" w:rsidR="501EB2E8">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D868132" w:rsidR="4CAACA32">
        <w:rPr>
          <w:rFonts w:ascii="Arial" w:hAnsi="Arial" w:eastAsia="Arial" w:cs="Arial"/>
          <w:b w:val="0"/>
          <w:bCs w:val="0"/>
          <w:i w:val="0"/>
          <w:iCs w:val="0"/>
          <w:caps w:val="0"/>
          <w:smallCaps w:val="0"/>
          <w:strike w:val="0"/>
          <w:dstrike w:val="0"/>
          <w:noProof w:val="0"/>
          <w:color w:val="auto"/>
          <w:sz w:val="24"/>
          <w:szCs w:val="24"/>
          <w:u w:val="none"/>
          <w:lang w:val="en-US"/>
        </w:rPr>
        <w:t>abrogat</w:t>
      </w:r>
      <w:r w:rsidRPr="4D868132" w:rsidR="65AA7BE8">
        <w:rPr>
          <w:rFonts w:ascii="Arial" w:hAnsi="Arial" w:eastAsia="Arial" w:cs="Arial"/>
          <w:b w:val="0"/>
          <w:bCs w:val="0"/>
          <w:i w:val="0"/>
          <w:iCs w:val="0"/>
          <w:caps w:val="0"/>
          <w:smallCaps w:val="0"/>
          <w:strike w:val="0"/>
          <w:dstrike w:val="0"/>
          <w:noProof w:val="0"/>
          <w:color w:val="auto"/>
          <w:sz w:val="24"/>
          <w:szCs w:val="24"/>
          <w:u w:val="none"/>
          <w:lang w:val="en-US"/>
        </w:rPr>
        <w:t>ing</w:t>
      </w:r>
      <w:r w:rsidRPr="4D868132" w:rsidR="4CAACA32">
        <w:rPr>
          <w:rFonts w:ascii="Arial" w:hAnsi="Arial" w:eastAsia="Arial" w:cs="Arial"/>
          <w:b w:val="0"/>
          <w:bCs w:val="0"/>
          <w:i w:val="0"/>
          <w:iCs w:val="0"/>
          <w:caps w:val="0"/>
          <w:smallCaps w:val="0"/>
          <w:strike w:val="0"/>
          <w:dstrike w:val="0"/>
          <w:noProof w:val="0"/>
          <w:color w:val="auto"/>
          <w:sz w:val="24"/>
          <w:szCs w:val="24"/>
          <w:u w:val="none"/>
          <w:lang w:val="en-US"/>
        </w:rPr>
        <w:t xml:space="preserve"> Jewish purity laws</w:t>
      </w:r>
      <w:r w:rsidRPr="4D868132" w:rsidR="7C397F3B">
        <w:rPr>
          <w:rFonts w:ascii="Arial" w:hAnsi="Arial" w:eastAsia="Arial" w:cs="Arial"/>
          <w:b w:val="0"/>
          <w:bCs w:val="0"/>
          <w:i w:val="0"/>
          <w:iCs w:val="0"/>
          <w:caps w:val="0"/>
          <w:smallCaps w:val="0"/>
          <w:strike w:val="0"/>
          <w:dstrike w:val="0"/>
          <w:noProof w:val="0"/>
          <w:color w:val="auto"/>
          <w:sz w:val="24"/>
          <w:szCs w:val="24"/>
          <w:u w:val="none"/>
          <w:lang w:val="en-US"/>
        </w:rPr>
        <w:t>.</w:t>
      </w:r>
    </w:p>
    <w:p xmlns:wp14="http://schemas.microsoft.com/office/word/2010/wordml" w:rsidP="4D868132" wp14:paraId="36AA0957" wp14:textId="26A970D2">
      <w:pPr>
        <w:pStyle w:val="Normal"/>
        <w:spacing w:before="240" w:beforeAutospacing="off" w:after="240" w:afterAutospacing="off" w:line="360" w:lineRule="auto"/>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pPr>
      <w:r w:rsidRPr="4D868132" w:rsidR="6C05004F">
        <w:rPr>
          <w:rFonts w:ascii="Arial" w:hAnsi="Arial" w:eastAsia="Arial" w:cs="Arial"/>
          <w:b w:val="0"/>
          <w:bCs w:val="0"/>
          <w:i w:val="0"/>
          <w:iCs w:val="0"/>
          <w:caps w:val="0"/>
          <w:smallCaps w:val="0"/>
          <w:strike w:val="0"/>
          <w:dstrike w:val="0"/>
          <w:noProof w:val="0"/>
          <w:color w:val="auto"/>
          <w:sz w:val="24"/>
          <w:szCs w:val="24"/>
          <w:u w:val="none"/>
          <w:lang w:val="en-US"/>
        </w:rPr>
        <w:t>Furthermore, Jacob Milgrom argues that Leviticus 15 does not suggest that the woman passes on ritual impurity by touching.</w:t>
      </w:r>
      <w:r w:rsidRPr="4D868132">
        <w:rPr>
          <w:rStyle w:val="FootnoteReference"/>
          <w:rFonts w:ascii="Arial" w:hAnsi="Arial" w:eastAsia="Arial" w:cs="Arial"/>
          <w:b w:val="0"/>
          <w:bCs w:val="0"/>
          <w:i w:val="0"/>
          <w:iCs w:val="0"/>
          <w:caps w:val="0"/>
          <w:smallCaps w:val="0"/>
          <w:strike w:val="0"/>
          <w:dstrike w:val="0"/>
          <w:noProof w:val="0"/>
          <w:color w:val="auto"/>
          <w:sz w:val="24"/>
          <w:szCs w:val="24"/>
          <w:u w:val="none"/>
          <w:lang w:val="en-US"/>
        </w:rPr>
        <w:footnoteReference w:id="11992"/>
      </w:r>
      <w:r w:rsidRPr="4D868132" w:rsidR="6C05004F">
        <w:rPr>
          <w:rFonts w:ascii="Arial" w:hAnsi="Arial" w:eastAsia="Arial" w:cs="Arial"/>
          <w:b w:val="0"/>
          <w:bCs w:val="0"/>
          <w:i w:val="0"/>
          <w:iCs w:val="0"/>
          <w:caps w:val="0"/>
          <w:smallCaps w:val="0"/>
          <w:strike w:val="0"/>
          <w:dstrike w:val="0"/>
          <w:noProof w:val="0"/>
          <w:color w:val="auto"/>
          <w:sz w:val="24"/>
          <w:szCs w:val="24"/>
          <w:u w:val="none"/>
          <w:lang w:val="en-US"/>
        </w:rPr>
        <w:t xml:space="preserve"> This challenges Selvidge’s argument that the purity laws would have marginalized the woman, as she would have been able to stay at home with her </w:t>
      </w:r>
      <w:r w:rsidRPr="4D868132" w:rsidR="0B107F64">
        <w:rPr>
          <w:rFonts w:ascii="Arial" w:hAnsi="Arial" w:eastAsia="Arial" w:cs="Arial"/>
          <w:b w:val="0"/>
          <w:bCs w:val="0"/>
          <w:i w:val="0"/>
          <w:iCs w:val="0"/>
          <w:caps w:val="0"/>
          <w:smallCaps w:val="0"/>
          <w:strike w:val="0"/>
          <w:dstrike w:val="0"/>
          <w:noProof w:val="0"/>
          <w:color w:val="auto"/>
          <w:sz w:val="24"/>
          <w:szCs w:val="24"/>
          <w:u w:val="none"/>
          <w:lang w:val="en-US"/>
        </w:rPr>
        <w:t>family and</w:t>
      </w:r>
      <w:r w:rsidRPr="4D868132" w:rsidR="6C05004F">
        <w:rPr>
          <w:rFonts w:ascii="Arial" w:hAnsi="Arial" w:eastAsia="Arial" w:cs="Arial"/>
          <w:b w:val="0"/>
          <w:bCs w:val="0"/>
          <w:i w:val="0"/>
          <w:iCs w:val="0"/>
          <w:caps w:val="0"/>
          <w:smallCaps w:val="0"/>
          <w:strike w:val="0"/>
          <w:dstrike w:val="0"/>
          <w:noProof w:val="0"/>
          <w:color w:val="auto"/>
          <w:sz w:val="24"/>
          <w:szCs w:val="24"/>
          <w:u w:val="none"/>
          <w:lang w:val="en-US"/>
        </w:rPr>
        <w:t xml:space="preserve"> would have been able to continue her activities such as cooking and housework.</w:t>
      </w:r>
      <w:r w:rsidRPr="4D868132">
        <w:rPr>
          <w:rStyle w:val="FootnoteReference"/>
          <w:rFonts w:ascii="Arial" w:hAnsi="Arial" w:eastAsia="Arial" w:cs="Arial"/>
          <w:b w:val="0"/>
          <w:bCs w:val="0"/>
          <w:i w:val="0"/>
          <w:iCs w:val="0"/>
          <w:caps w:val="0"/>
          <w:smallCaps w:val="0"/>
          <w:strike w:val="0"/>
          <w:dstrike w:val="0"/>
          <w:noProof w:val="0"/>
          <w:color w:val="auto"/>
          <w:sz w:val="24"/>
          <w:szCs w:val="24"/>
          <w:u w:val="none"/>
          <w:lang w:val="en-US"/>
        </w:rPr>
        <w:footnoteReference w:id="3211"/>
      </w:r>
      <w:r w:rsidRPr="4D868132" w:rsidR="2E8B7153">
        <w:rPr>
          <w:rFonts w:ascii="Arial" w:hAnsi="Arial" w:eastAsia="Arial" w:cs="Arial"/>
          <w:b w:val="0"/>
          <w:bCs w:val="0"/>
          <w:i w:val="0"/>
          <w:iCs w:val="0"/>
          <w:caps w:val="0"/>
          <w:smallCaps w:val="0"/>
          <w:strike w:val="0"/>
          <w:dstrike w:val="0"/>
          <w:noProof w:val="0"/>
          <w:color w:val="auto"/>
          <w:sz w:val="24"/>
          <w:szCs w:val="24"/>
          <w:u w:val="none"/>
          <w:lang w:val="en-US"/>
        </w:rPr>
        <w:t xml:space="preserve"> Similarly, Levine notes that </w:t>
      </w:r>
      <w:r w:rsidRPr="4D868132" w:rsidR="003396BD">
        <w:rPr>
          <w:rFonts w:ascii="Arial" w:hAnsi="Arial" w:eastAsia="Arial" w:cs="Arial"/>
          <w:b w:val="0"/>
          <w:bCs w:val="0"/>
          <w:i w:val="0"/>
          <w:iCs w:val="0"/>
          <w:caps w:val="0"/>
          <w:smallCaps w:val="0"/>
          <w:strike w:val="0"/>
          <w:dstrike w:val="0"/>
          <w:noProof w:val="0"/>
          <w:color w:val="auto"/>
          <w:sz w:val="24"/>
          <w:szCs w:val="24"/>
          <w:u w:val="none"/>
          <w:lang w:val="en-US"/>
        </w:rPr>
        <w:t>society did not shut down during a women’s cycle, with them being able to go to the mill or market.</w:t>
      </w:r>
      <w:r w:rsidRPr="4D868132">
        <w:rPr>
          <w:rStyle w:val="FootnoteReference"/>
          <w:rFonts w:ascii="Arial" w:hAnsi="Arial" w:eastAsia="Arial" w:cs="Arial"/>
          <w:b w:val="0"/>
          <w:bCs w:val="0"/>
          <w:i w:val="0"/>
          <w:iCs w:val="0"/>
          <w:caps w:val="0"/>
          <w:smallCaps w:val="0"/>
          <w:strike w:val="0"/>
          <w:dstrike w:val="0"/>
          <w:noProof w:val="0"/>
          <w:color w:val="auto"/>
          <w:sz w:val="24"/>
          <w:szCs w:val="24"/>
          <w:u w:val="none"/>
          <w:lang w:val="en-US"/>
        </w:rPr>
        <w:footnoteReference w:id="23573"/>
      </w:r>
      <w:r w:rsidRPr="4D868132" w:rsidR="003396BD">
        <w:rPr>
          <w:rFonts w:ascii="Arial" w:hAnsi="Arial" w:eastAsia="Arial" w:cs="Arial"/>
          <w:b w:val="0"/>
          <w:bCs w:val="0"/>
          <w:i w:val="0"/>
          <w:iCs w:val="0"/>
          <w:caps w:val="0"/>
          <w:smallCaps w:val="0"/>
          <w:strike w:val="0"/>
          <w:dstrike w:val="0"/>
          <w:noProof w:val="0"/>
          <w:color w:val="auto"/>
          <w:sz w:val="24"/>
          <w:szCs w:val="24"/>
          <w:u w:val="none"/>
          <w:lang w:val="en-US"/>
        </w:rPr>
        <w:t xml:space="preserve"> Furthermore, </w:t>
      </w:r>
      <w:r w:rsidRPr="4D868132" w:rsidR="643B81ED">
        <w:rPr>
          <w:rFonts w:ascii="Arial" w:hAnsi="Arial" w:eastAsia="Arial" w:cs="Arial"/>
          <w:b w:val="0"/>
          <w:bCs w:val="0"/>
          <w:i w:val="0"/>
          <w:iCs w:val="0"/>
          <w:caps w:val="0"/>
          <w:smallCaps w:val="0"/>
          <w:strike w:val="0"/>
          <w:dstrike w:val="0"/>
          <w:noProof w:val="0"/>
          <w:color w:val="auto"/>
          <w:sz w:val="24"/>
          <w:szCs w:val="24"/>
          <w:u w:val="none"/>
          <w:lang w:val="en-US"/>
        </w:rPr>
        <w:t xml:space="preserve">Jewish </w:t>
      </w:r>
      <w:r w:rsidRPr="4D868132" w:rsidR="2E8B7153">
        <w:rPr>
          <w:rFonts w:ascii="Arial" w:hAnsi="Arial" w:eastAsia="Arial" w:cs="Arial"/>
          <w:b w:val="0"/>
          <w:bCs w:val="0"/>
          <w:i w:val="0"/>
          <w:iCs w:val="0"/>
          <w:caps w:val="0"/>
          <w:smallCaps w:val="0"/>
          <w:strike w:val="0"/>
          <w:dstrike w:val="0"/>
          <w:noProof w:val="0"/>
          <w:color w:val="auto"/>
          <w:sz w:val="24"/>
          <w:szCs w:val="24"/>
          <w:u w:val="none"/>
          <w:lang w:val="en-US"/>
        </w:rPr>
        <w:t xml:space="preserve">purity laws </w:t>
      </w:r>
      <w:r w:rsidRPr="4D868132" w:rsidR="19CA6691">
        <w:rPr>
          <w:rFonts w:ascii="Arial" w:hAnsi="Arial" w:eastAsia="Arial" w:cs="Arial"/>
          <w:b w:val="0"/>
          <w:bCs w:val="0"/>
          <w:i w:val="0"/>
          <w:iCs w:val="0"/>
          <w:caps w:val="0"/>
          <w:smallCaps w:val="0"/>
          <w:strike w:val="0"/>
          <w:dstrike w:val="0"/>
          <w:noProof w:val="0"/>
          <w:color w:val="auto"/>
          <w:sz w:val="24"/>
          <w:szCs w:val="24"/>
          <w:u w:val="none"/>
          <w:lang w:val="en-US"/>
        </w:rPr>
        <w:t>were not</w:t>
      </w:r>
      <w:r w:rsidRPr="4D868132" w:rsidR="14A30604">
        <w:rPr>
          <w:rFonts w:ascii="Arial" w:hAnsi="Arial" w:eastAsia="Arial" w:cs="Arial"/>
          <w:b w:val="0"/>
          <w:bCs w:val="0"/>
          <w:i w:val="0"/>
          <w:iCs w:val="0"/>
          <w:caps w:val="0"/>
          <w:smallCaps w:val="0"/>
          <w:strike w:val="0"/>
          <w:dstrike w:val="0"/>
          <w:noProof w:val="0"/>
          <w:color w:val="auto"/>
          <w:sz w:val="24"/>
          <w:szCs w:val="24"/>
          <w:u w:val="none"/>
          <w:lang w:val="en-US"/>
        </w:rPr>
        <w:t xml:space="preserve"> exclusive to women, with men also </w:t>
      </w:r>
      <w:r w:rsidRPr="4D868132" w:rsidR="19FD0932">
        <w:rPr>
          <w:rFonts w:ascii="Arial" w:hAnsi="Arial" w:eastAsia="Arial" w:cs="Arial"/>
          <w:b w:val="0"/>
          <w:bCs w:val="0"/>
          <w:i w:val="0"/>
          <w:iCs w:val="0"/>
          <w:caps w:val="0"/>
          <w:smallCaps w:val="0"/>
          <w:strike w:val="0"/>
          <w:dstrike w:val="0"/>
          <w:noProof w:val="0"/>
          <w:color w:val="auto"/>
          <w:sz w:val="24"/>
          <w:szCs w:val="24"/>
          <w:u w:val="none"/>
          <w:lang w:val="en-US"/>
        </w:rPr>
        <w:t>given the responsibility.</w:t>
      </w:r>
      <w:r w:rsidRPr="4D868132">
        <w:rPr>
          <w:rStyle w:val="FootnoteReference"/>
          <w:rFonts w:ascii="Arial" w:hAnsi="Arial" w:eastAsia="Arial" w:cs="Arial"/>
          <w:b w:val="0"/>
          <w:bCs w:val="0"/>
          <w:i w:val="0"/>
          <w:iCs w:val="0"/>
          <w:caps w:val="0"/>
          <w:smallCaps w:val="0"/>
          <w:strike w:val="0"/>
          <w:dstrike w:val="0"/>
          <w:noProof w:val="0"/>
          <w:color w:val="auto"/>
          <w:sz w:val="24"/>
          <w:szCs w:val="24"/>
          <w:u w:val="none"/>
          <w:lang w:val="en-US"/>
        </w:rPr>
        <w:footnoteReference w:id="22393"/>
      </w:r>
      <w:r w:rsidRPr="4D868132" w:rsidR="19FD0932">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D868132" w:rsidR="62D0A550">
        <w:rPr>
          <w:rFonts w:ascii="Arial" w:hAnsi="Arial" w:eastAsia="Arial" w:cs="Arial"/>
          <w:b w:val="0"/>
          <w:bCs w:val="0"/>
          <w:i w:val="0"/>
          <w:iCs w:val="0"/>
          <w:caps w:val="0"/>
          <w:smallCaps w:val="0"/>
          <w:strike w:val="0"/>
          <w:dstrike w:val="0"/>
          <w:noProof w:val="0"/>
          <w:color w:val="auto"/>
          <w:sz w:val="24"/>
          <w:szCs w:val="24"/>
          <w:u w:val="none"/>
          <w:lang w:val="en-US"/>
        </w:rPr>
        <w:t>This suggests that Jewish purity laws were not</w:t>
      </w:r>
      <w:r w:rsidRPr="4D868132" w:rsidR="0933BC48">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D868132" w:rsidR="4128C117">
        <w:rPr>
          <w:rFonts w:ascii="Arial" w:hAnsi="Arial" w:eastAsia="Arial" w:cs="Arial"/>
          <w:b w:val="0"/>
          <w:bCs w:val="0"/>
          <w:i w:val="0"/>
          <w:iCs w:val="0"/>
          <w:caps w:val="0"/>
          <w:smallCaps w:val="0"/>
          <w:strike w:val="0"/>
          <w:dstrike w:val="0"/>
          <w:noProof w:val="0"/>
          <w:color w:val="auto"/>
          <w:sz w:val="24"/>
          <w:szCs w:val="24"/>
          <w:u w:val="none"/>
          <w:lang w:val="en-US"/>
        </w:rPr>
        <w:t xml:space="preserve">overtly </w:t>
      </w:r>
      <w:r w:rsidRPr="4D868132" w:rsidR="0933BC48">
        <w:rPr>
          <w:rFonts w:ascii="Arial" w:hAnsi="Arial" w:eastAsia="Arial" w:cs="Arial"/>
          <w:b w:val="0"/>
          <w:bCs w:val="0"/>
          <w:i w:val="0"/>
          <w:iCs w:val="0"/>
          <w:caps w:val="0"/>
          <w:smallCaps w:val="0"/>
          <w:strike w:val="0"/>
          <w:dstrike w:val="0"/>
          <w:noProof w:val="0"/>
          <w:color w:val="auto"/>
          <w:sz w:val="24"/>
          <w:szCs w:val="24"/>
          <w:u w:val="none"/>
          <w:lang w:val="en-US"/>
        </w:rPr>
        <w:t xml:space="preserve">oppressive to women. </w:t>
      </w:r>
      <w:r w:rsidRPr="4D868132" w:rsidR="4AB27680">
        <w:rPr>
          <w:rFonts w:ascii="Arial" w:hAnsi="Arial" w:eastAsia="Arial" w:cs="Arial"/>
          <w:b w:val="0"/>
          <w:bCs w:val="0"/>
          <w:i w:val="0"/>
          <w:iCs w:val="0"/>
          <w:caps w:val="0"/>
          <w:smallCaps w:val="0"/>
          <w:strike w:val="0"/>
          <w:dstrike w:val="0"/>
          <w:noProof w:val="0"/>
          <w:color w:val="auto"/>
          <w:sz w:val="24"/>
          <w:szCs w:val="24"/>
          <w:u w:val="none"/>
          <w:lang w:val="en-US"/>
        </w:rPr>
        <w:t xml:space="preserve">To </w:t>
      </w:r>
      <w:r w:rsidRPr="4D868132" w:rsidR="23D9B7E2">
        <w:rPr>
          <w:rFonts w:ascii="Arial" w:hAnsi="Arial" w:eastAsia="Arial" w:cs="Arial"/>
          <w:b w:val="0"/>
          <w:bCs w:val="0"/>
          <w:i w:val="0"/>
          <w:iCs w:val="0"/>
          <w:caps w:val="0"/>
          <w:smallCaps w:val="0"/>
          <w:strike w:val="0"/>
          <w:dstrike w:val="0"/>
          <w:noProof w:val="0"/>
          <w:color w:val="auto"/>
          <w:sz w:val="24"/>
          <w:szCs w:val="24"/>
          <w:u w:val="none"/>
          <w:lang w:val="en-US"/>
        </w:rPr>
        <w:t>conclude,</w:t>
      </w:r>
      <w:r w:rsidRPr="4D868132" w:rsidR="109B4176">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D868132" w:rsidR="26B232F7">
        <w:rPr>
          <w:rFonts w:ascii="Arial" w:hAnsi="Arial" w:eastAsia="Arial" w:cs="Arial"/>
          <w:b w:val="0"/>
          <w:bCs w:val="0"/>
          <w:i w:val="0"/>
          <w:iCs w:val="0"/>
          <w:caps w:val="0"/>
          <w:smallCaps w:val="0"/>
          <w:strike w:val="0"/>
          <w:dstrike w:val="0"/>
          <w:noProof w:val="0"/>
          <w:color w:val="auto"/>
          <w:sz w:val="24"/>
          <w:szCs w:val="24"/>
          <w:u w:val="none"/>
          <w:lang w:val="en-US"/>
        </w:rPr>
        <w:t>Jesus did not reform Jewish attitudes to women as he did not abrogate the Jewish purity laws</w:t>
      </w:r>
      <w:r w:rsidRPr="4D868132" w:rsidR="48215354">
        <w:rPr>
          <w:rFonts w:ascii="Arial" w:hAnsi="Arial" w:eastAsia="Arial" w:cs="Arial"/>
          <w:b w:val="0"/>
          <w:bCs w:val="0"/>
          <w:i w:val="0"/>
          <w:iCs w:val="0"/>
          <w:caps w:val="0"/>
          <w:smallCaps w:val="0"/>
          <w:strike w:val="0"/>
          <w:dstrike w:val="0"/>
          <w:noProof w:val="0"/>
          <w:color w:val="auto"/>
          <w:sz w:val="24"/>
          <w:szCs w:val="24"/>
          <w:u w:val="none"/>
          <w:lang w:val="en-US"/>
        </w:rPr>
        <w:t xml:space="preserve"> on the account that </w:t>
      </w:r>
      <w:r w:rsidRPr="4D868132" w:rsidR="109B4176">
        <w:rPr>
          <w:rFonts w:ascii="Arial" w:hAnsi="Arial" w:eastAsia="Arial" w:cs="Arial"/>
          <w:b w:val="0"/>
          <w:bCs w:val="0"/>
          <w:i w:val="0"/>
          <w:iCs w:val="0"/>
          <w:caps w:val="0"/>
          <w:smallCaps w:val="0"/>
          <w:strike w:val="0"/>
          <w:dstrike w:val="0"/>
          <w:noProof w:val="0"/>
          <w:color w:val="auto"/>
          <w:sz w:val="24"/>
          <w:szCs w:val="24"/>
          <w:u w:val="none"/>
          <w:lang w:val="en-US"/>
        </w:rPr>
        <w:t>Jewish purity legislation was androcentric</w:t>
      </w:r>
      <w:r w:rsidRPr="4D868132" w:rsidR="31EF87FA">
        <w:rPr>
          <w:rFonts w:ascii="Arial" w:hAnsi="Arial" w:eastAsia="Arial" w:cs="Arial"/>
          <w:b w:val="0"/>
          <w:bCs w:val="0"/>
          <w:i w:val="0"/>
          <w:iCs w:val="0"/>
          <w:caps w:val="0"/>
          <w:smallCaps w:val="0"/>
          <w:strike w:val="0"/>
          <w:dstrike w:val="0"/>
          <w:noProof w:val="0"/>
          <w:color w:val="auto"/>
          <w:sz w:val="24"/>
          <w:szCs w:val="24"/>
          <w:u w:val="none"/>
          <w:lang w:val="en-US"/>
        </w:rPr>
        <w:t xml:space="preserve">. </w:t>
      </w:r>
      <w:r w:rsidRPr="4D868132" w:rsidR="67EF78D3">
        <w:rPr>
          <w:rFonts w:ascii="Arial" w:hAnsi="Arial" w:eastAsia="Arial" w:cs="Arial"/>
          <w:b w:val="0"/>
          <w:bCs w:val="0"/>
          <w:i w:val="0"/>
          <w:iCs w:val="0"/>
          <w:caps w:val="0"/>
          <w:smallCaps w:val="0"/>
          <w:strike w:val="0"/>
          <w:dstrike w:val="0"/>
          <w:noProof w:val="0"/>
          <w:color w:val="auto"/>
          <w:sz w:val="24"/>
          <w:szCs w:val="24"/>
          <w:u w:val="none"/>
          <w:lang w:val="en-US"/>
        </w:rPr>
        <w:t xml:space="preserve">The next point will examine Jesus’ attitude to women in his parables. </w:t>
      </w:r>
    </w:p>
    <w:p xmlns:wp14="http://schemas.microsoft.com/office/word/2010/wordml" w:rsidP="49AD98FF" wp14:paraId="33AC4C90" wp14:textId="3DE5C812">
      <w:pPr>
        <w:pStyle w:val="Normal"/>
        <w:spacing w:after="160" w:line="360" w:lineRule="auto"/>
        <w:rPr>
          <w:rFonts w:ascii="Arial" w:hAnsi="Arial" w:eastAsia="Arial" w:cs="Arial"/>
          <w:noProof w:val="0"/>
          <w:color w:val="auto"/>
          <w:sz w:val="24"/>
          <w:szCs w:val="24"/>
          <w:lang w:val="en-US"/>
        </w:rPr>
      </w:pP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Jesus’ teaching reinforces stereotypical gender roles. In Jesus’ parables, women play </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a central role</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 in a minority.</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30110"/>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 These include: The parable of the Leaven (Mt 13: 3, Lk 13:20-21, </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GTh</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 96), the Lost Coin (Lk 15:8-9), the Unjust Judge (Lk 18:2-8), the wise and foolish virgins (Mt 25:1-13), and the Empty Jar (</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GTh</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 97). The parables reinforce gender roles, with women kneading bread, carrying </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jars</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 and grinding </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meal.</w:t>
      </w:r>
      <w:r w:rsidRPr="4D868132">
        <w:rPr>
          <w:rStyle w:val="FootnoteReference"/>
          <w:rFonts w:ascii="Arial" w:hAnsi="Arial" w:eastAsia="Arial" w:cs="Arial"/>
          <w:b w:val="0"/>
          <w:bCs w:val="0"/>
          <w:i w:val="0"/>
          <w:iCs w:val="0"/>
          <w:caps w:val="0"/>
          <w:smallCaps w:val="0"/>
          <w:noProof w:val="0"/>
          <w:color w:val="auto"/>
          <w:sz w:val="24"/>
          <w:szCs w:val="24"/>
          <w:lang w:val="en-US"/>
        </w:rPr>
        <w:footnoteReference w:id="14994"/>
      </w:r>
      <w:r w:rsidRPr="4D868132" w:rsidR="0842104B">
        <w:rPr>
          <w:rFonts w:ascii="Arial" w:hAnsi="Arial" w:eastAsia="Arial" w:cs="Arial"/>
          <w:b w:val="0"/>
          <w:bCs w:val="0"/>
          <w:i w:val="0"/>
          <w:iCs w:val="0"/>
          <w:caps w:val="0"/>
          <w:smallCaps w:val="0"/>
          <w:noProof w:val="0"/>
          <w:color w:val="auto" w:themeColor="text1" w:themeTint="FF" w:themeShade="FF"/>
          <w:sz w:val="24"/>
          <w:szCs w:val="24"/>
          <w:lang w:val="en-US"/>
        </w:rPr>
        <w:t xml:space="preserve"> </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 Kathleen Corely argues this is emphasized with the women being juxtaposed with the roles of </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men.</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14401"/>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 These include planting seeds and shepherding sheep</w:t>
      </w:r>
      <w:r w:rsidRPr="4D868132" w:rsidR="1AC0FC8A">
        <w:rPr>
          <w:rFonts w:ascii="Arial" w:hAnsi="Arial" w:eastAsia="Arial" w:cs="Arial"/>
          <w:b w:val="0"/>
          <w:bCs w:val="0"/>
          <w:i w:val="0"/>
          <w:iCs w:val="0"/>
          <w:caps w:val="0"/>
          <w:smallCaps w:val="0"/>
          <w:noProof w:val="0"/>
          <w:color w:val="auto" w:themeColor="text1" w:themeTint="FF" w:themeShade="FF"/>
          <w:sz w:val="24"/>
          <w:szCs w:val="24"/>
          <w:lang w:val="en-US"/>
        </w:rPr>
        <w:t xml:space="preserve">. </w:t>
      </w:r>
      <w:r w:rsidRPr="49AD98FF" w:rsidR="1AC0FC8A">
        <w:rPr>
          <w:rFonts w:ascii="Arial" w:hAnsi="Arial" w:eastAsia="Arial" w:cs="Arial"/>
          <w:noProof w:val="0"/>
          <w:color w:val="auto"/>
          <w:sz w:val="24"/>
          <w:szCs w:val="24"/>
          <w:lang w:val="en-US"/>
        </w:rPr>
        <w:t xml:space="preserve"> </w:t>
      </w:r>
      <w:r w:rsidRPr="49AD98FF" w:rsidR="4233E61F">
        <w:rPr>
          <w:rFonts w:ascii="Arial" w:hAnsi="Arial" w:eastAsia="Arial" w:cs="Arial"/>
          <w:noProof w:val="0"/>
          <w:color w:val="auto"/>
          <w:sz w:val="24"/>
          <w:szCs w:val="24"/>
          <w:lang w:val="en-US"/>
        </w:rPr>
        <w:t xml:space="preserve"> </w:t>
      </w:r>
    </w:p>
    <w:p xmlns:wp14="http://schemas.microsoft.com/office/word/2010/wordml" w:rsidP="49AD98FF" wp14:paraId="24E1164E" wp14:textId="74D7D00E">
      <w:pPr>
        <w:pStyle w:val="Normal"/>
        <w:spacing w:after="160" w:line="360" w:lineRule="auto"/>
        <w:rPr>
          <w:rFonts w:ascii="Arial" w:hAnsi="Arial" w:eastAsia="Arial" w:cs="Arial"/>
          <w:noProof w:val="0"/>
          <w:color w:val="auto"/>
          <w:sz w:val="24"/>
          <w:szCs w:val="24"/>
          <w:lang w:val="en-US"/>
        </w:rPr>
      </w:pP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However, Witherington argues that some of Jesus’ parables reverse expectations. For instance, in the parable of the Leaven and the Dough (Mt 13:33; Lk 13:20-21), Witherington argues that due to the large amount of meal, it is possible that the dough was for a special occasion.</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12023"/>
      </w: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 xml:space="preserve"> Witherington argues that Jesus </w:t>
      </w: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possibly challenges</w:t>
      </w: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 xml:space="preserve"> gender roles, as it would have been the priest who would have baked the bread. Some commentators argue that Jesus values the domestic woman, by comparing the woman’s work to the activity of God</w:t>
      </w: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 xml:space="preserve">.  </w:t>
      </w: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 xml:space="preserve">However, Corley argues that Jesus’ aim of the parables is not focused on the woman. She argues that the activity of God is compared to the leavening of the dough, not the women’s </w:t>
      </w: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work.</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21768"/>
      </w:r>
      <w:r w:rsidRPr="4D868132" w:rsidR="282B60B3">
        <w:rPr>
          <w:rFonts w:ascii="Arial" w:hAnsi="Arial" w:eastAsia="Arial" w:cs="Arial"/>
          <w:b w:val="0"/>
          <w:bCs w:val="0"/>
          <w:i w:val="0"/>
          <w:iCs w:val="0"/>
          <w:caps w:val="0"/>
          <w:smallCaps w:val="0"/>
          <w:noProof w:val="0"/>
          <w:color w:val="auto" w:themeColor="text1" w:themeTint="FF" w:themeShade="FF"/>
          <w:sz w:val="24"/>
          <w:szCs w:val="24"/>
          <w:lang w:val="en-US"/>
        </w:rPr>
        <w:t xml:space="preserve"> Interestingly, </w:t>
      </w: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 xml:space="preserve">Corley notes that leaven was seen as a symbol of corruption (Ex 12:15). Corley argues that Jesus instead reverses expectation by suggesting that God’s activity will </w:t>
      </w:r>
      <w:r w:rsidRPr="4D868132" w:rsidR="74D31936">
        <w:rPr>
          <w:rFonts w:ascii="Arial" w:hAnsi="Arial" w:eastAsia="Arial" w:cs="Arial"/>
          <w:b w:val="0"/>
          <w:bCs w:val="0"/>
          <w:i w:val="0"/>
          <w:iCs w:val="0"/>
          <w:caps w:val="0"/>
          <w:smallCaps w:val="0"/>
          <w:noProof w:val="0"/>
          <w:color w:val="auto" w:themeColor="text1" w:themeTint="FF" w:themeShade="FF"/>
          <w:sz w:val="24"/>
          <w:szCs w:val="24"/>
          <w:lang w:val="en-US"/>
        </w:rPr>
        <w:t xml:space="preserve">reverse expectations as </w:t>
      </w:r>
      <w:r w:rsidRPr="4D868132" w:rsidR="72D35DC2">
        <w:rPr>
          <w:rFonts w:ascii="Arial" w:hAnsi="Arial" w:eastAsia="Arial" w:cs="Arial"/>
          <w:b w:val="0"/>
          <w:bCs w:val="0"/>
          <w:i w:val="0"/>
          <w:iCs w:val="0"/>
          <w:caps w:val="0"/>
          <w:smallCaps w:val="0"/>
          <w:noProof w:val="0"/>
          <w:color w:val="auto" w:themeColor="text1" w:themeTint="FF" w:themeShade="FF"/>
          <w:sz w:val="24"/>
          <w:szCs w:val="24"/>
          <w:lang w:val="en-US"/>
        </w:rPr>
        <w:t>God</w:t>
      </w:r>
      <w:r w:rsidRPr="4D868132" w:rsidR="74D31936">
        <w:rPr>
          <w:rFonts w:ascii="Arial" w:hAnsi="Arial" w:eastAsia="Arial" w:cs="Arial"/>
          <w:b w:val="0"/>
          <w:bCs w:val="0"/>
          <w:i w:val="0"/>
          <w:iCs w:val="0"/>
          <w:caps w:val="0"/>
          <w:smallCaps w:val="0"/>
          <w:noProof w:val="0"/>
          <w:color w:val="auto" w:themeColor="text1" w:themeTint="FF" w:themeShade="FF"/>
          <w:sz w:val="24"/>
          <w:szCs w:val="24"/>
          <w:lang w:val="en-US"/>
        </w:rPr>
        <w:t xml:space="preserve"> will </w:t>
      </w:r>
      <w:r w:rsidRPr="4D868132" w:rsidR="43CADCC6">
        <w:rPr>
          <w:rFonts w:ascii="Arial" w:hAnsi="Arial" w:eastAsia="Arial" w:cs="Arial"/>
          <w:b w:val="0"/>
          <w:bCs w:val="0"/>
          <w:i w:val="0"/>
          <w:iCs w:val="0"/>
          <w:caps w:val="0"/>
          <w:smallCaps w:val="0"/>
          <w:noProof w:val="0"/>
          <w:color w:val="auto" w:themeColor="text1" w:themeTint="FF" w:themeShade="FF"/>
          <w:sz w:val="24"/>
          <w:szCs w:val="24"/>
          <w:lang w:val="en-US"/>
        </w:rPr>
        <w:t>include the</w:t>
      </w:r>
      <w:r w:rsidRPr="4D868132" w:rsidR="565DEA6E">
        <w:rPr>
          <w:rFonts w:ascii="Arial" w:hAnsi="Arial" w:eastAsia="Arial" w:cs="Arial"/>
          <w:b w:val="0"/>
          <w:bCs w:val="0"/>
          <w:i w:val="0"/>
          <w:iCs w:val="0"/>
          <w:caps w:val="0"/>
          <w:smallCaps w:val="0"/>
          <w:noProof w:val="0"/>
          <w:color w:val="auto" w:themeColor="text1" w:themeTint="FF" w:themeShade="FF"/>
          <w:sz w:val="24"/>
          <w:szCs w:val="24"/>
          <w:lang w:val="en-US"/>
        </w:rPr>
        <w:t xml:space="preserve"> lower class and outcasts</w:t>
      </w:r>
      <w:r w:rsidRPr="4D868132" w:rsidR="7002BDA3">
        <w:rPr>
          <w:rFonts w:ascii="Arial" w:hAnsi="Arial" w:eastAsia="Arial" w:cs="Arial"/>
          <w:b w:val="0"/>
          <w:bCs w:val="0"/>
          <w:i w:val="0"/>
          <w:iCs w:val="0"/>
          <w:caps w:val="0"/>
          <w:smallCaps w:val="0"/>
          <w:noProof w:val="0"/>
          <w:color w:val="auto" w:themeColor="text1" w:themeTint="FF" w:themeShade="FF"/>
          <w:sz w:val="24"/>
          <w:szCs w:val="24"/>
          <w:lang w:val="en-US"/>
        </w:rPr>
        <w:t xml:space="preserve"> in the Kingdom of </w:t>
      </w:r>
      <w:r w:rsidRPr="4D868132" w:rsidR="7002BDA3">
        <w:rPr>
          <w:rFonts w:ascii="Arial" w:hAnsi="Arial" w:eastAsia="Arial" w:cs="Arial"/>
          <w:b w:val="0"/>
          <w:bCs w:val="0"/>
          <w:i w:val="0"/>
          <w:iCs w:val="0"/>
          <w:caps w:val="0"/>
          <w:smallCaps w:val="0"/>
          <w:noProof w:val="0"/>
          <w:color w:val="auto" w:themeColor="text1" w:themeTint="FF" w:themeShade="FF"/>
          <w:sz w:val="24"/>
          <w:szCs w:val="24"/>
          <w:lang w:val="en-US"/>
        </w:rPr>
        <w:t xml:space="preserve">God.</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5667"/>
      </w:r>
      <w:r w:rsidRPr="4D868132" w:rsidR="35A0A0C1">
        <w:rPr>
          <w:rFonts w:ascii="Arial" w:hAnsi="Arial" w:eastAsia="Arial" w:cs="Arial"/>
          <w:b w:val="0"/>
          <w:bCs w:val="0"/>
          <w:i w:val="0"/>
          <w:iCs w:val="0"/>
          <w:caps w:val="0"/>
          <w:smallCaps w:val="0"/>
          <w:noProof w:val="0"/>
          <w:color w:val="auto" w:themeColor="text1" w:themeTint="FF" w:themeShade="FF"/>
          <w:sz w:val="24"/>
          <w:szCs w:val="24"/>
          <w:lang w:val="en-US"/>
        </w:rPr>
        <w:t xml:space="preserve"> </w:t>
      </w:r>
      <w:r w:rsidRPr="4D868132" w:rsidR="7002BDA3">
        <w:rPr>
          <w:rFonts w:ascii="Arial" w:hAnsi="Arial" w:eastAsia="Arial" w:cs="Arial"/>
          <w:b w:val="0"/>
          <w:bCs w:val="0"/>
          <w:i w:val="0"/>
          <w:iCs w:val="0"/>
          <w:caps w:val="0"/>
          <w:smallCaps w:val="0"/>
          <w:noProof w:val="0"/>
          <w:color w:val="auto" w:themeColor="text1" w:themeTint="FF" w:themeShade="FF"/>
          <w:sz w:val="24"/>
          <w:szCs w:val="24"/>
          <w:lang w:val="en-US"/>
        </w:rPr>
        <w:t xml:space="preserve"> </w:t>
      </w:r>
    </w:p>
    <w:p xmlns:wp14="http://schemas.microsoft.com/office/word/2010/wordml" w:rsidP="49AD98FF" wp14:paraId="32BE00E1" wp14:textId="5B88604E">
      <w:pPr>
        <w:pStyle w:val="Normal"/>
        <w:spacing w:after="160" w:line="360" w:lineRule="auto"/>
        <w:rPr>
          <w:rFonts w:ascii="Arial" w:hAnsi="Arial" w:eastAsia="Arial" w:cs="Arial"/>
          <w:noProof w:val="0"/>
          <w:color w:val="auto"/>
          <w:sz w:val="24"/>
          <w:szCs w:val="24"/>
          <w:lang w:val="en-US"/>
        </w:rPr>
      </w:pPr>
      <w:r w:rsidRPr="49AD98FF" w:rsidR="7002BDA3">
        <w:rPr>
          <w:rFonts w:ascii="Arial" w:hAnsi="Arial" w:eastAsia="Arial" w:cs="Arial"/>
          <w:noProof w:val="0"/>
          <w:color w:val="auto"/>
          <w:sz w:val="24"/>
          <w:szCs w:val="24"/>
          <w:lang w:val="en-US"/>
        </w:rPr>
        <w:t xml:space="preserve">However, the parable of the feast (Mt 22:2-13, Lk </w:t>
      </w:r>
      <w:r w:rsidRPr="49AD98FF" w:rsidR="1FDEA913">
        <w:rPr>
          <w:rFonts w:ascii="Arial" w:hAnsi="Arial" w:eastAsia="Arial" w:cs="Arial"/>
          <w:noProof w:val="0"/>
          <w:color w:val="auto"/>
          <w:sz w:val="24"/>
          <w:szCs w:val="24"/>
          <w:lang w:val="en-US"/>
        </w:rPr>
        <w:t xml:space="preserve">14:16-23) is attested as showing an inclusive attitude towards women. </w:t>
      </w:r>
      <w:r w:rsidRPr="49AD98FF" w:rsidR="26318B7B">
        <w:rPr>
          <w:rFonts w:ascii="Arial" w:hAnsi="Arial" w:eastAsia="Arial" w:cs="Arial"/>
          <w:noProof w:val="0"/>
          <w:color w:val="auto"/>
          <w:sz w:val="24"/>
          <w:szCs w:val="24"/>
          <w:lang w:val="en-US"/>
        </w:rPr>
        <w:t xml:space="preserve">It </w:t>
      </w:r>
      <w:r w:rsidRPr="49AD98FF" w:rsidR="26318B7B">
        <w:rPr>
          <w:rFonts w:ascii="Arial" w:hAnsi="Arial" w:eastAsia="Arial" w:cs="Arial"/>
          <w:noProof w:val="0"/>
          <w:color w:val="auto"/>
          <w:sz w:val="24"/>
          <w:szCs w:val="24"/>
          <w:lang w:val="en-US"/>
        </w:rPr>
        <w:t>states</w:t>
      </w:r>
      <w:r w:rsidRPr="49AD98FF" w:rsidR="26318B7B">
        <w:rPr>
          <w:rFonts w:ascii="Arial" w:hAnsi="Arial" w:eastAsia="Arial" w:cs="Arial"/>
          <w:noProof w:val="0"/>
          <w:color w:val="auto"/>
          <w:sz w:val="24"/>
          <w:szCs w:val="24"/>
          <w:lang w:val="en-US"/>
        </w:rPr>
        <w:t xml:space="preserve"> that ‘tax collectors and sinners</w:t>
      </w:r>
      <w:r w:rsidRPr="49AD98FF" w:rsidR="26318B7B">
        <w:rPr>
          <w:rFonts w:ascii="Arial" w:hAnsi="Arial" w:eastAsia="Arial" w:cs="Arial"/>
          <w:noProof w:val="0"/>
          <w:color w:val="auto"/>
          <w:sz w:val="24"/>
          <w:szCs w:val="24"/>
          <w:lang w:val="en-US"/>
        </w:rPr>
        <w:t xml:space="preserve">’ </w:t>
      </w:r>
      <w:r w:rsidRPr="49AD98FF" w:rsidR="023ED058">
        <w:rPr>
          <w:rFonts w:ascii="Arial" w:hAnsi="Arial" w:eastAsia="Arial" w:cs="Arial"/>
          <w:noProof w:val="0"/>
          <w:color w:val="auto"/>
          <w:sz w:val="24"/>
          <w:szCs w:val="24"/>
          <w:lang w:val="en-US"/>
        </w:rPr>
        <w:t>(</w:t>
      </w:r>
      <w:r w:rsidRPr="4D868132" w:rsidR="023ED058">
        <w:rPr>
          <w:rFonts w:ascii="Arial" w:hAnsi="Arial" w:eastAsia="Arial" w:cs="Arial"/>
          <w:b w:val="0"/>
          <w:bCs w:val="0"/>
          <w:i w:val="0"/>
          <w:iCs w:val="0"/>
          <w:caps w:val="0"/>
          <w:smallCaps w:val="0"/>
          <w:noProof w:val="0"/>
          <w:color w:val="auto"/>
          <w:sz w:val="24"/>
          <w:szCs w:val="24"/>
          <w:lang w:val="en-US"/>
        </w:rPr>
        <w:t>Mt 9:10-17, Mk 2:15-22, Lk 5:29-39)</w:t>
      </w:r>
      <w:r w:rsidRPr="49AD98FF" w:rsidR="023ED058">
        <w:rPr>
          <w:rFonts w:ascii="Arial" w:hAnsi="Arial" w:eastAsia="Arial" w:cs="Arial"/>
          <w:noProof w:val="0"/>
          <w:color w:val="auto"/>
          <w:sz w:val="24"/>
          <w:szCs w:val="24"/>
          <w:lang w:val="en-US"/>
        </w:rPr>
        <w:t xml:space="preserve"> </w:t>
      </w:r>
      <w:r w:rsidRPr="49AD98FF" w:rsidR="26318B7B">
        <w:rPr>
          <w:rFonts w:ascii="Arial" w:hAnsi="Arial" w:eastAsia="Arial" w:cs="Arial"/>
          <w:noProof w:val="0"/>
          <w:color w:val="auto"/>
          <w:sz w:val="24"/>
          <w:szCs w:val="24"/>
          <w:lang w:val="en-US"/>
        </w:rPr>
        <w:t xml:space="preserve">were welcomed </w:t>
      </w:r>
      <w:r w:rsidRPr="49AD98FF" w:rsidR="6681747E">
        <w:rPr>
          <w:rFonts w:ascii="Arial" w:hAnsi="Arial" w:eastAsia="Arial" w:cs="Arial"/>
          <w:noProof w:val="0"/>
          <w:color w:val="auto"/>
          <w:sz w:val="24"/>
          <w:szCs w:val="24"/>
          <w:lang w:val="en-US"/>
        </w:rPr>
        <w:t>to the banquet</w:t>
      </w:r>
      <w:r w:rsidRPr="49AD98FF" w:rsidR="6681747E">
        <w:rPr>
          <w:rFonts w:ascii="Arial" w:hAnsi="Arial" w:eastAsia="Arial" w:cs="Arial"/>
          <w:noProof w:val="0"/>
          <w:color w:val="auto"/>
          <w:sz w:val="24"/>
          <w:szCs w:val="24"/>
          <w:lang w:val="en-US"/>
        </w:rPr>
        <w:t xml:space="preserve">, being allegorical for how the Kingdom of God will except all people from society. </w:t>
      </w:r>
      <w:r w:rsidRPr="49AD98FF" w:rsidR="116A5D0F">
        <w:rPr>
          <w:rFonts w:ascii="Arial" w:hAnsi="Arial" w:eastAsia="Arial" w:cs="Arial"/>
          <w:noProof w:val="0"/>
          <w:color w:val="auto"/>
          <w:sz w:val="24"/>
          <w:szCs w:val="24"/>
          <w:lang w:val="en-US"/>
        </w:rPr>
        <w:t>argues</w:t>
      </w:r>
      <w:r w:rsidRPr="49AD98FF" w:rsidR="4DFC951C">
        <w:rPr>
          <w:rFonts w:ascii="Arial" w:hAnsi="Arial" w:eastAsia="Arial" w:cs="Arial"/>
          <w:noProof w:val="0"/>
          <w:color w:val="auto"/>
          <w:sz w:val="24"/>
          <w:szCs w:val="24"/>
          <w:lang w:val="en-US"/>
        </w:rPr>
        <w:t xml:space="preserve"> that this shows Jesus’ egalitarian attitude towards men and women.</w:t>
      </w:r>
      <w:r w:rsidRPr="49AD98FF">
        <w:rPr>
          <w:rStyle w:val="FootnoteReference"/>
          <w:rFonts w:ascii="Arial" w:hAnsi="Arial" w:eastAsia="Arial" w:cs="Arial"/>
          <w:noProof w:val="0"/>
          <w:color w:val="auto"/>
          <w:sz w:val="24"/>
          <w:szCs w:val="24"/>
          <w:lang w:val="en-US"/>
        </w:rPr>
        <w:footnoteReference w:id="9174"/>
      </w:r>
      <w:r w:rsidRPr="49AD98FF" w:rsidR="2E5B5871">
        <w:rPr>
          <w:rFonts w:ascii="Arial" w:hAnsi="Arial" w:eastAsia="Arial" w:cs="Arial"/>
          <w:noProof w:val="0"/>
          <w:color w:val="auto"/>
          <w:sz w:val="24"/>
          <w:szCs w:val="24"/>
          <w:lang w:val="en-US"/>
        </w:rPr>
        <w:t xml:space="preserve"> However, it is </w:t>
      </w:r>
      <w:r w:rsidRPr="49AD98FF" w:rsidR="2E5B5871">
        <w:rPr>
          <w:rFonts w:ascii="Arial" w:hAnsi="Arial" w:eastAsia="Arial" w:cs="Arial"/>
          <w:noProof w:val="0"/>
          <w:color w:val="auto"/>
          <w:sz w:val="24"/>
          <w:szCs w:val="24"/>
          <w:lang w:val="en-US"/>
        </w:rPr>
        <w:t xml:space="preserve">perhaps anachronistic</w:t>
      </w:r>
      <w:r w:rsidRPr="49AD98FF" w:rsidR="2E5B5871">
        <w:rPr>
          <w:rFonts w:ascii="Arial" w:hAnsi="Arial" w:eastAsia="Arial" w:cs="Arial"/>
          <w:noProof w:val="0"/>
          <w:color w:val="auto"/>
          <w:sz w:val="24"/>
          <w:szCs w:val="24"/>
          <w:lang w:val="en-US"/>
        </w:rPr>
        <w:t xml:space="preserve"> to suggest that Jesus tried to reform ge</w:t>
      </w:r>
      <w:r w:rsidRPr="49AD98FF" w:rsidR="546E4856">
        <w:rPr>
          <w:rFonts w:ascii="Arial" w:hAnsi="Arial" w:eastAsia="Arial" w:cs="Arial"/>
          <w:noProof w:val="0"/>
          <w:color w:val="auto"/>
          <w:sz w:val="24"/>
          <w:szCs w:val="24"/>
          <w:lang w:val="en-US"/>
        </w:rPr>
        <w:t xml:space="preserve">nder </w:t>
      </w:r>
      <w:r w:rsidRPr="49AD98FF" w:rsidR="546E4856">
        <w:rPr>
          <w:rFonts w:ascii="Arial" w:hAnsi="Arial" w:eastAsia="Arial" w:cs="Arial"/>
          <w:noProof w:val="0"/>
          <w:color w:val="auto"/>
          <w:sz w:val="24"/>
          <w:szCs w:val="24"/>
          <w:lang w:val="en-US"/>
        </w:rPr>
        <w:t xml:space="preserve">issues.</w:t>
      </w:r>
      <w:r w:rsidRPr="49AD98FF">
        <w:rPr>
          <w:rStyle w:val="FootnoteReference"/>
          <w:rFonts w:ascii="Arial" w:hAnsi="Arial" w:eastAsia="Arial" w:cs="Arial"/>
          <w:noProof w:val="0"/>
          <w:color w:val="auto"/>
          <w:sz w:val="24"/>
          <w:szCs w:val="24"/>
          <w:lang w:val="en-US"/>
        </w:rPr>
        <w:footnoteReference w:id="24442"/>
      </w:r>
      <w:r w:rsidRPr="49AD98FF" w:rsidR="2F5CA087">
        <w:rPr>
          <w:rFonts w:ascii="Arial" w:hAnsi="Arial" w:eastAsia="Arial" w:cs="Arial"/>
          <w:noProof w:val="0"/>
          <w:color w:val="auto"/>
          <w:sz w:val="24"/>
          <w:szCs w:val="24"/>
          <w:lang w:val="en-US"/>
        </w:rPr>
        <w:t xml:space="preserve"> </w:t>
      </w:r>
      <w:r w:rsidRPr="49AD98FF" w:rsidR="7806A7C6">
        <w:rPr>
          <w:rFonts w:ascii="Arial" w:hAnsi="Arial" w:eastAsia="Arial" w:cs="Arial"/>
          <w:noProof w:val="0"/>
          <w:color w:val="auto"/>
          <w:sz w:val="24"/>
          <w:szCs w:val="24"/>
          <w:lang w:val="en-US"/>
        </w:rPr>
        <w:t>Furthermor</w:t>
      </w:r>
      <w:r w:rsidRPr="49AD98FF" w:rsidR="7806A7C6">
        <w:rPr>
          <w:rFonts w:ascii="Arial" w:hAnsi="Arial" w:eastAsia="Arial" w:cs="Arial"/>
          <w:b w:val="0"/>
          <w:bCs w:val="0"/>
          <w:noProof w:val="0"/>
          <w:color w:val="auto"/>
          <w:sz w:val="24"/>
          <w:szCs w:val="24"/>
          <w:lang w:val="en-US"/>
        </w:rPr>
        <w:t xml:space="preserve">e</w:t>
      </w:r>
      <w:r w:rsidRPr="49AD98FF" w:rsidR="7806A7C6">
        <w:rPr>
          <w:rFonts w:ascii="Arial" w:hAnsi="Arial" w:eastAsia="Arial" w:cs="Arial"/>
          <w:b w:val="0"/>
          <w:bCs w:val="0"/>
          <w:noProof w:val="0"/>
          <w:color w:val="auto"/>
          <w:sz w:val="24"/>
          <w:szCs w:val="24"/>
          <w:lang w:val="en-US"/>
        </w:rPr>
        <w:t xml:space="preserve">, </w:t>
      </w:r>
      <w:r w:rsidRPr="4D868132" w:rsidR="53B08BC1">
        <w:rPr>
          <w:rFonts w:ascii="Arial" w:hAnsi="Arial" w:eastAsia="Arial" w:cs="Arial"/>
          <w:b w:val="0"/>
          <w:bCs w:val="0"/>
          <w:i w:val="0"/>
          <w:iCs w:val="0"/>
          <w:caps w:val="0"/>
          <w:smallCaps w:val="0"/>
          <w:noProof w:val="0"/>
          <w:color w:val="auto"/>
          <w:sz w:val="24"/>
          <w:szCs w:val="24"/>
          <w:lang w:val="en-US"/>
        </w:rPr>
        <w:t xml:space="preserve">Elisabeth Schüssler Fiorenza </w:t>
      </w:r>
      <w:r w:rsidRPr="49AD98FF" w:rsidR="7806A7C6">
        <w:rPr>
          <w:rFonts w:ascii="Arial" w:hAnsi="Arial" w:eastAsia="Arial" w:cs="Arial"/>
          <w:noProof w:val="0"/>
          <w:color w:val="auto"/>
          <w:sz w:val="24"/>
          <w:szCs w:val="24"/>
          <w:lang w:val="en-US"/>
        </w:rPr>
        <w:t>argues that Jesus shatters the Jewish purity system by allowing women to sit at the table.</w:t>
      </w:r>
      <w:r w:rsidRPr="49AD98FF">
        <w:rPr>
          <w:rStyle w:val="FootnoteReference"/>
          <w:rFonts w:ascii="Arial" w:hAnsi="Arial" w:eastAsia="Arial" w:cs="Arial"/>
          <w:noProof w:val="0"/>
          <w:color w:val="auto"/>
          <w:sz w:val="24"/>
          <w:szCs w:val="24"/>
          <w:lang w:val="en-US"/>
        </w:rPr>
        <w:footnoteReference w:id="24705"/>
      </w:r>
      <w:r w:rsidRPr="49AD98FF" w:rsidR="7806A7C6">
        <w:rPr>
          <w:rFonts w:ascii="Arial" w:hAnsi="Arial" w:eastAsia="Arial" w:cs="Arial"/>
          <w:noProof w:val="0"/>
          <w:color w:val="auto"/>
          <w:sz w:val="24"/>
          <w:szCs w:val="24"/>
          <w:lang w:val="en-US"/>
        </w:rPr>
        <w:t xml:space="preserve"> However, as previously discussed, it seems likely that </w:t>
      </w:r>
      <w:r w:rsidRPr="49AD98FF" w:rsidR="2AEE04C2">
        <w:rPr>
          <w:rFonts w:ascii="Arial" w:hAnsi="Arial" w:eastAsia="Arial" w:cs="Arial"/>
          <w:noProof w:val="0"/>
          <w:color w:val="auto"/>
          <w:sz w:val="24"/>
          <w:szCs w:val="24"/>
          <w:lang w:val="en-US"/>
        </w:rPr>
        <w:t xml:space="preserve">this reflected </w:t>
      </w:r>
      <w:r w:rsidRPr="49AD98FF" w:rsidR="136B8B8B">
        <w:rPr>
          <w:rFonts w:ascii="Arial" w:hAnsi="Arial" w:eastAsia="Arial" w:cs="Arial"/>
          <w:noProof w:val="0"/>
          <w:color w:val="auto"/>
          <w:sz w:val="24"/>
          <w:szCs w:val="24"/>
          <w:lang w:val="en-US"/>
        </w:rPr>
        <w:t xml:space="preserve">the more fluid </w:t>
      </w:r>
      <w:r w:rsidRPr="49AD98FF" w:rsidR="2AEE04C2">
        <w:rPr>
          <w:rFonts w:ascii="Arial" w:hAnsi="Arial" w:eastAsia="Arial" w:cs="Arial"/>
          <w:noProof w:val="0"/>
          <w:color w:val="auto"/>
          <w:sz w:val="24"/>
          <w:szCs w:val="24"/>
          <w:lang w:val="en-US"/>
        </w:rPr>
        <w:t xml:space="preserve">attitude </w:t>
      </w:r>
      <w:r w:rsidRPr="49AD98FF" w:rsidR="3CF94E0F">
        <w:rPr>
          <w:rFonts w:ascii="Arial" w:hAnsi="Arial" w:eastAsia="Arial" w:cs="Arial"/>
          <w:noProof w:val="0"/>
          <w:color w:val="auto"/>
          <w:sz w:val="24"/>
          <w:szCs w:val="24"/>
          <w:lang w:val="en-US"/>
        </w:rPr>
        <w:t xml:space="preserve">to purity </w:t>
      </w:r>
      <w:r w:rsidRPr="49AD98FF" w:rsidR="4EB17F10">
        <w:rPr>
          <w:rFonts w:ascii="Arial" w:hAnsi="Arial" w:eastAsia="Arial" w:cs="Arial"/>
          <w:noProof w:val="0"/>
          <w:color w:val="auto"/>
          <w:sz w:val="24"/>
          <w:szCs w:val="24"/>
          <w:lang w:val="en-US"/>
        </w:rPr>
        <w:t>legislation and</w:t>
      </w:r>
      <w:r w:rsidRPr="49AD98FF" w:rsidR="3CF94E0F">
        <w:rPr>
          <w:rFonts w:ascii="Arial" w:hAnsi="Arial" w:eastAsia="Arial" w:cs="Arial"/>
          <w:noProof w:val="0"/>
          <w:color w:val="auto"/>
          <w:sz w:val="24"/>
          <w:szCs w:val="24"/>
          <w:lang w:val="en-US"/>
        </w:rPr>
        <w:t xml:space="preserve"> does not suggest Jesus reformed </w:t>
      </w:r>
      <w:r w:rsidRPr="49AD98FF" w:rsidR="5F1C5724">
        <w:rPr>
          <w:rFonts w:ascii="Arial" w:hAnsi="Arial" w:eastAsia="Arial" w:cs="Arial"/>
          <w:noProof w:val="0"/>
          <w:color w:val="auto"/>
          <w:sz w:val="24"/>
          <w:szCs w:val="24"/>
          <w:lang w:val="en-US"/>
        </w:rPr>
        <w:t xml:space="preserve">Jewish </w:t>
      </w:r>
      <w:r w:rsidRPr="49AD98FF" w:rsidR="3CF94E0F">
        <w:rPr>
          <w:rFonts w:ascii="Arial" w:hAnsi="Arial" w:eastAsia="Arial" w:cs="Arial"/>
          <w:noProof w:val="0"/>
          <w:color w:val="auto"/>
          <w:sz w:val="24"/>
          <w:szCs w:val="24"/>
          <w:lang w:val="en-US"/>
        </w:rPr>
        <w:t>attitudes to</w:t>
      </w:r>
      <w:r w:rsidRPr="49AD98FF" w:rsidR="43CC7EFB">
        <w:rPr>
          <w:rFonts w:ascii="Arial" w:hAnsi="Arial" w:eastAsia="Arial" w:cs="Arial"/>
          <w:noProof w:val="0"/>
          <w:color w:val="auto"/>
          <w:sz w:val="24"/>
          <w:szCs w:val="24"/>
          <w:lang w:val="en-US"/>
        </w:rPr>
        <w:t xml:space="preserve"> women. </w:t>
      </w:r>
      <w:r w:rsidRPr="49AD98FF" w:rsidR="3C7FE2F2">
        <w:rPr>
          <w:rFonts w:ascii="Arial" w:hAnsi="Arial" w:eastAsia="Arial" w:cs="Arial"/>
          <w:noProof w:val="0"/>
          <w:color w:val="auto"/>
          <w:sz w:val="24"/>
          <w:szCs w:val="24"/>
          <w:lang w:val="en-US"/>
        </w:rPr>
        <w:t xml:space="preserve">Instead, </w:t>
      </w:r>
      <w:r w:rsidRPr="49AD98FF" w:rsidR="722EA4DC">
        <w:rPr>
          <w:rFonts w:ascii="Arial" w:hAnsi="Arial" w:eastAsia="Arial" w:cs="Arial"/>
          <w:noProof w:val="0"/>
          <w:color w:val="auto"/>
          <w:sz w:val="24"/>
          <w:szCs w:val="24"/>
          <w:lang w:val="en-US"/>
        </w:rPr>
        <w:t>Corley notes</w:t>
      </w:r>
      <w:r w:rsidRPr="49AD98FF" w:rsidR="7B83B5DA">
        <w:rPr>
          <w:rFonts w:ascii="Arial" w:hAnsi="Arial" w:eastAsia="Arial" w:cs="Arial"/>
          <w:noProof w:val="0"/>
          <w:color w:val="auto"/>
          <w:sz w:val="24"/>
          <w:szCs w:val="24"/>
          <w:lang w:val="en-US"/>
        </w:rPr>
        <w:t xml:space="preserve"> that Jesus</w:t>
      </w:r>
      <w:r w:rsidRPr="49AD98FF" w:rsidR="2F113BB5">
        <w:rPr>
          <w:rFonts w:ascii="Arial" w:hAnsi="Arial" w:eastAsia="Arial" w:cs="Arial"/>
          <w:noProof w:val="0"/>
          <w:color w:val="auto"/>
          <w:sz w:val="24"/>
          <w:szCs w:val="24"/>
          <w:lang w:val="en-US"/>
        </w:rPr>
        <w:t xml:space="preserve">’ banquet ‘‘challenges ancient social paradigms of </w:t>
      </w:r>
      <w:r w:rsidRPr="49AD98FF" w:rsidR="72637EE7">
        <w:rPr>
          <w:rFonts w:ascii="Arial" w:hAnsi="Arial" w:eastAsia="Arial" w:cs="Arial"/>
          <w:noProof w:val="0"/>
          <w:color w:val="auto"/>
          <w:sz w:val="24"/>
          <w:szCs w:val="24"/>
          <w:lang w:val="en-US"/>
        </w:rPr>
        <w:t>honor</w:t>
      </w:r>
      <w:r w:rsidRPr="49AD98FF" w:rsidR="2F113BB5">
        <w:rPr>
          <w:rFonts w:ascii="Arial" w:hAnsi="Arial" w:eastAsia="Arial" w:cs="Arial"/>
          <w:noProof w:val="0"/>
          <w:color w:val="auto"/>
          <w:sz w:val="24"/>
          <w:szCs w:val="24"/>
          <w:lang w:val="en-US"/>
        </w:rPr>
        <w:t xml:space="preserve"> and wealt</w:t>
      </w:r>
      <w:r w:rsidRPr="49AD98FF" w:rsidR="5439C99A">
        <w:rPr>
          <w:rFonts w:ascii="Arial" w:hAnsi="Arial" w:eastAsia="Arial" w:cs="Arial"/>
          <w:noProof w:val="0"/>
          <w:color w:val="auto"/>
          <w:sz w:val="24"/>
          <w:szCs w:val="24"/>
          <w:lang w:val="en-US"/>
        </w:rPr>
        <w:t>h’’</w:t>
      </w:r>
      <w:r w:rsidRPr="49AD98FF">
        <w:rPr>
          <w:rStyle w:val="FootnoteReference"/>
          <w:rFonts w:ascii="Arial" w:hAnsi="Arial" w:eastAsia="Arial" w:cs="Arial"/>
          <w:noProof w:val="0"/>
          <w:color w:val="auto"/>
          <w:sz w:val="24"/>
          <w:szCs w:val="24"/>
          <w:lang w:val="en-US"/>
        </w:rPr>
        <w:footnoteReference w:id="23844"/>
      </w:r>
      <w:r w:rsidRPr="49AD98FF" w:rsidR="5439C99A">
        <w:rPr>
          <w:rFonts w:ascii="Arial" w:hAnsi="Arial" w:eastAsia="Arial" w:cs="Arial"/>
          <w:noProof w:val="0"/>
          <w:color w:val="auto"/>
          <w:sz w:val="24"/>
          <w:szCs w:val="24"/>
          <w:lang w:val="en-US"/>
        </w:rPr>
        <w:t xml:space="preserve"> </w:t>
      </w:r>
      <w:r w:rsidRPr="49AD98FF" w:rsidR="0AD15A55">
        <w:rPr>
          <w:rFonts w:ascii="Arial" w:hAnsi="Arial" w:eastAsia="Arial" w:cs="Arial"/>
          <w:noProof w:val="0"/>
          <w:color w:val="auto"/>
          <w:sz w:val="24"/>
          <w:szCs w:val="24"/>
          <w:lang w:val="en-US"/>
        </w:rPr>
        <w:t xml:space="preserve">with the lowly, not the rich being present at the banquet. </w:t>
      </w:r>
      <w:r w:rsidRPr="49AD98FF" w:rsidR="722EA4DC">
        <w:rPr>
          <w:rFonts w:ascii="Arial" w:hAnsi="Arial" w:eastAsia="Arial" w:cs="Arial"/>
          <w:noProof w:val="0"/>
          <w:color w:val="auto"/>
          <w:sz w:val="24"/>
          <w:szCs w:val="24"/>
          <w:lang w:val="en-US"/>
        </w:rPr>
        <w:t>Jesus’ teachings do not focus on</w:t>
      </w:r>
      <w:r w:rsidRPr="49AD98FF" w:rsidR="6B3396A5">
        <w:rPr>
          <w:rFonts w:ascii="Arial" w:hAnsi="Arial" w:eastAsia="Arial" w:cs="Arial"/>
          <w:noProof w:val="0"/>
          <w:color w:val="auto"/>
          <w:sz w:val="24"/>
          <w:szCs w:val="24"/>
          <w:lang w:val="en-US"/>
        </w:rPr>
        <w:t xml:space="preserve"> challenging gender roles,</w:t>
      </w:r>
      <w:r w:rsidRPr="49AD98FF" w:rsidR="37624818">
        <w:rPr>
          <w:rFonts w:ascii="Arial" w:hAnsi="Arial" w:eastAsia="Arial" w:cs="Arial"/>
          <w:noProof w:val="0"/>
          <w:color w:val="auto"/>
          <w:sz w:val="24"/>
          <w:szCs w:val="24"/>
          <w:lang w:val="en-US"/>
        </w:rPr>
        <w:t xml:space="preserve"> but instead </w:t>
      </w:r>
      <w:r w:rsidRPr="49AD98FF" w:rsidR="5604D274">
        <w:rPr>
          <w:rFonts w:ascii="Arial" w:hAnsi="Arial" w:eastAsia="Arial" w:cs="Arial"/>
          <w:noProof w:val="0"/>
          <w:color w:val="auto"/>
          <w:sz w:val="24"/>
          <w:szCs w:val="24"/>
          <w:lang w:val="en-US"/>
        </w:rPr>
        <w:t xml:space="preserve">show concern for the poorer social </w:t>
      </w:r>
      <w:r w:rsidRPr="49AD98FF" w:rsidR="5604D274">
        <w:rPr>
          <w:rFonts w:ascii="Arial" w:hAnsi="Arial" w:eastAsia="Arial" w:cs="Arial"/>
          <w:noProof w:val="0"/>
          <w:color w:val="auto"/>
          <w:sz w:val="24"/>
          <w:szCs w:val="24"/>
          <w:lang w:val="en-US"/>
        </w:rPr>
        <w:t>classes.</w:t>
      </w:r>
      <w:r w:rsidRPr="49AD98FF">
        <w:rPr>
          <w:rStyle w:val="FootnoteReference"/>
          <w:rFonts w:ascii="Arial" w:hAnsi="Arial" w:eastAsia="Arial" w:cs="Arial"/>
          <w:noProof w:val="0"/>
          <w:color w:val="auto"/>
          <w:sz w:val="24"/>
          <w:szCs w:val="24"/>
          <w:lang w:val="en-US"/>
        </w:rPr>
        <w:footnoteReference w:id="7910"/>
      </w:r>
      <w:r w:rsidRPr="49AD98FF" w:rsidR="5604D274">
        <w:rPr>
          <w:rFonts w:ascii="Arial" w:hAnsi="Arial" w:eastAsia="Arial" w:cs="Arial"/>
          <w:noProof w:val="0"/>
          <w:color w:val="auto"/>
          <w:sz w:val="24"/>
          <w:szCs w:val="24"/>
          <w:lang w:val="en-US"/>
        </w:rPr>
        <w:t xml:space="preserve"> </w:t>
      </w:r>
      <w:r w:rsidRPr="49AD98FF" w:rsidR="742C754F">
        <w:rPr>
          <w:rFonts w:ascii="Arial" w:hAnsi="Arial" w:eastAsia="Arial" w:cs="Arial"/>
          <w:noProof w:val="0"/>
          <w:color w:val="auto"/>
          <w:sz w:val="24"/>
          <w:szCs w:val="24"/>
          <w:lang w:val="en-US"/>
        </w:rPr>
        <w:t xml:space="preserve">The next point will discuss Jesus’ inclusion of women disciples. </w:t>
      </w:r>
    </w:p>
    <w:p xmlns:wp14="http://schemas.microsoft.com/office/word/2010/wordml" w:rsidP="49AD98FF" wp14:paraId="2C078E63" wp14:textId="2087200F">
      <w:pPr>
        <w:pStyle w:val="Normal"/>
        <w:spacing w:after="160" w:line="360" w:lineRule="auto"/>
        <w:rPr>
          <w:rFonts w:ascii="Arial" w:hAnsi="Arial" w:eastAsia="Arial" w:cs="Arial"/>
          <w:noProof w:val="0"/>
          <w:color w:val="auto"/>
          <w:sz w:val="24"/>
          <w:szCs w:val="24"/>
          <w:lang w:val="en-US"/>
        </w:rPr>
      </w:pP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 xml:space="preserve">It has been argued that Jesus reformed Jewish attitudes to women because he included women as his disciples. For example, Mark states that many women, among them Mary Magdalene and Mary, the mother of James and Salome, were present at the crucifixion (Mk 15:40-44). It </w:t>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states</w:t>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 xml:space="preserve"> these women followed and ministered to Jesus with the verb ‘to follow’ being seen as </w:t>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an indication</w:t>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 xml:space="preserve"> that the women had full discipleship</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9521"/>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 xml:space="preserve"> (Mk 2:14; Mt 8:19-22). Furthermore, women such as Mary Magdalene, Joanna, and Susanna </w:t>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accompanied</w:t>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 xml:space="preserve"> Jesus and The Twelve in their travels (Lk 8:1-3). Ben Witherington argues that prior to Jesus there is no </w:t>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indication</w:t>
      </w:r>
      <w:r w:rsidRPr="4D868132" w:rsidR="7FF2A951">
        <w:rPr>
          <w:rFonts w:ascii="Arial" w:hAnsi="Arial" w:eastAsia="Arial" w:cs="Arial"/>
          <w:b w:val="0"/>
          <w:bCs w:val="0"/>
          <w:i w:val="0"/>
          <w:iCs w:val="0"/>
          <w:caps w:val="0"/>
          <w:smallCaps w:val="0"/>
          <w:noProof w:val="0"/>
          <w:color w:val="auto" w:themeColor="text1" w:themeTint="FF" w:themeShade="FF"/>
          <w:sz w:val="24"/>
          <w:szCs w:val="24"/>
          <w:lang w:val="en-US"/>
        </w:rPr>
        <w:t xml:space="preserve"> that women were able to become disciples, or</w:t>
      </w:r>
      <w:r w:rsidRPr="4D868132" w:rsidR="20316CD0">
        <w:rPr>
          <w:rFonts w:ascii="Arial" w:hAnsi="Arial" w:eastAsia="Arial" w:cs="Arial"/>
          <w:b w:val="0"/>
          <w:bCs w:val="0"/>
          <w:i w:val="0"/>
          <w:iCs w:val="0"/>
          <w:caps w:val="0"/>
          <w:smallCaps w:val="0"/>
          <w:noProof w:val="0"/>
          <w:color w:val="auto" w:themeColor="text1" w:themeTint="FF" w:themeShade="FF"/>
          <w:sz w:val="24"/>
          <w:szCs w:val="24"/>
          <w:lang w:val="en-US"/>
        </w:rPr>
        <w:t xml:space="preserve"> travel with a teacher like Jesus. He argues that it must have seemed ‘radical’ and ‘scandalous in Jewish circles’</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15782"/>
      </w:r>
      <w:r w:rsidRPr="4D868132" w:rsidR="20316CD0">
        <w:rPr>
          <w:rFonts w:ascii="Arial" w:hAnsi="Arial" w:eastAsia="Arial" w:cs="Arial"/>
          <w:b w:val="0"/>
          <w:bCs w:val="0"/>
          <w:i w:val="0"/>
          <w:iCs w:val="0"/>
          <w:caps w:val="0"/>
          <w:smallCaps w:val="0"/>
          <w:noProof w:val="0"/>
          <w:color w:val="auto" w:themeColor="text1" w:themeTint="FF" w:themeShade="FF"/>
          <w:sz w:val="24"/>
          <w:szCs w:val="24"/>
          <w:lang w:val="en-US"/>
        </w:rPr>
        <w:t xml:space="preserve"> for women to become disciples.</w:t>
      </w:r>
    </w:p>
    <w:p w:rsidR="37799FF3" w:rsidP="4D868132" w:rsidRDefault="37799FF3" w14:paraId="1B94A49A" w14:textId="6BF9F758">
      <w:pPr>
        <w:pStyle w:val="Normal"/>
        <w:spacing w:after="160"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However, there is no explicit evidence that women were unable to become disciples before Jesus. For instance, Josephus notes how women followed the zealot Simon bar </w:t>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Gioras</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5259"/>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and a charismatic prophet to the temple.</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3321"/>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Furthermore, aristocratic women were attracted to joining Pharisaism</w:t>
      </w:r>
      <w:r w:rsidRPr="4D868132" w:rsidR="47D995E4">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w:t>
      </w:r>
      <w:r w:rsidRPr="4D868132" w:rsidR="47D995E4">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and </w:t>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Ta</w:t>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n Ilan argus this suggests women were able to make independent political and religious choices to become members of a Jewish sect prior to Jesus.</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23252"/>
      </w:r>
      <w:r w:rsidRPr="4D868132" w:rsidR="47880ACB">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w:t>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Admittedly, Ilan does not dismiss that this could have been difficult for most women, or that it was commonplace for women to become disciples.</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22079"/>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However, it does suggest that it was not revolutionary for Jesus to have women disciples at the time. </w:t>
      </w:r>
    </w:p>
    <w:p w:rsidR="37799FF3" w:rsidP="4D868132" w:rsidRDefault="37799FF3" w14:paraId="1C3C2EBF" w14:textId="21912DFB">
      <w:pPr>
        <w:spacing w:after="160"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However, Witherington argues that Jesus’ discipleship of women gave them a renewed significance. For instance, Witherington notes how Joanna, being ‘the wife of Herod’s steward Chuza’ (Lk 8: 3), would have left her husband behind. Witherington argues that this shows the Jesus movement broke down social barriers for women, allowing them to leave </w:t>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home.</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748"/>
      </w:r>
      <w:r w:rsidRPr="4D868132" w:rsidR="4699162C">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w:t>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Although</w:t>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Witherington admits that Jesus did not break down all social barriers, for it was likely that these women still had to prepare food for the group. However, he argues that Jesus gave these women's domestic roles a renewed significance as disciples, as they were not providing food for the physical family, but the family of faith.</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19921"/>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However, women following Jesus does not reveal why they followed Jesus, or that Jesus had reformed Jewish attitudes to women.</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11550"/>
      </w:r>
      <w:r w:rsidRPr="4D868132" w:rsidR="047DBD2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The next argument will discuss Jesus’ attitude to divorce.</w:t>
      </w:r>
    </w:p>
    <w:p w:rsidR="7521B224" w:rsidP="49AD98FF" w:rsidRDefault="7521B224" w14:paraId="19AB3696" w14:textId="4E001252">
      <w:pPr>
        <w:pStyle w:val="Normal"/>
        <w:spacing w:after="160" w:line="360" w:lineRule="auto"/>
        <w:rPr>
          <w:rFonts w:ascii="Arial" w:hAnsi="Arial" w:eastAsia="Arial" w:cs="Arial"/>
          <w:noProof w:val="0"/>
          <w:color w:val="auto"/>
          <w:sz w:val="24"/>
          <w:szCs w:val="24"/>
          <w:lang w:val="en-US"/>
        </w:rPr>
      </w:pP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It is argued that Jesus’ view of divorce </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exhibited</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 a feminist attitude which was contrary to his Jewish contemporaries. However, Jesus’ teaching on divorce </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contains</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 several discrepancies</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10510"/>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 (Mk 10:5-10, Mt 5:32; 19:1-12, Lk 16:18, Cor 7:9-10). For instance, in Matthew an exception clause for divorce is made in the case of unchastity (Mt 5:32; 19:9). However, it is argued that this has been inserted by Matthew to coincide with his Jewish </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audience.</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28919"/>
      </w:r>
      <w:r w:rsidRPr="4D868132" w:rsidR="4625173A">
        <w:rPr>
          <w:rFonts w:ascii="Arial" w:hAnsi="Arial" w:eastAsia="Arial" w:cs="Arial"/>
          <w:b w:val="0"/>
          <w:bCs w:val="0"/>
          <w:i w:val="0"/>
          <w:iCs w:val="0"/>
          <w:caps w:val="0"/>
          <w:smallCaps w:val="0"/>
          <w:noProof w:val="0"/>
          <w:color w:val="auto" w:themeColor="text1" w:themeTint="FF" w:themeShade="FF"/>
          <w:sz w:val="24"/>
          <w:szCs w:val="24"/>
          <w:lang w:val="en-US"/>
        </w:rPr>
        <w:t xml:space="preserve"> </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With</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 Mark being the earliest of the gospels, Mark’s viewpoint that Jesus prohibited divorce is most accepted. In doing so, Jesus challenged Mosaic law (Deu 24:1) which enabled a man to divorce his wife by simply giving her a certificate. Michael </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Muonwe</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 argues that this meant Jewish men could whim fully divorce their </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wives,</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29051"/>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 Leonard Swidler argues that Jesus’ prohibition of divorce displayed a revolutionary egalitarian attitude to women in marriage. He argues this is because being able to divorce was exclusively the right of the male in first-century Jewish </w:t>
      </w:r>
      <w:r w:rsidRPr="4D868132" w:rsidR="2280E51B">
        <w:rPr>
          <w:rFonts w:ascii="Arial" w:hAnsi="Arial" w:eastAsia="Arial" w:cs="Arial"/>
          <w:b w:val="0"/>
          <w:bCs w:val="0"/>
          <w:i w:val="0"/>
          <w:iCs w:val="0"/>
          <w:caps w:val="0"/>
          <w:smallCaps w:val="0"/>
          <w:noProof w:val="0"/>
          <w:color w:val="auto" w:themeColor="text1" w:themeTint="FF" w:themeShade="FF"/>
          <w:sz w:val="24"/>
          <w:szCs w:val="24"/>
          <w:lang w:val="en-US"/>
        </w:rPr>
        <w:t xml:space="preserve">culture.</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4332"/>
      </w:r>
      <w:r w:rsidRPr="4D868132" w:rsidR="76C27950">
        <w:rPr>
          <w:rFonts w:ascii="Arial" w:hAnsi="Arial" w:eastAsia="Arial" w:cs="Arial"/>
          <w:b w:val="0"/>
          <w:bCs w:val="0"/>
          <w:i w:val="0"/>
          <w:iCs w:val="0"/>
          <w:caps w:val="0"/>
          <w:smallCaps w:val="0"/>
          <w:noProof w:val="0"/>
          <w:color w:val="auto" w:themeColor="text1" w:themeTint="FF" w:themeShade="FF"/>
          <w:sz w:val="24"/>
          <w:szCs w:val="24"/>
          <w:lang w:val="en-US"/>
        </w:rPr>
        <w:t xml:space="preserve">  </w:t>
      </w:r>
    </w:p>
    <w:p w:rsidR="5217D39A" w:rsidP="4D868132" w:rsidRDefault="5217D39A" w14:paraId="2E60ED84" w14:textId="4F3C4EB9">
      <w:pPr>
        <w:pStyle w:val="Normal"/>
        <w:spacing w:before="240" w:beforeAutospacing="off" w:after="240" w:afterAutospacing="off"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However, as Amy Jill-Levine notes, second temple literature suggests that women could file for divorce. For example, Josephus states that Salome, Herod’s sister, sent a divorce bill to her </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husband.</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5316"/>
      </w:r>
      <w:r w:rsidRPr="4D868132" w:rsidR="7875083C">
        <w:rPr>
          <w:rFonts w:ascii="Arial" w:hAnsi="Arial" w:eastAsia="Arial" w:cs="Arial"/>
          <w:b w:val="0"/>
          <w:bCs w:val="0"/>
          <w:i w:val="0"/>
          <w:iCs w:val="0"/>
          <w:caps w:val="0"/>
          <w:smallCaps w:val="0"/>
          <w:noProof w:val="0"/>
          <w:color w:val="auto" w:themeColor="text1" w:themeTint="FF" w:themeShade="FF"/>
          <w:sz w:val="24"/>
          <w:szCs w:val="24"/>
          <w:lang w:val="en-US"/>
        </w:rPr>
        <w:t xml:space="preserve"> </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 Furthermore, Herodias </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initiated</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 divorce to her husband Herod </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Antipas.</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24299"/>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 However, these accounts are of elite women divorcing their husbands. Levine admits that it would have been difficult for other women, who would have had to rely on their father or male </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relative</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to initiate </w:t>
      </w:r>
      <w:r w:rsidRPr="4D868132" w:rsidR="262F9A39">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divorce. </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7636"/>
      </w:r>
      <w:r w:rsidRPr="4D868132" w:rsidR="4DD6C6AD">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w:t>
      </w:r>
      <w:r w:rsidRPr="4D868132" w:rsidR="262F9A39">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Despite</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this, Jesus also seems to suggest that women were divorcing their husbands at the time (Mt 10:10-12). Commentators argue that this reflected Mark’s gentile setting, and was not</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in accordance wit</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h</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Jewish attitudes, but Roman </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law.</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29684"/>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However, Levine argues that it is not improbable that Roman culture had influenced the Jewish divorce </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system.</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11352"/>
      </w:r>
    </w:p>
    <w:p w:rsidR="5217D39A" w:rsidP="4D868132" w:rsidRDefault="5217D39A" w14:paraId="1E625E85" w14:textId="4CBB762C">
      <w:pPr>
        <w:pStyle w:val="Normal"/>
        <w:spacing w:after="160"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4D868132" w:rsidR="0D3CB4EF">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Furthermore, </w:t>
      </w:r>
      <w:r w:rsidRPr="4D868132" w:rsidR="1E6B061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the viewpoint that Jewish law took advantage of women often refers to the rabbinic sources, such as the </w:t>
      </w:r>
      <w:r w:rsidRPr="4D868132" w:rsidR="1E6B061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Hillelite</w:t>
      </w:r>
      <w:r w:rsidRPr="4D868132" w:rsidR="1E6B061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interpretation of divorce, which suggested a man could divorce his wife for trivial reasons, such as burning the </w:t>
      </w:r>
      <w:r w:rsidRPr="4D868132" w:rsidR="5439BE78">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din</w:t>
      </w:r>
      <w:r w:rsidRPr="4D868132" w:rsidR="4F91D3E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ner </w:t>
      </w:r>
      <w:r w:rsidRPr="4D868132" w:rsidR="6424A3A3">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w:t>
      </w:r>
      <w:r w:rsidRPr="4D868132" w:rsidR="6424A3A3">
        <w:rPr>
          <w:rFonts w:ascii="Arial" w:hAnsi="Arial" w:eastAsia="Arial" w:cs="Arial"/>
          <w:noProof w:val="0"/>
          <w:color w:val="auto"/>
          <w:sz w:val="24"/>
          <w:szCs w:val="24"/>
          <w:lang w:val="en-US"/>
        </w:rPr>
        <w:t>M.Gittin</w:t>
      </w:r>
      <w:r w:rsidRPr="4D868132" w:rsidR="15B516C0">
        <w:rPr>
          <w:rFonts w:ascii="Arial" w:hAnsi="Arial" w:eastAsia="Arial" w:cs="Arial"/>
          <w:noProof w:val="0"/>
          <w:color w:val="auto"/>
          <w:sz w:val="24"/>
          <w:szCs w:val="24"/>
          <w:lang w:val="en-US"/>
        </w:rPr>
        <w:t xml:space="preserve"> 9.10.).</w:t>
      </w:r>
      <w:r w:rsidRPr="4D868132">
        <w:rPr>
          <w:rStyle w:val="FootnoteReference"/>
          <w:rFonts w:ascii="Arial" w:hAnsi="Arial" w:eastAsia="Arial" w:cs="Arial"/>
          <w:noProof w:val="0"/>
          <w:color w:val="auto"/>
          <w:sz w:val="24"/>
          <w:szCs w:val="24"/>
          <w:lang w:val="en-US"/>
        </w:rPr>
        <w:footnoteReference w:id="26954"/>
      </w:r>
      <w:r w:rsidRPr="4D868132" w:rsidR="15B516C0">
        <w:rPr>
          <w:rFonts w:ascii="Arial" w:hAnsi="Arial" w:eastAsia="Arial" w:cs="Arial"/>
          <w:noProof w:val="0"/>
          <w:color w:val="auto"/>
          <w:sz w:val="24"/>
          <w:szCs w:val="24"/>
          <w:lang w:val="en-US"/>
        </w:rPr>
        <w:t xml:space="preserve"> </w:t>
      </w:r>
      <w:r w:rsidRPr="4D868132" w:rsidR="6424A3A3">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w:t>
      </w:r>
      <w:r w:rsidRPr="4D868132">
        <w:rPr>
          <w:rStyle w:val="FootnoteReference"/>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footnoteReference w:id="9944"/>
      </w:r>
      <w:r w:rsidRPr="4D868132" w:rsidR="159AFEB5">
        <w:rPr>
          <w:noProof w:val="0"/>
          <w:color w:val="auto"/>
          <w:lang w:val="en-US"/>
        </w:rPr>
        <w:t xml:space="preserve">￼</w:t>
      </w:r>
      <w:r w:rsidRPr="4D868132" w:rsidR="5439BE78">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 xml:space="preserve"> For instance, </w:t>
      </w:r>
      <w:r w:rsidRPr="4D868132" w:rsidR="159AFEB5">
        <w:rPr>
          <w:rFonts w:ascii="Arial" w:hAnsi="Arial" w:eastAsia="Arial" w:cs="Arial"/>
          <w:b w:val="0"/>
          <w:bCs w:val="0"/>
          <w:i w:val="0"/>
          <w:iCs w:val="0"/>
          <w:caps w:val="0"/>
          <w:smallCaps w:val="0"/>
          <w:strike w:val="0"/>
          <w:dstrike w:val="0"/>
          <w:noProof w:val="0"/>
          <w:color w:val="auto" w:themeColor="text1" w:themeTint="FF" w:themeShade="FF"/>
          <w:sz w:val="24"/>
          <w:szCs w:val="24"/>
          <w:u w:val="none"/>
          <w:lang w:val="en-US"/>
        </w:rPr>
        <w:t>women received a marriage contract (</w:t>
      </w:r>
      <w:r w:rsidRPr="4D868132" w:rsidR="159AFEB5">
        <w:rPr>
          <w:rFonts w:ascii="Arial" w:hAnsi="Arial" w:eastAsia="Arial" w:cs="Arial"/>
          <w:b w:val="0"/>
          <w:bCs w:val="0"/>
          <w:i w:val="1"/>
          <w:iCs w:val="1"/>
          <w:caps w:val="0"/>
          <w:smallCaps w:val="0"/>
          <w:noProof w:val="0"/>
          <w:color w:val="auto" w:themeColor="text1" w:themeTint="FF" w:themeShade="FF"/>
          <w:sz w:val="24"/>
          <w:szCs w:val="24"/>
          <w:lang w:val="en-US"/>
        </w:rPr>
        <w:t xml:space="preserve">Ketubah</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 which protected the women’s financial rights if her husband wanted to divorce. Interestingly, Tan Ilan notes that records of divorce during the second temple period were small. Ilan argues this was due to economic reasons, because the ‘‘man would have had to pay his former wife her </w:t>
      </w:r>
      <w:r w:rsidRPr="4D868132" w:rsidR="159AFEB5">
        <w:rPr>
          <w:rFonts w:ascii="Arial" w:hAnsi="Arial" w:eastAsia="Arial" w:cs="Arial"/>
          <w:b w:val="0"/>
          <w:bCs w:val="0"/>
          <w:i w:val="1"/>
          <w:iCs w:val="1"/>
          <w:caps w:val="0"/>
          <w:smallCaps w:val="0"/>
          <w:noProof w:val="0"/>
          <w:color w:val="auto" w:themeColor="text1" w:themeTint="FF" w:themeShade="FF"/>
          <w:sz w:val="24"/>
          <w:szCs w:val="24"/>
          <w:lang w:val="en-US"/>
        </w:rPr>
        <w:t xml:space="preserve">Ketubah,</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6185"/>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 This contradicts the </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per</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ception</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 th</w:t>
      </w:r>
      <w:r w:rsidRPr="4D868132" w:rsidR="159AFEB5">
        <w:rPr>
          <w:rFonts w:ascii="Arial" w:hAnsi="Arial" w:eastAsia="Arial" w:cs="Arial"/>
          <w:b w:val="0"/>
          <w:bCs w:val="0"/>
          <w:i w:val="0"/>
          <w:iCs w:val="0"/>
          <w:caps w:val="0"/>
          <w:smallCaps w:val="0"/>
          <w:noProof w:val="0"/>
          <w:color w:val="auto" w:themeColor="text1" w:themeTint="FF" w:themeShade="FF"/>
          <w:sz w:val="24"/>
          <w:szCs w:val="24"/>
          <w:lang w:val="en-US"/>
        </w:rPr>
        <w:t xml:space="preserve">at Jewish men whim fully divorced their wives</w:t>
      </w:r>
      <w:r w:rsidRPr="4D868132" w:rsidR="21847535">
        <w:rPr>
          <w:rFonts w:ascii="Arial" w:hAnsi="Arial" w:eastAsia="Arial" w:cs="Arial"/>
          <w:b w:val="0"/>
          <w:bCs w:val="0"/>
          <w:i w:val="0"/>
          <w:iCs w:val="0"/>
          <w:caps w:val="0"/>
          <w:smallCaps w:val="0"/>
          <w:noProof w:val="0"/>
          <w:color w:val="auto" w:themeColor="text1" w:themeTint="FF" w:themeShade="FF"/>
          <w:sz w:val="24"/>
          <w:szCs w:val="24"/>
          <w:lang w:val="en-US"/>
        </w:rPr>
        <w:t xml:space="preserve">. </w:t>
      </w:r>
      <w:r w:rsidRPr="4D868132">
        <w:rPr>
          <w:rStyle w:val="FootnoteReference"/>
          <w:rFonts w:ascii="Arial" w:hAnsi="Arial" w:eastAsia="Arial" w:cs="Arial"/>
          <w:b w:val="0"/>
          <w:bCs w:val="0"/>
          <w:i w:val="0"/>
          <w:iCs w:val="0"/>
          <w:caps w:val="0"/>
          <w:smallCaps w:val="0"/>
          <w:noProof w:val="0"/>
          <w:color w:val="auto" w:themeColor="text1" w:themeTint="FF" w:themeShade="FF"/>
          <w:sz w:val="24"/>
          <w:szCs w:val="24"/>
          <w:lang w:val="en-US"/>
        </w:rPr>
        <w:footnoteReference w:id="18376"/>
      </w:r>
      <w:r w:rsidRPr="4D868132" w:rsidR="7F98D58E">
        <w:rPr>
          <w:rFonts w:ascii="Arial" w:hAnsi="Arial" w:eastAsia="Arial" w:cs="Arial"/>
          <w:b w:val="0"/>
          <w:bCs w:val="0"/>
          <w:i w:val="0"/>
          <w:iCs w:val="0"/>
          <w:caps w:val="0"/>
          <w:smallCaps w:val="0"/>
          <w:noProof w:val="0"/>
          <w:color w:val="auto" w:themeColor="text1" w:themeTint="FF" w:themeShade="FF"/>
          <w:sz w:val="24"/>
          <w:szCs w:val="24"/>
          <w:lang w:val="en-US"/>
        </w:rPr>
        <w:t xml:space="preserve"> </w:t>
      </w:r>
      <w:r w:rsidRPr="4D868132" w:rsidR="21847535">
        <w:rPr>
          <w:rFonts w:ascii="Arial" w:hAnsi="Arial" w:eastAsia="Arial" w:cs="Arial"/>
          <w:b w:val="0"/>
          <w:bCs w:val="0"/>
          <w:i w:val="0"/>
          <w:iCs w:val="0"/>
          <w:caps w:val="0"/>
          <w:smallCaps w:val="0"/>
          <w:noProof w:val="0"/>
          <w:color w:val="auto" w:themeColor="text1" w:themeTint="FF" w:themeShade="FF"/>
          <w:sz w:val="24"/>
          <w:szCs w:val="24"/>
          <w:lang w:val="en-US"/>
        </w:rPr>
        <w:t>This suggest</w:t>
      </w:r>
      <w:r w:rsidRPr="4D868132" w:rsidR="1965CAF7">
        <w:rPr>
          <w:rFonts w:ascii="Arial" w:hAnsi="Arial" w:eastAsia="Arial" w:cs="Arial"/>
          <w:b w:val="0"/>
          <w:bCs w:val="0"/>
          <w:i w:val="0"/>
          <w:iCs w:val="0"/>
          <w:caps w:val="0"/>
          <w:smallCaps w:val="0"/>
          <w:noProof w:val="0"/>
          <w:color w:val="auto" w:themeColor="text1" w:themeTint="FF" w:themeShade="FF"/>
          <w:sz w:val="24"/>
          <w:szCs w:val="24"/>
          <w:lang w:val="en-US"/>
        </w:rPr>
        <w:t xml:space="preserve">s</w:t>
      </w:r>
      <w:r w:rsidRPr="4D868132" w:rsidR="21847535">
        <w:rPr>
          <w:rFonts w:ascii="Arial" w:hAnsi="Arial" w:eastAsia="Arial" w:cs="Arial"/>
          <w:b w:val="0"/>
          <w:bCs w:val="0"/>
          <w:i w:val="0"/>
          <w:iCs w:val="0"/>
          <w:caps w:val="0"/>
          <w:smallCaps w:val="0"/>
          <w:noProof w:val="0"/>
          <w:color w:val="auto" w:themeColor="text1" w:themeTint="FF" w:themeShade="FF"/>
          <w:sz w:val="24"/>
          <w:szCs w:val="24"/>
          <w:lang w:val="en-US"/>
        </w:rPr>
        <w:t xml:space="preserve"> that Jesus’ prohibiti</w:t>
      </w:r>
      <w:r w:rsidRPr="4D868132" w:rsidR="16672C6B">
        <w:rPr>
          <w:rFonts w:ascii="Arial" w:hAnsi="Arial" w:eastAsia="Arial" w:cs="Arial"/>
          <w:b w:val="0"/>
          <w:bCs w:val="0"/>
          <w:i w:val="0"/>
          <w:iCs w:val="0"/>
          <w:caps w:val="0"/>
          <w:smallCaps w:val="0"/>
          <w:noProof w:val="0"/>
          <w:color w:val="auto"/>
          <w:sz w:val="24"/>
          <w:szCs w:val="24"/>
          <w:lang w:val="en-US"/>
        </w:rPr>
        <w:t xml:space="preserve">on of divorce could be seen as feminist or anti-feminist according to Jewish women’s individual situation. </w:t>
      </w:r>
    </w:p>
    <w:p w:rsidR="5217D39A" w:rsidP="4D868132" w:rsidRDefault="5217D39A" w14:paraId="0B6D9476" w14:textId="77A7F835">
      <w:pPr>
        <w:pStyle w:val="Normal"/>
        <w:spacing w:after="160" w:line="360"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4D868132" w:rsidR="159AFEB5">
        <w:rPr>
          <w:rFonts w:ascii="Arial" w:hAnsi="Arial" w:eastAsia="Arial" w:cs="Arial"/>
          <w:b w:val="0"/>
          <w:bCs w:val="0"/>
          <w:i w:val="0"/>
          <w:iCs w:val="0"/>
          <w:caps w:val="0"/>
          <w:smallCaps w:val="0"/>
          <w:noProof w:val="0"/>
          <w:color w:val="auto"/>
          <w:sz w:val="24"/>
          <w:szCs w:val="24"/>
          <w:lang w:val="en-US"/>
        </w:rPr>
        <w:t xml:space="preserve">In conclusion, Jesus showed an egalitarian attitude towards women, placing as much value on them as men. However, to see Jesus as reforming Jewish attitudes to women is misconstrued. There is no clear </w:t>
      </w:r>
      <w:r w:rsidRPr="4D868132" w:rsidR="159AFEB5">
        <w:rPr>
          <w:rFonts w:ascii="Arial" w:hAnsi="Arial" w:eastAsia="Arial" w:cs="Arial"/>
          <w:b w:val="0"/>
          <w:bCs w:val="0"/>
          <w:i w:val="0"/>
          <w:iCs w:val="0"/>
          <w:caps w:val="0"/>
          <w:smallCaps w:val="0"/>
          <w:noProof w:val="0"/>
          <w:color w:val="auto"/>
          <w:sz w:val="24"/>
          <w:szCs w:val="24"/>
          <w:lang w:val="en-US"/>
        </w:rPr>
        <w:t>indication</w:t>
      </w:r>
      <w:r w:rsidRPr="4D868132" w:rsidR="159AFEB5">
        <w:rPr>
          <w:rFonts w:ascii="Arial" w:hAnsi="Arial" w:eastAsia="Arial" w:cs="Arial"/>
          <w:b w:val="0"/>
          <w:bCs w:val="0"/>
          <w:i w:val="0"/>
          <w:iCs w:val="0"/>
          <w:caps w:val="0"/>
          <w:smallCaps w:val="0"/>
          <w:noProof w:val="0"/>
          <w:color w:val="auto"/>
          <w:sz w:val="24"/>
          <w:szCs w:val="24"/>
          <w:lang w:val="en-US"/>
        </w:rPr>
        <w:t xml:space="preserve"> that Jesus prohibited purity laws on the account that the Jewish purity laws were patriarchal. Furthermore, Jesus’ parables do not challenge gender roles, but instead focusses on status. Moreover, even though Jesus had women disciples, evidence suggests that it was not revolutionary for Jewish attitudes to women. Finally, the argument that Jesus’ prohibition of divorce liberated women from the androcentric Jewish divorce system does not seem to reflect how women were protected by the marriage contract, and in some cases could </w:t>
      </w:r>
      <w:r w:rsidRPr="4D868132" w:rsidR="159AFEB5">
        <w:rPr>
          <w:rFonts w:ascii="Arial" w:hAnsi="Arial" w:eastAsia="Arial" w:cs="Arial"/>
          <w:b w:val="0"/>
          <w:bCs w:val="0"/>
          <w:i w:val="0"/>
          <w:iCs w:val="0"/>
          <w:caps w:val="0"/>
          <w:smallCaps w:val="0"/>
          <w:noProof w:val="0"/>
          <w:color w:val="auto"/>
          <w:sz w:val="24"/>
          <w:szCs w:val="24"/>
          <w:lang w:val="en-US"/>
        </w:rPr>
        <w:t>initiate</w:t>
      </w:r>
      <w:r w:rsidRPr="4D868132" w:rsidR="159AFEB5">
        <w:rPr>
          <w:rFonts w:ascii="Arial" w:hAnsi="Arial" w:eastAsia="Arial" w:cs="Arial"/>
          <w:b w:val="0"/>
          <w:bCs w:val="0"/>
          <w:i w:val="0"/>
          <w:iCs w:val="0"/>
          <w:caps w:val="0"/>
          <w:smallCaps w:val="0"/>
          <w:noProof w:val="0"/>
          <w:color w:val="auto"/>
          <w:sz w:val="24"/>
          <w:szCs w:val="24"/>
          <w:lang w:val="en-US"/>
        </w:rPr>
        <w:t xml:space="preserve"> divorce.</w:t>
      </w:r>
    </w:p>
    <w:p w:rsidR="49AD98FF" w:rsidP="4D868132" w:rsidRDefault="49AD98FF" w14:paraId="306ADBA1" w14:textId="15533602">
      <w:pPr>
        <w:pStyle w:val="Normal"/>
        <w:spacing w:after="160" w:line="360" w:lineRule="auto"/>
        <w:rPr>
          <w:rFonts w:ascii="Arial" w:hAnsi="Arial" w:eastAsia="Arial" w:cs="Arial"/>
          <w:b w:val="0"/>
          <w:bCs w:val="0"/>
          <w:i w:val="0"/>
          <w:iCs w:val="0"/>
          <w:caps w:val="0"/>
          <w:smallCaps w:val="0"/>
          <w:noProof w:val="0"/>
          <w:color w:val="auto"/>
          <w:sz w:val="24"/>
          <w:szCs w:val="24"/>
          <w:u w:val="single"/>
          <w:lang w:val="en-US"/>
        </w:rPr>
      </w:pPr>
    </w:p>
    <w:p w:rsidR="0BC4696C" w:rsidP="4D868132" w:rsidRDefault="0BC4696C" w14:paraId="28539091" w14:textId="6F3D6E99">
      <w:pPr>
        <w:pStyle w:val="Normal"/>
        <w:spacing w:after="160" w:line="360" w:lineRule="auto"/>
        <w:rPr>
          <w:rFonts w:ascii="Arial" w:hAnsi="Arial" w:eastAsia="Arial" w:cs="Arial"/>
          <w:b w:val="0"/>
          <w:bCs w:val="0"/>
          <w:i w:val="0"/>
          <w:iCs w:val="0"/>
          <w:caps w:val="0"/>
          <w:smallCaps w:val="0"/>
          <w:noProof w:val="0"/>
          <w:color w:val="auto" w:themeColor="text1" w:themeTint="FF" w:themeShade="FF"/>
          <w:sz w:val="24"/>
          <w:szCs w:val="24"/>
          <w:u w:val="single"/>
          <w:lang w:val="en-US"/>
        </w:rPr>
      </w:pPr>
      <w:r w:rsidRPr="4D868132" w:rsidR="3276E7A8">
        <w:rPr>
          <w:rFonts w:ascii="Arial" w:hAnsi="Arial" w:eastAsia="Arial" w:cs="Arial"/>
          <w:b w:val="0"/>
          <w:bCs w:val="0"/>
          <w:i w:val="0"/>
          <w:iCs w:val="0"/>
          <w:caps w:val="0"/>
          <w:smallCaps w:val="0"/>
          <w:noProof w:val="0"/>
          <w:color w:val="auto"/>
          <w:sz w:val="24"/>
          <w:szCs w:val="24"/>
          <w:u w:val="single"/>
          <w:lang w:val="en-US"/>
        </w:rPr>
        <w:t>Bibliography</w:t>
      </w:r>
    </w:p>
    <w:p w:rsidR="0BC4696C" w:rsidP="49AD98FF" w:rsidRDefault="0BC4696C" w14:paraId="6C8F468E" w14:textId="5CA40BA6">
      <w:pPr>
        <w:spacing w:before="240" w:beforeAutospacing="off" w:after="240" w:afterAutospacing="off"/>
        <w:rPr>
          <w:rFonts w:ascii="Arial" w:hAnsi="Arial" w:eastAsia="Arial" w:cs="Arial"/>
          <w:noProof w:val="0"/>
          <w:color w:val="auto"/>
          <w:sz w:val="24"/>
          <w:szCs w:val="24"/>
          <w:lang w:val="en-US"/>
        </w:rPr>
      </w:pPr>
      <w:r w:rsidRPr="49AD98FF" w:rsidR="3276E7A8">
        <w:rPr>
          <w:rFonts w:ascii="Arial" w:hAnsi="Arial" w:eastAsia="Arial" w:cs="Arial"/>
          <w:noProof w:val="0"/>
          <w:color w:val="auto"/>
          <w:sz w:val="24"/>
          <w:szCs w:val="24"/>
          <w:lang w:val="en-US"/>
        </w:rPr>
        <w:t>Brooten, B., "Early Christian Women and their Cultural Context: Issues of Method in Historical Reconstruction," in A. Yarbro Collins (ed.</w:t>
      </w:r>
      <w:r w:rsidRPr="49AD98FF" w:rsidR="7D106552">
        <w:rPr>
          <w:rFonts w:ascii="Arial" w:hAnsi="Arial" w:eastAsia="Arial" w:cs="Arial"/>
          <w:noProof w:val="0"/>
          <w:color w:val="auto"/>
          <w:sz w:val="24"/>
          <w:szCs w:val="24"/>
          <w:lang w:val="en-US"/>
        </w:rPr>
        <w:t>), Feminist</w:t>
      </w:r>
      <w:r w:rsidRPr="49AD98FF" w:rsidR="3276E7A8">
        <w:rPr>
          <w:rFonts w:ascii="Arial" w:hAnsi="Arial" w:eastAsia="Arial" w:cs="Arial"/>
          <w:noProof w:val="0"/>
          <w:color w:val="auto"/>
          <w:sz w:val="24"/>
          <w:szCs w:val="24"/>
          <w:lang w:val="en-US"/>
        </w:rPr>
        <w:t xml:space="preserve"> Perspectives on Biblical Scholarship, (Chico, CA: Scholars, 1985), pp. 65-9 </w:t>
      </w:r>
    </w:p>
    <w:p w:rsidR="0BC4696C" w:rsidP="49AD98FF" w:rsidRDefault="0BC4696C" w14:paraId="408E3B70" w14:textId="3D4002ED">
      <w:pPr>
        <w:spacing w:before="240" w:beforeAutospacing="off" w:after="240" w:afterAutospacing="off"/>
        <w:rPr>
          <w:rFonts w:ascii="Arial" w:hAnsi="Arial" w:eastAsia="Arial" w:cs="Arial"/>
          <w:noProof w:val="0"/>
          <w:color w:val="auto"/>
          <w:sz w:val="24"/>
          <w:szCs w:val="24"/>
          <w:lang w:val="en-US"/>
        </w:rPr>
      </w:pPr>
      <w:r w:rsidRPr="49AD98FF" w:rsidR="3276E7A8">
        <w:rPr>
          <w:rFonts w:ascii="Arial" w:hAnsi="Arial" w:eastAsia="Arial" w:cs="Arial"/>
          <w:noProof w:val="0"/>
          <w:color w:val="auto"/>
          <w:sz w:val="24"/>
          <w:szCs w:val="24"/>
          <w:lang w:val="en-US"/>
        </w:rPr>
        <w:t xml:space="preserve">Corley, K.E., Women and the Historical Jesus: Feminist Myths of Christian Origins, (Santa Rosa, 2002). </w:t>
      </w:r>
    </w:p>
    <w:p w:rsidR="0BC4696C" w:rsidP="49AD98FF" w:rsidRDefault="0BC4696C" w14:paraId="218AF510" w14:textId="65785849">
      <w:pPr>
        <w:spacing w:before="240" w:beforeAutospacing="off" w:after="240" w:afterAutospacing="off"/>
        <w:rPr>
          <w:rFonts w:ascii="Arial" w:hAnsi="Arial" w:eastAsia="Arial" w:cs="Arial"/>
          <w:noProof w:val="0"/>
          <w:color w:val="auto"/>
          <w:sz w:val="24"/>
          <w:szCs w:val="24"/>
          <w:lang w:val="en-US"/>
        </w:rPr>
      </w:pPr>
      <w:r w:rsidRPr="49AD98FF" w:rsidR="3276E7A8">
        <w:rPr>
          <w:rFonts w:ascii="Arial" w:hAnsi="Arial" w:eastAsia="Arial" w:cs="Arial"/>
          <w:noProof w:val="0"/>
          <w:color w:val="auto"/>
          <w:sz w:val="24"/>
          <w:szCs w:val="24"/>
          <w:lang w:val="en-US"/>
        </w:rPr>
        <w:t xml:space="preserve">Dunning, B. H., 'The New Testament and Early Christian Literature in the History of Gender and Sexuality', in Benjamin H. Dunning (ed.), The Oxford Handbook of New Testament, Gender, and Sexuality, Oxford </w:t>
      </w:r>
      <w:r w:rsidRPr="49AD98FF" w:rsidR="44C212C2">
        <w:rPr>
          <w:rFonts w:ascii="Arial" w:hAnsi="Arial" w:eastAsia="Arial" w:cs="Arial"/>
          <w:noProof w:val="0"/>
          <w:color w:val="auto"/>
          <w:sz w:val="24"/>
          <w:szCs w:val="24"/>
          <w:lang w:val="en-US"/>
        </w:rPr>
        <w:t>Handbooks, (</w:t>
      </w:r>
      <w:r w:rsidRPr="49AD98FF" w:rsidR="3276E7A8">
        <w:rPr>
          <w:rFonts w:ascii="Arial" w:hAnsi="Arial" w:eastAsia="Arial" w:cs="Arial"/>
          <w:noProof w:val="0"/>
          <w:color w:val="auto"/>
          <w:sz w:val="24"/>
          <w:szCs w:val="24"/>
          <w:lang w:val="en-US"/>
        </w:rPr>
        <w:t>Oxford Academic, 4 Oct. 2019).</w:t>
      </w:r>
    </w:p>
    <w:p w:rsidR="0BC4696C" w:rsidP="49AD98FF" w:rsidRDefault="0BC4696C" w14:paraId="09F3CD14" w14:textId="188D817F">
      <w:pPr>
        <w:spacing w:before="240" w:beforeAutospacing="off" w:after="240" w:afterAutospacing="off"/>
        <w:rPr>
          <w:rFonts w:ascii="Arial" w:hAnsi="Arial" w:eastAsia="Arial" w:cs="Arial"/>
          <w:noProof w:val="0"/>
          <w:color w:val="auto"/>
          <w:sz w:val="24"/>
          <w:szCs w:val="24"/>
          <w:lang w:val="en-US"/>
        </w:rPr>
      </w:pPr>
      <w:r w:rsidRPr="49AD98FF" w:rsidR="3276E7A8">
        <w:rPr>
          <w:rFonts w:ascii="Arial" w:hAnsi="Arial" w:eastAsia="Arial" w:cs="Arial"/>
          <w:noProof w:val="0"/>
          <w:color w:val="auto"/>
          <w:sz w:val="24"/>
          <w:szCs w:val="24"/>
          <w:lang w:val="en-US"/>
        </w:rPr>
        <w:t xml:space="preserve">Fiorenza, E.S, Sharing Her Word: </w:t>
      </w:r>
      <w:r w:rsidRPr="49AD98FF" w:rsidR="106949E3">
        <w:rPr>
          <w:rFonts w:ascii="Arial" w:hAnsi="Arial" w:eastAsia="Arial" w:cs="Arial"/>
          <w:noProof w:val="0"/>
          <w:color w:val="auto"/>
          <w:sz w:val="24"/>
          <w:szCs w:val="24"/>
          <w:lang w:val="en-US"/>
        </w:rPr>
        <w:t>Feminist</w:t>
      </w:r>
      <w:r w:rsidRPr="49AD98FF" w:rsidR="3276E7A8">
        <w:rPr>
          <w:rFonts w:ascii="Arial" w:hAnsi="Arial" w:eastAsia="Arial" w:cs="Arial"/>
          <w:noProof w:val="0"/>
          <w:color w:val="auto"/>
          <w:sz w:val="24"/>
          <w:szCs w:val="24"/>
          <w:lang w:val="en-US"/>
        </w:rPr>
        <w:t xml:space="preserve"> Biblical Interpretation </w:t>
      </w:r>
      <w:r w:rsidRPr="49AD98FF" w:rsidR="02AC283D">
        <w:rPr>
          <w:rFonts w:ascii="Arial" w:hAnsi="Arial" w:eastAsia="Arial" w:cs="Arial"/>
          <w:noProof w:val="0"/>
          <w:color w:val="auto"/>
          <w:sz w:val="24"/>
          <w:szCs w:val="24"/>
          <w:lang w:val="en-US"/>
        </w:rPr>
        <w:t>in</w:t>
      </w:r>
      <w:r w:rsidRPr="49AD98FF" w:rsidR="3276E7A8">
        <w:rPr>
          <w:rFonts w:ascii="Arial" w:hAnsi="Arial" w:eastAsia="Arial" w:cs="Arial"/>
          <w:noProof w:val="0"/>
          <w:color w:val="auto"/>
          <w:sz w:val="24"/>
          <w:szCs w:val="24"/>
          <w:lang w:val="en-US"/>
        </w:rPr>
        <w:t xml:space="preserve"> Context. (Bloomsbury, 1998). </w:t>
      </w:r>
    </w:p>
    <w:p w:rsidR="0BC4696C" w:rsidP="49AD98FF" w:rsidRDefault="0BC4696C" w14:paraId="42B21D57" w14:textId="2219413C">
      <w:pPr>
        <w:pStyle w:val="Normal"/>
        <w:spacing w:before="240" w:beforeAutospacing="off" w:after="240" w:afterAutospacing="off"/>
        <w:rPr>
          <w:rFonts w:ascii="Arial" w:hAnsi="Arial" w:eastAsia="Arial" w:cs="Arial"/>
          <w:noProof w:val="0"/>
          <w:color w:val="auto"/>
          <w:sz w:val="24"/>
          <w:szCs w:val="24"/>
          <w:lang w:val="en-US"/>
        </w:rPr>
      </w:pPr>
      <w:r w:rsidRPr="4D868132" w:rsidR="213476DE">
        <w:rPr>
          <w:rFonts w:ascii="Arial" w:hAnsi="Arial" w:eastAsia="Arial" w:cs="Arial"/>
          <w:noProof w:val="0"/>
          <w:color w:val="auto"/>
          <w:sz w:val="24"/>
          <w:szCs w:val="24"/>
          <w:lang w:val="en-US"/>
        </w:rPr>
        <w:t xml:space="preserve">George, </w:t>
      </w:r>
      <w:r w:rsidRPr="4D868132" w:rsidR="213476DE">
        <w:rPr>
          <w:rFonts w:ascii="Arial" w:hAnsi="Arial" w:eastAsia="Arial" w:cs="Arial"/>
          <w:noProof w:val="0"/>
          <w:color w:val="auto"/>
          <w:sz w:val="24"/>
          <w:szCs w:val="24"/>
          <w:lang w:val="en-US"/>
        </w:rPr>
        <w:t>E.,Jesus</w:t>
      </w:r>
      <w:r w:rsidRPr="4D868132" w:rsidR="213476DE">
        <w:rPr>
          <w:rFonts w:ascii="Arial" w:hAnsi="Arial" w:eastAsia="Arial" w:cs="Arial"/>
          <w:noProof w:val="0"/>
          <w:color w:val="auto"/>
          <w:sz w:val="24"/>
          <w:szCs w:val="24"/>
          <w:lang w:val="en-US"/>
        </w:rPr>
        <w:t xml:space="preserve"> and Divorce: A Biblical Guide for Ministry to Divorced Persons, (Herald </w:t>
      </w:r>
      <w:r w:rsidRPr="4D868132" w:rsidR="213476DE">
        <w:rPr>
          <w:rFonts w:ascii="Arial" w:hAnsi="Arial" w:eastAsia="Arial" w:cs="Arial"/>
          <w:noProof w:val="0"/>
          <w:color w:val="auto"/>
          <w:sz w:val="24"/>
          <w:szCs w:val="24"/>
          <w:lang w:val="en-US"/>
        </w:rPr>
        <w:t>Pr</w:t>
      </w:r>
      <w:r w:rsidRPr="4D868132" w:rsidR="213476DE">
        <w:rPr>
          <w:rFonts w:ascii="Arial" w:hAnsi="Arial" w:eastAsia="Arial" w:cs="Arial"/>
          <w:noProof w:val="0"/>
          <w:color w:val="auto"/>
          <w:sz w:val="24"/>
          <w:szCs w:val="24"/>
          <w:lang w:val="en-US"/>
        </w:rPr>
        <w:t xml:space="preserve">, 1991). </w:t>
      </w:r>
    </w:p>
    <w:p w:rsidR="0BC4696C" w:rsidP="49AD98FF" w:rsidRDefault="0BC4696C" w14:paraId="0E1F9F40" w14:textId="7D12264C">
      <w:pPr>
        <w:pStyle w:val="Normal"/>
        <w:spacing w:before="240" w:beforeAutospacing="off" w:after="240" w:afterAutospacing="off"/>
        <w:rPr>
          <w:rFonts w:ascii="Arial" w:hAnsi="Arial" w:eastAsia="Arial" w:cs="Arial"/>
          <w:noProof w:val="0"/>
          <w:color w:val="auto"/>
          <w:sz w:val="24"/>
          <w:szCs w:val="24"/>
          <w:lang w:val="en-US"/>
        </w:rPr>
      </w:pPr>
      <w:r w:rsidRPr="49AD98FF" w:rsidR="3276E7A8">
        <w:rPr>
          <w:rFonts w:ascii="Arial" w:hAnsi="Arial" w:eastAsia="Arial" w:cs="Arial"/>
          <w:noProof w:val="0"/>
          <w:color w:val="auto"/>
          <w:sz w:val="24"/>
          <w:szCs w:val="24"/>
          <w:lang w:val="en-US"/>
        </w:rPr>
        <w:t xml:space="preserve">Haber, S., A Woman’s Touch: Feminist Encounters with the Hemorrhaging Woman in Mark 5.24-34. Journal for the Study of the New Testament, 26(2), (2003), pp. 171-192. </w:t>
      </w:r>
    </w:p>
    <w:p w:rsidR="0BC4696C" w:rsidP="49AD98FF" w:rsidRDefault="0BC4696C" w14:paraId="5D549A48" w14:textId="0F9FB6D8">
      <w:pPr>
        <w:spacing w:before="240" w:beforeAutospacing="off" w:after="240" w:afterAutospacing="off"/>
        <w:rPr>
          <w:rFonts w:ascii="Arial" w:hAnsi="Arial" w:eastAsia="Arial" w:cs="Arial"/>
          <w:noProof w:val="0"/>
          <w:color w:val="auto"/>
          <w:sz w:val="24"/>
          <w:szCs w:val="24"/>
          <w:lang w:val="en-US"/>
        </w:rPr>
      </w:pPr>
      <w:r w:rsidRPr="4D868132" w:rsidR="3276E7A8">
        <w:rPr>
          <w:rFonts w:ascii="Arial" w:hAnsi="Arial" w:eastAsia="Arial" w:cs="Arial"/>
          <w:noProof w:val="0"/>
          <w:color w:val="auto"/>
          <w:sz w:val="24"/>
          <w:szCs w:val="24"/>
          <w:lang w:val="en-US"/>
        </w:rPr>
        <w:t xml:space="preserve"> </w:t>
      </w:r>
      <w:r w:rsidRPr="4D868132" w:rsidR="3276E7A8">
        <w:rPr>
          <w:rFonts w:ascii="Arial" w:hAnsi="Arial" w:eastAsia="Arial" w:cs="Arial"/>
          <w:noProof w:val="0"/>
          <w:color w:val="auto"/>
          <w:sz w:val="24"/>
          <w:szCs w:val="24"/>
          <w:lang w:val="en-US"/>
        </w:rPr>
        <w:t xml:space="preserve">Ilan, T., "In the Footsteps of Jesus: Jewish Women in a Jewish Movement". In Transformative Encounters, (Leiden, The Netherlands: Brill, 2000). </w:t>
      </w:r>
    </w:p>
    <w:p w:rsidR="0BC4696C" w:rsidP="49AD98FF" w:rsidRDefault="0BC4696C" w14:paraId="19FB4FDC" w14:textId="30B99FA0">
      <w:pPr>
        <w:spacing w:before="240" w:beforeAutospacing="off" w:after="240" w:afterAutospacing="off"/>
        <w:rPr>
          <w:rFonts w:ascii="Arial" w:hAnsi="Arial" w:eastAsia="Arial" w:cs="Arial"/>
          <w:noProof w:val="0"/>
          <w:color w:val="auto"/>
          <w:sz w:val="24"/>
          <w:szCs w:val="24"/>
          <w:lang w:val="en-US"/>
        </w:rPr>
      </w:pPr>
      <w:r w:rsidRPr="4D868132" w:rsidR="3276E7A8">
        <w:rPr>
          <w:rFonts w:ascii="Arial" w:hAnsi="Arial" w:eastAsia="Arial" w:cs="Arial"/>
          <w:noProof w:val="0"/>
          <w:color w:val="auto"/>
          <w:sz w:val="24"/>
          <w:szCs w:val="24"/>
          <w:lang w:val="en-US"/>
        </w:rPr>
        <w:t xml:space="preserve"> </w:t>
      </w:r>
      <w:r w:rsidRPr="4D868132" w:rsidR="3276E7A8">
        <w:rPr>
          <w:rFonts w:ascii="Arial" w:hAnsi="Arial" w:eastAsia="Arial" w:cs="Arial"/>
          <w:noProof w:val="0"/>
          <w:color w:val="auto"/>
          <w:sz w:val="24"/>
          <w:szCs w:val="24"/>
          <w:lang w:val="en-US"/>
        </w:rPr>
        <w:t xml:space="preserve">Ilan, T., Jewish women in Greco-Roman </w:t>
      </w:r>
      <w:r w:rsidRPr="4D868132" w:rsidR="68705828">
        <w:rPr>
          <w:rFonts w:ascii="Arial" w:hAnsi="Arial" w:eastAsia="Arial" w:cs="Arial"/>
          <w:noProof w:val="0"/>
          <w:color w:val="auto"/>
          <w:sz w:val="24"/>
          <w:szCs w:val="24"/>
          <w:lang w:val="en-US"/>
        </w:rPr>
        <w:t>Palestine, (</w:t>
      </w:r>
      <w:r w:rsidRPr="4D868132" w:rsidR="3276E7A8">
        <w:rPr>
          <w:rFonts w:ascii="Arial" w:hAnsi="Arial" w:eastAsia="Arial" w:cs="Arial"/>
          <w:noProof w:val="0"/>
          <w:color w:val="auto"/>
          <w:sz w:val="24"/>
          <w:szCs w:val="24"/>
          <w:lang w:val="en-US"/>
        </w:rPr>
        <w:t>Hendrickson Publishers,1996)</w:t>
      </w:r>
      <w:r w:rsidRPr="4D868132" w:rsidR="3276E7A8">
        <w:rPr>
          <w:rFonts w:ascii="Arial" w:hAnsi="Arial" w:eastAsia="Arial" w:cs="Arial"/>
          <w:noProof w:val="0"/>
          <w:color w:val="auto"/>
          <w:sz w:val="24"/>
          <w:szCs w:val="24"/>
          <w:lang w:val="en-US"/>
        </w:rPr>
        <w:t xml:space="preserve">.  </w:t>
      </w:r>
    </w:p>
    <w:p w:rsidR="0BC4696C" w:rsidP="49AD98FF" w:rsidRDefault="0BC4696C" w14:paraId="3651DEEB" w14:textId="0AFD4D54">
      <w:pPr>
        <w:spacing w:before="240" w:beforeAutospacing="off" w:after="240" w:afterAutospacing="off"/>
        <w:rPr>
          <w:rFonts w:ascii="Arial" w:hAnsi="Arial" w:eastAsia="Arial" w:cs="Arial"/>
          <w:noProof w:val="0"/>
          <w:color w:val="auto"/>
          <w:sz w:val="24"/>
          <w:szCs w:val="24"/>
          <w:lang w:val="en-US"/>
        </w:rPr>
      </w:pPr>
      <w:r w:rsidRPr="4D868132" w:rsidR="3276E7A8">
        <w:rPr>
          <w:rFonts w:ascii="Arial" w:hAnsi="Arial" w:eastAsia="Arial" w:cs="Arial"/>
          <w:noProof w:val="0"/>
          <w:color w:val="auto"/>
          <w:sz w:val="24"/>
          <w:szCs w:val="24"/>
          <w:lang w:val="en-US"/>
        </w:rPr>
        <w:t xml:space="preserve"> </w:t>
      </w:r>
      <w:r w:rsidRPr="4D868132" w:rsidR="3276E7A8">
        <w:rPr>
          <w:rFonts w:ascii="Arial" w:hAnsi="Arial" w:eastAsia="Arial" w:cs="Arial"/>
          <w:noProof w:val="0"/>
          <w:color w:val="auto"/>
          <w:sz w:val="24"/>
          <w:szCs w:val="24"/>
          <w:lang w:val="en-US"/>
        </w:rPr>
        <w:t>Josephus. Jewish Antiquities, Volume I: Books 1-3. Translated by H. St. J. Thackeray.</w:t>
      </w:r>
    </w:p>
    <w:p w:rsidR="0BC4696C" w:rsidP="49AD98FF" w:rsidRDefault="0BC4696C" w14:paraId="0DDBFD62" w14:textId="13FAE0C7">
      <w:pPr>
        <w:pStyle w:val="Normal"/>
        <w:spacing w:before="240" w:beforeAutospacing="off" w:after="240" w:afterAutospacing="off"/>
        <w:rPr>
          <w:rFonts w:ascii="Arial" w:hAnsi="Arial" w:eastAsia="Arial" w:cs="Arial"/>
          <w:noProof w:val="0"/>
          <w:color w:val="auto"/>
          <w:sz w:val="24"/>
          <w:szCs w:val="24"/>
          <w:lang w:val="en-US"/>
        </w:rPr>
      </w:pPr>
      <w:r w:rsidRPr="4D868132" w:rsidR="34ED3929">
        <w:rPr>
          <w:rFonts w:ascii="Arial" w:hAnsi="Arial" w:eastAsia="Arial" w:cs="Arial"/>
          <w:noProof w:val="0"/>
          <w:color w:val="auto"/>
          <w:sz w:val="24"/>
          <w:szCs w:val="24"/>
          <w:lang w:val="en-US"/>
        </w:rPr>
        <w:t xml:space="preserve">Levine, </w:t>
      </w:r>
      <w:r w:rsidRPr="4D868132" w:rsidR="34ED3929">
        <w:rPr>
          <w:rFonts w:ascii="Arial" w:hAnsi="Arial" w:eastAsia="Arial" w:cs="Arial"/>
          <w:noProof w:val="0"/>
          <w:color w:val="auto"/>
          <w:sz w:val="24"/>
          <w:szCs w:val="24"/>
          <w:lang w:val="en-US"/>
        </w:rPr>
        <w:t>A.J.,“Jesus</w:t>
      </w:r>
      <w:r w:rsidRPr="4D868132" w:rsidR="34ED3929">
        <w:rPr>
          <w:rFonts w:ascii="Arial" w:hAnsi="Arial" w:eastAsia="Arial" w:cs="Arial"/>
          <w:noProof w:val="0"/>
          <w:color w:val="auto"/>
          <w:sz w:val="24"/>
          <w:szCs w:val="24"/>
          <w:lang w:val="en-US"/>
        </w:rPr>
        <w:t xml:space="preserve">, Divorce, and Sexuality: A Jewish Critique,” B. Lebeau, L. Greenspoon, and D. Hamm (eds,) The Historical Jesus Through Catholic </w:t>
      </w:r>
      <w:r w:rsidRPr="4D868132" w:rsidR="34ED3929">
        <w:rPr>
          <w:rFonts w:ascii="Arial" w:hAnsi="Arial" w:eastAsia="Arial" w:cs="Arial"/>
          <w:noProof w:val="0"/>
          <w:color w:val="auto"/>
          <w:sz w:val="24"/>
          <w:szCs w:val="24"/>
          <w:lang w:val="en-US"/>
        </w:rPr>
        <w:t>an</w:t>
      </w:r>
      <w:r w:rsidRPr="4D868132" w:rsidR="34ED3929">
        <w:rPr>
          <w:rFonts w:ascii="Arial" w:hAnsi="Arial" w:eastAsia="Arial" w:cs="Arial"/>
          <w:noProof w:val="0"/>
          <w:color w:val="auto"/>
          <w:sz w:val="24"/>
          <w:szCs w:val="24"/>
          <w:lang w:val="en-US"/>
        </w:rPr>
        <w:t xml:space="preserve"> Jewish </w:t>
      </w:r>
      <w:r w:rsidRPr="4D868132" w:rsidR="34ED3929">
        <w:rPr>
          <w:rFonts w:ascii="Arial" w:hAnsi="Arial" w:eastAsia="Arial" w:cs="Arial"/>
          <w:noProof w:val="0"/>
          <w:color w:val="auto"/>
          <w:sz w:val="24"/>
          <w:szCs w:val="24"/>
          <w:lang w:val="en-US"/>
        </w:rPr>
        <w:t>eyes.(</w:t>
      </w:r>
      <w:r w:rsidRPr="4D868132" w:rsidR="34ED3929">
        <w:rPr>
          <w:rFonts w:ascii="Arial" w:hAnsi="Arial" w:eastAsia="Arial" w:cs="Arial"/>
          <w:noProof w:val="0"/>
          <w:color w:val="auto"/>
          <w:sz w:val="24"/>
          <w:szCs w:val="24"/>
          <w:lang w:val="en-US"/>
        </w:rPr>
        <w:t xml:space="preserve">Trinity Press International, 2000). </w:t>
      </w:r>
    </w:p>
    <w:p w:rsidR="0BC4696C" w:rsidP="49AD98FF" w:rsidRDefault="0BC4696C" w14:paraId="15F5B99B" w14:textId="2D1E000D">
      <w:pPr>
        <w:pStyle w:val="Normal"/>
        <w:spacing w:before="240" w:beforeAutospacing="off" w:after="240" w:afterAutospacing="off"/>
        <w:rPr>
          <w:rFonts w:ascii="Arial" w:hAnsi="Arial" w:eastAsia="Arial" w:cs="Arial"/>
          <w:noProof w:val="0"/>
          <w:color w:val="auto"/>
          <w:sz w:val="24"/>
          <w:szCs w:val="24"/>
          <w:lang w:val="en-US"/>
        </w:rPr>
      </w:pPr>
      <w:r w:rsidRPr="4D868132" w:rsidR="3276E7A8">
        <w:rPr>
          <w:rFonts w:ascii="Arial" w:hAnsi="Arial" w:eastAsia="Arial" w:cs="Arial"/>
          <w:noProof w:val="0"/>
          <w:color w:val="auto"/>
          <w:sz w:val="24"/>
          <w:szCs w:val="24"/>
          <w:lang w:val="en-US"/>
        </w:rPr>
        <w:t>Levine, A.J., “Second Temple Judaism, Jesus, and Women: Yeast of Eden</w:t>
      </w:r>
      <w:r w:rsidRPr="4D868132" w:rsidR="3276E7A8">
        <w:rPr>
          <w:rFonts w:ascii="Arial" w:hAnsi="Arial" w:eastAsia="Arial" w:cs="Arial"/>
          <w:noProof w:val="0"/>
          <w:color w:val="auto"/>
          <w:sz w:val="24"/>
          <w:szCs w:val="24"/>
          <w:lang w:val="en-US"/>
        </w:rPr>
        <w:t>”,</w:t>
      </w:r>
      <w:r w:rsidRPr="4D868132" w:rsidR="3276E7A8">
        <w:rPr>
          <w:rFonts w:ascii="Arial" w:hAnsi="Arial" w:eastAsia="Arial" w:cs="Arial"/>
          <w:noProof w:val="0"/>
          <w:color w:val="auto"/>
          <w:sz w:val="24"/>
          <w:szCs w:val="24"/>
          <w:lang w:val="en-US"/>
        </w:rPr>
        <w:t xml:space="preserve"> A Feminist Companion to the Hebrew Bible in the New Testament, ed. A. Brenner, (Sheffield, 1996) pp. 302-331.</w:t>
      </w:r>
    </w:p>
    <w:p w:rsidR="0BC4696C" w:rsidP="4D868132" w:rsidRDefault="0BC4696C" w14:paraId="7640F4CC" w14:textId="2E74C277">
      <w:pPr>
        <w:spacing w:before="240" w:beforeAutospacing="off" w:after="240" w:afterAutospacing="off"/>
        <w:rPr>
          <w:rFonts w:ascii="Arial" w:hAnsi="Arial" w:eastAsia="Arial" w:cs="Arial"/>
          <w:noProof w:val="0"/>
          <w:color w:val="auto"/>
          <w:sz w:val="24"/>
          <w:szCs w:val="24"/>
          <w:lang w:val="en-US"/>
        </w:rPr>
      </w:pPr>
      <w:r w:rsidRPr="4D868132" w:rsidR="630DD962">
        <w:rPr>
          <w:rFonts w:ascii="Arial" w:hAnsi="Arial" w:eastAsia="Arial" w:cs="Arial"/>
          <w:noProof w:val="0"/>
          <w:sz w:val="24"/>
          <w:szCs w:val="24"/>
          <w:lang w:val="en-US"/>
        </w:rPr>
        <w:t xml:space="preserve">Jacob Milgrom, Leviticus: </w:t>
      </w:r>
      <w:r w:rsidRPr="4D868132" w:rsidR="630DD962">
        <w:rPr>
          <w:rFonts w:ascii="Arial" w:hAnsi="Arial" w:eastAsia="Arial" w:cs="Arial"/>
          <w:noProof w:val="0"/>
          <w:sz w:val="24"/>
          <w:szCs w:val="24"/>
          <w:lang w:val="en-US"/>
        </w:rPr>
        <w:t>a</w:t>
      </w:r>
      <w:r w:rsidRPr="4D868132" w:rsidR="630DD962">
        <w:rPr>
          <w:rFonts w:ascii="Arial" w:hAnsi="Arial" w:eastAsia="Arial" w:cs="Arial"/>
          <w:noProof w:val="0"/>
          <w:sz w:val="24"/>
          <w:szCs w:val="24"/>
          <w:lang w:val="en-US"/>
        </w:rPr>
        <w:t xml:space="preserve"> Book of Ritual and Ethics, (Minneapolis, MN: Fortress Press, 2004). </w:t>
      </w:r>
    </w:p>
    <w:p w:rsidR="0BC4696C" w:rsidP="49AD98FF" w:rsidRDefault="0BC4696C" w14:paraId="47B44E08" w14:textId="561DB286">
      <w:pPr>
        <w:spacing w:before="240" w:beforeAutospacing="off" w:after="240" w:afterAutospacing="off"/>
        <w:rPr>
          <w:rFonts w:ascii="Arial" w:hAnsi="Arial" w:eastAsia="Arial" w:cs="Arial"/>
          <w:noProof w:val="0"/>
          <w:color w:val="auto"/>
          <w:sz w:val="24"/>
          <w:szCs w:val="24"/>
          <w:lang w:val="en-US"/>
        </w:rPr>
      </w:pPr>
      <w:r w:rsidRPr="4D868132" w:rsidR="3276E7A8">
        <w:rPr>
          <w:rFonts w:ascii="Arial" w:hAnsi="Arial" w:eastAsia="Arial" w:cs="Arial"/>
          <w:noProof w:val="0"/>
          <w:color w:val="auto"/>
          <w:sz w:val="24"/>
          <w:szCs w:val="24"/>
          <w:lang w:val="en-US"/>
        </w:rPr>
        <w:t>Muonwe</w:t>
      </w:r>
      <w:r w:rsidRPr="4D868132" w:rsidR="3276E7A8">
        <w:rPr>
          <w:rFonts w:ascii="Arial" w:hAnsi="Arial" w:eastAsia="Arial" w:cs="Arial"/>
          <w:noProof w:val="0"/>
          <w:color w:val="auto"/>
          <w:sz w:val="24"/>
          <w:szCs w:val="24"/>
          <w:lang w:val="en-US"/>
        </w:rPr>
        <w:t>, M., "Jesus' Teaching on Divorce: Lessons for Fruitful Feminist Engagement with Society." The International Journal of Religion and Spirituality in Society 6 (4), (2016</w:t>
      </w:r>
      <w:r w:rsidRPr="4D868132" w:rsidR="3276E7A8">
        <w:rPr>
          <w:rFonts w:ascii="Arial" w:hAnsi="Arial" w:eastAsia="Arial" w:cs="Arial"/>
          <w:noProof w:val="0"/>
          <w:color w:val="auto"/>
          <w:sz w:val="24"/>
          <w:szCs w:val="24"/>
          <w:lang w:val="en-US"/>
        </w:rPr>
        <w:t>),pp.</w:t>
      </w:r>
      <w:r w:rsidRPr="4D868132" w:rsidR="3276E7A8">
        <w:rPr>
          <w:rFonts w:ascii="Arial" w:hAnsi="Arial" w:eastAsia="Arial" w:cs="Arial"/>
          <w:noProof w:val="0"/>
          <w:color w:val="auto"/>
          <w:sz w:val="24"/>
          <w:szCs w:val="24"/>
          <w:lang w:val="en-US"/>
        </w:rPr>
        <w:t xml:space="preserve"> 1-12.</w:t>
      </w:r>
    </w:p>
    <w:p w:rsidR="0BC4696C" w:rsidP="49AD98FF" w:rsidRDefault="0BC4696C" w14:paraId="593D781B" w14:textId="7573795D">
      <w:pPr>
        <w:spacing w:before="240" w:beforeAutospacing="off" w:after="240" w:afterAutospacing="off"/>
        <w:rPr>
          <w:rFonts w:ascii="Arial" w:hAnsi="Arial" w:eastAsia="Arial" w:cs="Arial"/>
          <w:noProof w:val="0"/>
          <w:color w:val="auto"/>
          <w:sz w:val="24"/>
          <w:szCs w:val="24"/>
          <w:lang w:val="en-US"/>
        </w:rPr>
      </w:pPr>
      <w:r w:rsidRPr="4D868132" w:rsidR="3276E7A8">
        <w:rPr>
          <w:rFonts w:ascii="Arial" w:hAnsi="Arial" w:eastAsia="Arial" w:cs="Arial"/>
          <w:noProof w:val="0"/>
          <w:color w:val="auto"/>
          <w:sz w:val="24"/>
          <w:szCs w:val="24"/>
          <w:lang w:val="en-US"/>
        </w:rPr>
        <w:t xml:space="preserve"> </w:t>
      </w:r>
      <w:r w:rsidRPr="4D868132" w:rsidR="3276E7A8">
        <w:rPr>
          <w:rFonts w:ascii="Arial" w:hAnsi="Arial" w:eastAsia="Arial" w:cs="Arial"/>
          <w:noProof w:val="0"/>
          <w:color w:val="auto"/>
          <w:sz w:val="24"/>
          <w:szCs w:val="24"/>
          <w:lang w:val="en-US"/>
        </w:rPr>
        <w:t>Plaskow</w:t>
      </w:r>
      <w:r w:rsidRPr="4D868132" w:rsidR="3276E7A8">
        <w:rPr>
          <w:rFonts w:ascii="Arial" w:hAnsi="Arial" w:eastAsia="Arial" w:cs="Arial"/>
          <w:noProof w:val="0"/>
          <w:color w:val="auto"/>
          <w:sz w:val="24"/>
          <w:szCs w:val="24"/>
          <w:lang w:val="en-US"/>
        </w:rPr>
        <w:t>, J., “Anti-Judaism in Feminist Christian Interpretation</w:t>
      </w:r>
      <w:r w:rsidRPr="4D868132" w:rsidR="3276E7A8">
        <w:rPr>
          <w:rFonts w:ascii="Arial" w:hAnsi="Arial" w:eastAsia="Arial" w:cs="Arial"/>
          <w:noProof w:val="0"/>
          <w:color w:val="auto"/>
          <w:sz w:val="24"/>
          <w:szCs w:val="24"/>
          <w:lang w:val="en-US"/>
        </w:rPr>
        <w:t>”,</w:t>
      </w:r>
      <w:r w:rsidRPr="4D868132" w:rsidR="3276E7A8">
        <w:rPr>
          <w:rFonts w:ascii="Arial" w:hAnsi="Arial" w:eastAsia="Arial" w:cs="Arial"/>
          <w:noProof w:val="0"/>
          <w:color w:val="auto"/>
          <w:sz w:val="24"/>
          <w:szCs w:val="24"/>
          <w:lang w:val="en-US"/>
        </w:rPr>
        <w:t xml:space="preserve"> Searching the Scriptures, Vol. 1: A Feminist Introduction, ed. Fiorenza E.S, (London, 1993</w:t>
      </w:r>
      <w:r w:rsidRPr="4D868132" w:rsidR="7ED2CD87">
        <w:rPr>
          <w:rFonts w:ascii="Arial" w:hAnsi="Arial" w:eastAsia="Arial" w:cs="Arial"/>
          <w:noProof w:val="0"/>
          <w:color w:val="auto"/>
          <w:sz w:val="24"/>
          <w:szCs w:val="24"/>
          <w:lang w:val="en-US"/>
        </w:rPr>
        <w:t>), pp.</w:t>
      </w:r>
      <w:r w:rsidRPr="4D868132" w:rsidR="3276E7A8">
        <w:rPr>
          <w:rFonts w:ascii="Arial" w:hAnsi="Arial" w:eastAsia="Arial" w:cs="Arial"/>
          <w:noProof w:val="0"/>
          <w:color w:val="auto"/>
          <w:sz w:val="24"/>
          <w:szCs w:val="24"/>
          <w:lang w:val="en-US"/>
        </w:rPr>
        <w:t xml:space="preserve"> 117-129.</w:t>
      </w:r>
    </w:p>
    <w:p w:rsidR="0BC4696C" w:rsidP="49AD98FF" w:rsidRDefault="0BC4696C" w14:paraId="23D62AEB" w14:textId="6AAEB4B5">
      <w:pPr>
        <w:spacing w:before="240" w:beforeAutospacing="off" w:after="240" w:afterAutospacing="off"/>
        <w:rPr>
          <w:rFonts w:ascii="Arial" w:hAnsi="Arial" w:eastAsia="Arial" w:cs="Arial"/>
          <w:noProof w:val="0"/>
          <w:color w:val="auto"/>
          <w:sz w:val="24"/>
          <w:szCs w:val="24"/>
          <w:lang w:val="en-US"/>
        </w:rPr>
      </w:pPr>
      <w:r w:rsidRPr="49AD98FF" w:rsidR="3276E7A8">
        <w:rPr>
          <w:rFonts w:ascii="Arial" w:hAnsi="Arial" w:eastAsia="Arial" w:cs="Arial"/>
          <w:noProof w:val="0"/>
          <w:color w:val="auto"/>
          <w:sz w:val="24"/>
          <w:szCs w:val="24"/>
          <w:lang w:val="en-US"/>
        </w:rPr>
        <w:t xml:space="preserve">Swidler, </w:t>
      </w:r>
      <w:r w:rsidRPr="49AD98FF" w:rsidR="1AFA6A3C">
        <w:rPr>
          <w:rFonts w:ascii="Arial" w:hAnsi="Arial" w:eastAsia="Arial" w:cs="Arial"/>
          <w:noProof w:val="0"/>
          <w:color w:val="auto"/>
          <w:sz w:val="24"/>
          <w:szCs w:val="24"/>
          <w:lang w:val="en-US"/>
        </w:rPr>
        <w:t>L</w:t>
      </w:r>
      <w:r w:rsidRPr="49AD98FF" w:rsidR="3276E7A8">
        <w:rPr>
          <w:rFonts w:ascii="Arial" w:hAnsi="Arial" w:eastAsia="Arial" w:cs="Arial"/>
          <w:noProof w:val="0"/>
          <w:color w:val="auto"/>
          <w:sz w:val="24"/>
          <w:szCs w:val="24"/>
          <w:lang w:val="en-US"/>
        </w:rPr>
        <w:t xml:space="preserve">., Jesus Was a Feminist: What the Gospels Reveal about His Revolutionary </w:t>
      </w:r>
      <w:r w:rsidRPr="49AD98FF" w:rsidR="520837C3">
        <w:rPr>
          <w:rFonts w:ascii="Arial" w:hAnsi="Arial" w:eastAsia="Arial" w:cs="Arial"/>
          <w:noProof w:val="0"/>
          <w:color w:val="auto"/>
          <w:sz w:val="24"/>
          <w:szCs w:val="24"/>
          <w:lang w:val="en-US"/>
        </w:rPr>
        <w:t>Perspective. (</w:t>
      </w:r>
      <w:r w:rsidRPr="49AD98FF" w:rsidR="3276E7A8">
        <w:rPr>
          <w:rFonts w:ascii="Arial" w:hAnsi="Arial" w:eastAsia="Arial" w:cs="Arial"/>
          <w:noProof w:val="0"/>
          <w:color w:val="auto"/>
          <w:sz w:val="24"/>
          <w:szCs w:val="24"/>
          <w:lang w:val="en-US"/>
        </w:rPr>
        <w:t>Sheed &amp; Ward, 2007).</w:t>
      </w:r>
    </w:p>
    <w:p w:rsidR="0BC4696C" w:rsidP="49AD98FF" w:rsidRDefault="0BC4696C" w14:paraId="7A8D4981" w14:textId="119D0E23">
      <w:pPr>
        <w:spacing w:before="240" w:beforeAutospacing="off" w:after="240" w:afterAutospacing="off"/>
        <w:rPr>
          <w:rFonts w:ascii="Arial" w:hAnsi="Arial" w:eastAsia="Arial" w:cs="Arial"/>
          <w:noProof w:val="0"/>
          <w:color w:val="auto"/>
          <w:sz w:val="24"/>
          <w:szCs w:val="24"/>
          <w:lang w:val="en-US"/>
        </w:rPr>
      </w:pPr>
      <w:r w:rsidRPr="4D868132" w:rsidR="3276E7A8">
        <w:rPr>
          <w:rFonts w:ascii="Arial" w:hAnsi="Arial" w:eastAsia="Arial" w:cs="Arial"/>
          <w:noProof w:val="0"/>
          <w:color w:val="auto"/>
          <w:sz w:val="24"/>
          <w:szCs w:val="24"/>
          <w:lang w:val="en-US"/>
        </w:rPr>
        <w:t xml:space="preserve"> </w:t>
      </w:r>
      <w:r w:rsidRPr="4D868132" w:rsidR="3276E7A8">
        <w:rPr>
          <w:rFonts w:ascii="Arial" w:hAnsi="Arial" w:eastAsia="Arial" w:cs="Arial"/>
          <w:noProof w:val="0"/>
          <w:color w:val="auto"/>
          <w:sz w:val="24"/>
          <w:szCs w:val="24"/>
          <w:lang w:val="en-US"/>
        </w:rPr>
        <w:t xml:space="preserve">Witherington, B., ''Women in the Ministry of Jesus'', Women and the Genesis of </w:t>
      </w:r>
      <w:r w:rsidRPr="4D868132" w:rsidR="01C841D9">
        <w:rPr>
          <w:rFonts w:ascii="Arial" w:hAnsi="Arial" w:eastAsia="Arial" w:cs="Arial"/>
          <w:noProof w:val="0"/>
          <w:color w:val="auto"/>
          <w:sz w:val="24"/>
          <w:szCs w:val="24"/>
          <w:lang w:val="en-US"/>
        </w:rPr>
        <w:t>Christianity, (</w:t>
      </w:r>
      <w:r w:rsidRPr="4D868132" w:rsidR="3276E7A8">
        <w:rPr>
          <w:rFonts w:ascii="Arial" w:hAnsi="Arial" w:eastAsia="Arial" w:cs="Arial"/>
          <w:noProof w:val="0"/>
          <w:color w:val="auto"/>
          <w:sz w:val="24"/>
          <w:szCs w:val="24"/>
          <w:lang w:val="en-US"/>
        </w:rPr>
        <w:t xml:space="preserve">Cambridge, 1990). </w:t>
      </w:r>
    </w:p>
    <w:p w:rsidR="0BC4696C" w:rsidP="49AD98FF" w:rsidRDefault="0BC4696C" w14:paraId="4C61D073" w14:textId="2C9268DD">
      <w:pPr>
        <w:spacing w:before="240" w:beforeAutospacing="off" w:after="240" w:afterAutospacing="off"/>
        <w:rPr>
          <w:rFonts w:ascii="Arial" w:hAnsi="Arial" w:eastAsia="Arial" w:cs="Arial"/>
          <w:noProof w:val="0"/>
          <w:color w:val="auto"/>
          <w:sz w:val="24"/>
          <w:szCs w:val="24"/>
          <w:lang w:val="en-US"/>
        </w:rPr>
      </w:pPr>
      <w:r w:rsidRPr="4D868132" w:rsidR="3276E7A8">
        <w:rPr>
          <w:rFonts w:ascii="Arial" w:hAnsi="Arial" w:eastAsia="Arial" w:cs="Arial"/>
          <w:noProof w:val="0"/>
          <w:color w:val="auto"/>
          <w:sz w:val="24"/>
          <w:szCs w:val="24"/>
          <w:lang w:val="en-US"/>
        </w:rPr>
        <w:t xml:space="preserve"> </w:t>
      </w:r>
      <w:r w:rsidRPr="4D868132" w:rsidR="3276E7A8">
        <w:rPr>
          <w:rFonts w:ascii="Arial" w:hAnsi="Arial" w:eastAsia="Arial" w:cs="Arial"/>
          <w:noProof w:val="0"/>
          <w:color w:val="auto"/>
          <w:sz w:val="24"/>
          <w:szCs w:val="24"/>
          <w:lang w:val="en-US"/>
        </w:rPr>
        <w:t xml:space="preserve">Witherington, B., 'Women in the parables and Judgement sayings, </w:t>
      </w:r>
      <w:r w:rsidRPr="4D868132" w:rsidR="3276E7A8">
        <w:rPr>
          <w:rFonts w:ascii="Arial" w:hAnsi="Arial" w:eastAsia="Arial" w:cs="Arial"/>
          <w:noProof w:val="0"/>
          <w:color w:val="auto"/>
          <w:sz w:val="24"/>
          <w:szCs w:val="24"/>
          <w:lang w:val="en-US"/>
        </w:rPr>
        <w:t>Women</w:t>
      </w:r>
      <w:r w:rsidRPr="4D868132" w:rsidR="3276E7A8">
        <w:rPr>
          <w:rFonts w:ascii="Arial" w:hAnsi="Arial" w:eastAsia="Arial" w:cs="Arial"/>
          <w:noProof w:val="0"/>
          <w:color w:val="auto"/>
          <w:sz w:val="24"/>
          <w:szCs w:val="24"/>
          <w:lang w:val="en-US"/>
        </w:rPr>
        <w:t xml:space="preserve"> and the Genesis of </w:t>
      </w:r>
      <w:r w:rsidRPr="4D868132" w:rsidR="17C98AAC">
        <w:rPr>
          <w:rFonts w:ascii="Arial" w:hAnsi="Arial" w:eastAsia="Arial" w:cs="Arial"/>
          <w:noProof w:val="0"/>
          <w:color w:val="auto"/>
          <w:sz w:val="24"/>
          <w:szCs w:val="24"/>
          <w:lang w:val="en-US"/>
        </w:rPr>
        <w:t>Christianity (</w:t>
      </w:r>
      <w:r w:rsidRPr="4D868132" w:rsidR="3276E7A8">
        <w:rPr>
          <w:rFonts w:ascii="Arial" w:hAnsi="Arial" w:eastAsia="Arial" w:cs="Arial"/>
          <w:noProof w:val="0"/>
          <w:color w:val="auto"/>
          <w:sz w:val="24"/>
          <w:szCs w:val="24"/>
          <w:lang w:val="en-US"/>
        </w:rPr>
        <w:t>Cambridge, 1990).</w:t>
      </w:r>
    </w:p>
    <w:p w:rsidR="51EC1495" w:rsidP="51EC1495" w:rsidRDefault="51EC1495" w14:paraId="56F06D1C" w14:textId="0D0A78FB">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51EC1495" w:rsidP="51EC1495" w:rsidRDefault="51EC1495" w14:paraId="39106016" w14:textId="5053CFA1">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51EC1495" w:rsidRDefault="51EC1495" w14:paraId="365D1159" w14:textId="6936CF6E">
      <w:pPr>
        <w:spacing w:after="0" w:line="240" w:lineRule="auto"/>
      </w:pPr>
      <w:r>
        <w:separator/>
      </w:r>
    </w:p>
  </w:footnote>
  <w:footnote w:type="continuationSeparator" w:id="0">
    <w:p w:rsidR="51EC1495" w:rsidRDefault="51EC1495" w14:paraId="6B8C7DFC" w14:textId="6DE521CE">
      <w:pPr>
        <w:spacing w:after="0" w:line="240" w:lineRule="auto"/>
      </w:pPr>
      <w:r>
        <w:continuationSeparator/>
      </w:r>
    </w:p>
  </w:footnote>
  <w:footnote w:id="6185">
    <w:p w:rsidR="51EC1495" w:rsidP="51EC1495" w:rsidRDefault="51EC1495" w14:paraId="66EAAD38" w14:textId="60DBB45B">
      <w:pPr>
        <w:pStyle w:val="FootnoteText"/>
        <w:bidi w:val="0"/>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pPr>
      <w:r w:rsidRPr="51EC1495">
        <w:rPr>
          <w:rStyle w:val="FootnoteReference"/>
        </w:rPr>
        <w:footnoteRef/>
      </w:r>
      <w:r w:rsidR="51EC1495">
        <w:rPr/>
        <w:t xml:space="preserve"> </w:t>
      </w:r>
      <w:r w:rsidRPr="51EC1495" w:rsidR="51EC1495">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 xml:space="preserve">Tan </w:t>
      </w:r>
      <w:r w:rsidRPr="51EC1495" w:rsidR="51EC1495">
        <w:rPr>
          <w:rFonts w:ascii="Aptos" w:hAnsi="Aptos" w:eastAsia="Aptos" w:cs="Aptos"/>
          <w:b w:val="0"/>
          <w:bCs w:val="0"/>
          <w:i w:val="0"/>
          <w:iCs w:val="0"/>
          <w:caps w:val="0"/>
          <w:smallCaps w:val="0"/>
          <w:strike w:val="0"/>
          <w:dstrike w:val="0"/>
          <w:noProof w:val="0"/>
          <w:color w:val="000000" w:themeColor="text1" w:themeTint="FF" w:themeShade="FF"/>
          <w:sz w:val="19"/>
          <w:szCs w:val="19"/>
          <w:u w:val="none"/>
          <w:lang w:val="en-US"/>
        </w:rPr>
        <w:t>Ilan,</w:t>
      </w:r>
      <w:r w:rsidRPr="51EC1495" w:rsidR="51EC1495">
        <w:rPr>
          <w:noProof w:val="0"/>
          <w:lang w:val="en-US"/>
        </w:rPr>
        <w:t xml:space="preserve"> Jewish women in Greco-Roman </w:t>
      </w:r>
      <w:r w:rsidRPr="51EC1495" w:rsidR="51EC1495">
        <w:rPr>
          <w:noProof w:val="0"/>
          <w:lang w:val="en-US"/>
        </w:rPr>
        <w:t>Palestine, (</w:t>
      </w:r>
      <w:r w:rsidRPr="51EC1495" w:rsidR="51EC1495">
        <w:rPr>
          <w:noProof w:val="0"/>
          <w:lang w:val="en-US"/>
        </w:rPr>
        <w:t xml:space="preserve">Hendrickson Publishers,1996), p.137. </w:t>
      </w:r>
    </w:p>
  </w:footnote>
  <w:footnote w:id="18376">
    <w:p w:rsidR="51EC1495" w:rsidP="51EC1495" w:rsidRDefault="51EC1495" w14:paraId="65FDF185" w14:textId="1353EC13">
      <w:pPr>
        <w:pStyle w:val="FootnoteText"/>
        <w:bidi w:val="0"/>
      </w:pPr>
      <w:r w:rsidRPr="51EC1495">
        <w:rPr>
          <w:rStyle w:val="FootnoteReference"/>
        </w:rPr>
        <w:footnoteRef/>
      </w:r>
      <w:r w:rsidR="51EC1495">
        <w:rPr/>
        <w:t xml:space="preserve">  Brooten,</w:t>
      </w:r>
      <w:r w:rsidRPr="51EC1495" w:rsidR="51EC1495">
        <w:rPr>
          <w:noProof w:val="0"/>
          <w:lang w:val="en-US"/>
        </w:rPr>
        <w:t xml:space="preserve"> "Early Christian Women and their Cultural Context: Issues of Method in Historical Reconstruction,"p.74</w:t>
      </w:r>
    </w:p>
  </w:footnote>
  <w:footnote w:id="9944">
    <w:p w:rsidR="51EC1495" w:rsidP="51EC1495" w:rsidRDefault="51EC1495" w14:paraId="374BDCAA" w14:textId="78741C5A">
      <w:pPr>
        <w:pStyle w:val="FootnoteText"/>
        <w:bidi w:val="0"/>
      </w:pPr>
      <w:r w:rsidRPr="51EC1495">
        <w:rPr>
          <w:rStyle w:val="FootnoteReference"/>
        </w:rPr>
        <w:footnoteRef/>
      </w:r>
      <w:r w:rsidR="51EC1495">
        <w:rPr/>
        <w:t xml:space="preserve"> Bernadette J Brooten,</w:t>
      </w:r>
      <w:r w:rsidRPr="51EC1495" w:rsidR="51EC1495">
        <w:rPr>
          <w:noProof w:val="0"/>
          <w:lang w:val="en-US"/>
        </w:rPr>
        <w:t xml:space="preserve"> "Early Christian Women and their Cultural Context: Issues of Method in Historical Reconstruction," in A. Yarbro Collins (ed.), Feminist Perspectives on Biblical Scholarship, (Chicago, CA: Scholars, 1985), p.</w:t>
      </w:r>
      <w:r w:rsidR="51EC1495">
        <w:rPr/>
        <w:t>73</w:t>
      </w:r>
    </w:p>
  </w:footnote>
  <w:footnote w:id="11352">
    <w:p w:rsidR="51EC1495" w:rsidP="49AD98FF" w:rsidRDefault="51EC1495" w14:paraId="7372EAEB" w14:textId="474E2940">
      <w:pPr>
        <w:pStyle w:val="Normal"/>
        <w:bidi w:val="0"/>
        <w:spacing w:before="240" w:beforeAutospacing="off" w:after="240" w:afterAutospacing="off"/>
        <w:rPr>
          <w:noProof w:val="0"/>
          <w:sz w:val="20"/>
          <w:szCs w:val="20"/>
          <w:lang w:val="en-US"/>
        </w:rPr>
      </w:pPr>
      <w:r w:rsidRPr="49AD98FF">
        <w:rPr>
          <w:rStyle w:val="FootnoteReference"/>
          <w:sz w:val="20"/>
          <w:szCs w:val="20"/>
        </w:rPr>
        <w:footnoteRef/>
      </w:r>
      <w:r w:rsidRPr="49AD98FF" w:rsidR="49AD98FF">
        <w:rPr>
          <w:sz w:val="20"/>
          <w:szCs w:val="20"/>
        </w:rPr>
        <w:t xml:space="preserve"> Levine, “</w:t>
      </w:r>
      <w:r w:rsidRPr="49AD98FF" w:rsidR="49AD98FF">
        <w:rPr>
          <w:noProof w:val="0"/>
          <w:sz w:val="20"/>
          <w:szCs w:val="20"/>
          <w:lang w:val="en-US"/>
        </w:rPr>
        <w:t>Second Temple Judaism, Jesus, and Women: Yeast of Eden</w:t>
      </w:r>
      <w:r w:rsidRPr="49AD98FF" w:rsidR="49AD98FF">
        <w:rPr>
          <w:noProof w:val="0"/>
          <w:sz w:val="20"/>
          <w:szCs w:val="20"/>
          <w:lang w:val="en-US"/>
        </w:rPr>
        <w:t>”,</w:t>
      </w:r>
      <w:r w:rsidRPr="49AD98FF" w:rsidR="49AD98FF">
        <w:rPr>
          <w:noProof w:val="0"/>
          <w:sz w:val="20"/>
          <w:szCs w:val="20"/>
          <w:lang w:val="en-US"/>
        </w:rPr>
        <w:t xml:space="preserve"> p. 119</w:t>
      </w:r>
    </w:p>
  </w:footnote>
  <w:footnote w:id="29684">
    <w:p w:rsidR="51EC1495" w:rsidP="51EC1495" w:rsidRDefault="51EC1495" w14:paraId="6EE2C70E" w14:textId="4D2E67FD">
      <w:pPr>
        <w:pStyle w:val="FootnoteText"/>
        <w:bidi w:val="0"/>
      </w:pPr>
      <w:r w:rsidRPr="51EC1495">
        <w:rPr>
          <w:rStyle w:val="FootnoteReference"/>
        </w:rPr>
        <w:footnoteRef/>
      </w:r>
      <w:r w:rsidR="2F5CA087">
        <w:rPr/>
        <w:t xml:space="preserve">  Corely</w:t>
      </w:r>
      <w:r w:rsidRPr="51EC1495" w:rsidR="2F5CA087">
        <w:rPr>
          <w:noProof w:val="0"/>
          <w:lang w:val="en-US"/>
        </w:rPr>
        <w:t>, Women and the Historical Jesus: Feminist Myths of Christian Origins, p.69</w:t>
      </w:r>
    </w:p>
  </w:footnote>
  <w:footnote w:id="5316">
    <w:p w:rsidR="51EC1495" w:rsidP="2F5CA087" w:rsidRDefault="51EC1495" w14:paraId="6511F0A5" w14:textId="5A37452B">
      <w:pPr>
        <w:pStyle w:val="FootnoteText"/>
        <w:bidi w:val="0"/>
        <w:rPr>
          <w:i w:val="1"/>
          <w:iCs w:val="1"/>
        </w:rPr>
      </w:pPr>
      <w:r w:rsidRPr="51EC1495">
        <w:rPr>
          <w:rStyle w:val="FootnoteReference"/>
        </w:rPr>
        <w:footnoteRef/>
      </w:r>
      <w:r w:rsidR="2F5CA087">
        <w:rPr/>
        <w:t xml:space="preserve"> </w:t>
      </w:r>
      <w:r w:rsidR="2F5CA087">
        <w:rPr/>
        <w:t xml:space="preserve">Josephus, </w:t>
      </w:r>
      <w:r w:rsidRPr="2F5CA087" w:rsidR="2F5CA087">
        <w:rPr>
          <w:i w:val="1"/>
          <w:iCs w:val="1"/>
        </w:rPr>
        <w:t>Antiquities</w:t>
      </w:r>
      <w:r w:rsidRPr="2F5CA087" w:rsidR="2F5CA087">
        <w:rPr>
          <w:i w:val="1"/>
          <w:iCs w:val="1"/>
        </w:rPr>
        <w:t>, 15.259</w:t>
      </w:r>
    </w:p>
  </w:footnote>
  <w:footnote w:id="24299">
    <w:p w:rsidR="51EC1495" w:rsidP="51EC1495" w:rsidRDefault="51EC1495" w14:paraId="46C9B072" w14:textId="19786E28">
      <w:pPr>
        <w:pStyle w:val="FootnoteText"/>
        <w:bidi w:val="0"/>
      </w:pPr>
      <w:r w:rsidRPr="51EC1495">
        <w:rPr>
          <w:rStyle w:val="FootnoteReference"/>
        </w:rPr>
        <w:footnoteRef/>
      </w:r>
      <w:r w:rsidR="51EC1495">
        <w:rPr/>
        <w:t xml:space="preserve"> Josephus, </w:t>
      </w:r>
      <w:r w:rsidRPr="51EC1495" w:rsidR="51EC1495">
        <w:rPr>
          <w:i w:val="1"/>
          <w:iCs w:val="1"/>
        </w:rPr>
        <w:t>Ant</w:t>
      </w:r>
      <w:r w:rsidR="51EC1495">
        <w:rPr/>
        <w:t>, 18.110</w:t>
      </w:r>
    </w:p>
  </w:footnote>
  <w:footnote w:id="7636">
    <w:p w:rsidR="51EC1495" w:rsidP="49AD98FF" w:rsidRDefault="51EC1495" w14:paraId="3B0E4821" w14:textId="1FF897D3">
      <w:pPr>
        <w:pStyle w:val="Normal"/>
        <w:bidi w:val="0"/>
        <w:spacing w:before="240" w:beforeAutospacing="off" w:after="240" w:afterAutospacing="off"/>
        <w:rPr>
          <w:noProof w:val="0"/>
          <w:sz w:val="20"/>
          <w:szCs w:val="20"/>
          <w:lang w:val="en-US"/>
        </w:rPr>
      </w:pPr>
      <w:r w:rsidRPr="49AD98FF">
        <w:rPr>
          <w:rStyle w:val="FootnoteReference"/>
          <w:sz w:val="20"/>
          <w:szCs w:val="20"/>
        </w:rPr>
        <w:footnoteRef/>
      </w:r>
      <w:r w:rsidRPr="49AD98FF" w:rsidR="49AD98FF">
        <w:rPr>
          <w:sz w:val="20"/>
          <w:szCs w:val="20"/>
        </w:rPr>
        <w:t xml:space="preserve"> Amy Jill-Levine, “</w:t>
      </w:r>
      <w:r w:rsidRPr="49AD98FF" w:rsidR="49AD98FF">
        <w:rPr>
          <w:rFonts w:ascii="Aptos" w:hAnsi="Aptos" w:eastAsia="Aptos" w:cs="Aptos"/>
          <w:noProof w:val="0"/>
          <w:sz w:val="20"/>
          <w:szCs w:val="20"/>
          <w:lang w:val="en-US"/>
        </w:rPr>
        <w:t xml:space="preserve">, Divorce, and Sexuality: A Jewish Critique,” B. Lebeau, L. Greenspoon, and D. Hamm (eds,) The Historical Jesus Through Catholic </w:t>
      </w:r>
      <w:r w:rsidRPr="49AD98FF" w:rsidR="49AD98FF">
        <w:rPr>
          <w:rFonts w:ascii="Aptos" w:hAnsi="Aptos" w:eastAsia="Aptos" w:cs="Aptos"/>
          <w:noProof w:val="0"/>
          <w:sz w:val="20"/>
          <w:szCs w:val="20"/>
          <w:lang w:val="en-US"/>
        </w:rPr>
        <w:t>an</w:t>
      </w:r>
      <w:r w:rsidRPr="49AD98FF" w:rsidR="49AD98FF">
        <w:rPr>
          <w:rFonts w:ascii="Aptos" w:hAnsi="Aptos" w:eastAsia="Aptos" w:cs="Aptos"/>
          <w:noProof w:val="0"/>
          <w:sz w:val="20"/>
          <w:szCs w:val="20"/>
          <w:lang w:val="en-US"/>
        </w:rPr>
        <w:t xml:space="preserve"> Jewish </w:t>
      </w:r>
      <w:r w:rsidRPr="49AD98FF" w:rsidR="49AD98FF">
        <w:rPr>
          <w:rFonts w:ascii="Aptos" w:hAnsi="Aptos" w:eastAsia="Aptos" w:cs="Aptos"/>
          <w:noProof w:val="0"/>
          <w:sz w:val="20"/>
          <w:szCs w:val="20"/>
          <w:lang w:val="en-US"/>
        </w:rPr>
        <w:t>eyes.(</w:t>
      </w:r>
      <w:r w:rsidRPr="49AD98FF" w:rsidR="49AD98FF">
        <w:rPr>
          <w:rFonts w:ascii="Aptos" w:hAnsi="Aptos" w:eastAsia="Aptos" w:cs="Aptos"/>
          <w:noProof w:val="0"/>
          <w:sz w:val="20"/>
          <w:szCs w:val="20"/>
          <w:lang w:val="en-US"/>
        </w:rPr>
        <w:t>Trinity Press International, 2000), p.118</w:t>
      </w:r>
    </w:p>
    <w:p w:rsidR="51EC1495" w:rsidP="51EC1495" w:rsidRDefault="51EC1495" w14:paraId="76E3CAA5" w14:textId="2DBB554F">
      <w:pPr>
        <w:pStyle w:val="FootnoteText"/>
        <w:bidi w:val="0"/>
      </w:pPr>
    </w:p>
  </w:footnote>
  <w:footnote w:id="10510">
    <w:p w:rsidR="51EC1495" w:rsidP="51EC1495" w:rsidRDefault="51EC1495" w14:paraId="456E5642" w14:textId="2A9A9963">
      <w:pPr>
        <w:pStyle w:val="FootnoteText"/>
        <w:bidi w:val="0"/>
      </w:pPr>
      <w:r w:rsidRPr="51EC1495">
        <w:rPr>
          <w:rStyle w:val="FootnoteReference"/>
        </w:rPr>
        <w:footnoteRef/>
      </w:r>
      <w:r w:rsidR="49AD98FF">
        <w:rPr/>
        <w:t xml:space="preserve"> Corely</w:t>
      </w:r>
      <w:r w:rsidRPr="51EC1495" w:rsidR="49AD98FF">
        <w:rPr>
          <w:noProof w:val="0"/>
          <w:lang w:val="en-US"/>
        </w:rPr>
        <w:t>, Women and the Historical Jesus: Feminist Myths of Christian Origins, p.69</w:t>
      </w:r>
    </w:p>
  </w:footnote>
  <w:footnote w:id="29051">
    <w:p w:rsidR="51EC1495" w:rsidP="51EC1495" w:rsidRDefault="51EC1495" w14:paraId="6BEC9318" w14:textId="4249C6EF">
      <w:pPr>
        <w:pStyle w:val="FootnoteText"/>
        <w:bidi w:val="0"/>
        <w:rPr>
          <w:noProof w:val="0"/>
          <w:lang w:val="en-US"/>
        </w:rPr>
      </w:pPr>
      <w:r w:rsidRPr="51EC1495">
        <w:rPr>
          <w:rStyle w:val="FootnoteReference"/>
        </w:rPr>
        <w:footnoteRef/>
      </w:r>
      <w:r w:rsidR="51EC1495">
        <w:rPr/>
        <w:t xml:space="preserve"> </w:t>
      </w:r>
      <w:r w:rsidRPr="51EC1495" w:rsidR="51EC1495">
        <w:rPr>
          <w:noProof w:val="0"/>
          <w:lang w:val="en-US"/>
        </w:rPr>
        <w:t xml:space="preserve"> Michael </w:t>
      </w:r>
      <w:r w:rsidRPr="51EC1495" w:rsidR="51EC1495">
        <w:rPr>
          <w:noProof w:val="0"/>
          <w:lang w:val="en-US"/>
        </w:rPr>
        <w:t>Muonwe</w:t>
      </w:r>
      <w:r w:rsidRPr="51EC1495" w:rsidR="51EC1495">
        <w:rPr>
          <w:noProof w:val="0"/>
          <w:lang w:val="en-US"/>
        </w:rPr>
        <w:t>., "Jesus' Teaching on Divorce: Lessons for Fruitful Feminist Engagement with Society." The International Journal of Religion and Spirituality in Society 6 (4), (2016</w:t>
      </w:r>
      <w:r w:rsidRPr="51EC1495" w:rsidR="51EC1495">
        <w:rPr>
          <w:noProof w:val="0"/>
          <w:lang w:val="en-US"/>
        </w:rPr>
        <w:t>),p.7</w:t>
      </w:r>
    </w:p>
  </w:footnote>
  <w:footnote w:id="4332">
    <w:p w:rsidR="51EC1495" w:rsidP="51EC1495" w:rsidRDefault="51EC1495" w14:paraId="386145E6" w14:textId="3A979703">
      <w:pPr>
        <w:pStyle w:val="FootnoteText"/>
        <w:bidi w:val="0"/>
        <w:rPr>
          <w:noProof w:val="0"/>
          <w:lang w:val="en-US"/>
        </w:rPr>
      </w:pPr>
      <w:r w:rsidRPr="51EC1495">
        <w:rPr>
          <w:rStyle w:val="FootnoteReference"/>
        </w:rPr>
        <w:footnoteRef/>
      </w:r>
      <w:r w:rsidR="51EC1495">
        <w:rPr/>
        <w:t xml:space="preserve"> Leonard Swidler</w:t>
      </w:r>
      <w:r w:rsidRPr="51EC1495" w:rsidR="51EC1495">
        <w:rPr>
          <w:noProof w:val="0"/>
          <w:lang w:val="en-US"/>
        </w:rPr>
        <w:t xml:space="preserve">, Jesus Was a Feminist: What the Gospels Reveal about His Revolutionary </w:t>
      </w:r>
      <w:r w:rsidRPr="51EC1495" w:rsidR="51EC1495">
        <w:rPr>
          <w:noProof w:val="0"/>
          <w:lang w:val="en-US"/>
        </w:rPr>
        <w:t>Perspective.(</w:t>
      </w:r>
      <w:r w:rsidRPr="51EC1495" w:rsidR="51EC1495">
        <w:rPr>
          <w:noProof w:val="0"/>
          <w:lang w:val="en-US"/>
        </w:rPr>
        <w:t>Sheed &amp; Ward, 2007</w:t>
      </w:r>
      <w:r w:rsidRPr="51EC1495" w:rsidR="51EC1495">
        <w:rPr>
          <w:noProof w:val="0"/>
          <w:lang w:val="en-US"/>
        </w:rPr>
        <w:t>),p.114</w:t>
      </w:r>
    </w:p>
  </w:footnote>
  <w:footnote w:id="28919">
    <w:p w:rsidR="51EC1495" w:rsidP="51EC1495" w:rsidRDefault="51EC1495" w14:paraId="72BE0B57" w14:textId="60053FEC">
      <w:pPr>
        <w:pStyle w:val="FootnoteText"/>
        <w:bidi w:val="0"/>
      </w:pPr>
      <w:r w:rsidRPr="51EC1495">
        <w:rPr>
          <w:rStyle w:val="FootnoteReference"/>
        </w:rPr>
        <w:footnoteRef/>
      </w:r>
      <w:r w:rsidR="51EC1495">
        <w:rPr/>
        <w:t xml:space="preserve"> Corely</w:t>
      </w:r>
      <w:r w:rsidRPr="51EC1495" w:rsidR="51EC1495">
        <w:rPr>
          <w:noProof w:val="0"/>
          <w:lang w:val="en-US"/>
        </w:rPr>
        <w:t>, Women and the Historical Jesus: Feminist Myths of Christian Origins, p.70</w:t>
      </w:r>
    </w:p>
  </w:footnote>
  <w:footnote w:id="11550">
    <w:p w:rsidR="51EC1495" w:rsidP="49AD98FF" w:rsidRDefault="51EC1495" w14:paraId="538E2D44" w14:textId="0C689CD4">
      <w:pPr>
        <w:pStyle w:val="Normal"/>
        <w:bidi w:val="0"/>
        <w:spacing w:before="240" w:beforeAutospacing="off" w:after="240" w:afterAutospacing="off"/>
        <w:rPr>
          <w:noProof w:val="0"/>
          <w:sz w:val="20"/>
          <w:szCs w:val="20"/>
          <w:lang w:val="en-US"/>
        </w:rPr>
      </w:pPr>
      <w:r w:rsidRPr="49AD98FF">
        <w:rPr>
          <w:rStyle w:val="FootnoteReference"/>
          <w:sz w:val="20"/>
          <w:szCs w:val="20"/>
        </w:rPr>
        <w:footnoteRef/>
      </w:r>
      <w:r w:rsidRPr="49AD98FF" w:rsidR="49AD98FF">
        <w:rPr>
          <w:noProof w:val="0"/>
          <w:sz w:val="20"/>
          <w:szCs w:val="20"/>
          <w:lang w:val="en-US"/>
        </w:rPr>
        <w:t xml:space="preserve"> Ilan, "In the Footsteps of Jesus: Jewish Women in a Jewish Movement", p.128</w:t>
      </w:r>
    </w:p>
  </w:footnote>
  <w:footnote w:id="23252">
    <w:p w:rsidR="51EC1495" w:rsidP="51EC1495" w:rsidRDefault="51EC1495" w14:paraId="71508D8B" w14:textId="62F5325C">
      <w:pPr>
        <w:pStyle w:val="FootnoteText"/>
        <w:bidi w:val="0"/>
        <w:rPr>
          <w:noProof w:val="0"/>
          <w:lang w:val="en-US"/>
        </w:rPr>
      </w:pPr>
      <w:r w:rsidRPr="51EC1495">
        <w:rPr>
          <w:rStyle w:val="FootnoteReference"/>
        </w:rPr>
        <w:footnoteRef/>
      </w:r>
      <w:r w:rsidR="51EC1495">
        <w:rPr/>
        <w:t xml:space="preserve"> </w:t>
      </w:r>
      <w:r w:rsidRPr="51EC1495" w:rsidR="51EC1495">
        <w:rPr>
          <w:noProof w:val="0"/>
          <w:lang w:val="en-US"/>
        </w:rPr>
        <w:t>Tan Ilan, "In the Footsteps of Jesus: Jewish Women in a Jewish Movement". In Transformative Encounters, (Leiden, The Netherlands: Brill, 2000), p.127</w:t>
      </w:r>
    </w:p>
  </w:footnote>
  <w:footnote w:id="22079">
    <w:p w:rsidR="51EC1495" w:rsidP="51EC1495" w:rsidRDefault="51EC1495" w14:paraId="1B91D26B" w14:textId="576C87DD">
      <w:pPr>
        <w:pStyle w:val="FootnoteText"/>
        <w:bidi w:val="0"/>
        <w:rPr>
          <w:noProof w:val="0"/>
          <w:lang w:val="en-US"/>
        </w:rPr>
      </w:pPr>
      <w:r w:rsidRPr="51EC1495">
        <w:rPr>
          <w:rStyle w:val="FootnoteReference"/>
        </w:rPr>
        <w:footnoteRef/>
      </w:r>
      <w:r w:rsidR="51EC1495">
        <w:rPr/>
        <w:t xml:space="preserve"> </w:t>
      </w:r>
      <w:r w:rsidRPr="51EC1495" w:rsidR="51EC1495">
        <w:rPr>
          <w:noProof w:val="0"/>
          <w:lang w:val="en-US"/>
        </w:rPr>
        <w:t>Ilan, "In the Footsteps of Jesus: Jewish Women in a Jewish Movement", p.127</w:t>
      </w:r>
    </w:p>
    <w:p w:rsidR="51EC1495" w:rsidP="51EC1495" w:rsidRDefault="51EC1495" w14:paraId="6B46BB37" w14:textId="2F8F0650">
      <w:pPr>
        <w:pStyle w:val="FootnoteText"/>
        <w:bidi w:val="0"/>
      </w:pPr>
    </w:p>
  </w:footnote>
  <w:footnote w:id="5259">
    <w:p w:rsidR="51EC1495" w:rsidP="51EC1495" w:rsidRDefault="51EC1495" w14:paraId="11F666E4" w14:textId="67EC12C3">
      <w:pPr>
        <w:pStyle w:val="FootnoteText"/>
        <w:bidi w:val="0"/>
      </w:pPr>
      <w:r w:rsidRPr="51EC1495">
        <w:rPr>
          <w:rStyle w:val="FootnoteReference"/>
        </w:rPr>
        <w:footnoteRef/>
      </w:r>
      <w:r w:rsidR="51EC1495">
        <w:rPr/>
        <w:t xml:space="preserve"> Josephus, </w:t>
      </w:r>
      <w:r w:rsidRPr="51EC1495" w:rsidR="51EC1495">
        <w:rPr>
          <w:i w:val="1"/>
          <w:iCs w:val="1"/>
        </w:rPr>
        <w:t>Jewish War</w:t>
      </w:r>
      <w:r w:rsidR="51EC1495">
        <w:rPr/>
        <w:t>, 4.505</w:t>
      </w:r>
    </w:p>
  </w:footnote>
  <w:footnote w:id="3321">
    <w:p w:rsidR="51EC1495" w:rsidP="51EC1495" w:rsidRDefault="51EC1495" w14:paraId="2D653EEC" w14:textId="40BB0BDF">
      <w:pPr>
        <w:pStyle w:val="FootnoteText"/>
        <w:bidi w:val="0"/>
      </w:pPr>
      <w:r w:rsidRPr="51EC1495">
        <w:rPr>
          <w:rStyle w:val="FootnoteReference"/>
        </w:rPr>
        <w:footnoteRef/>
      </w:r>
      <w:r w:rsidR="51EC1495">
        <w:rPr/>
        <w:t xml:space="preserve"> Josephus, </w:t>
      </w:r>
      <w:r w:rsidRPr="51EC1495" w:rsidR="51EC1495">
        <w:rPr>
          <w:i w:val="1"/>
          <w:iCs w:val="1"/>
        </w:rPr>
        <w:t>Jewish War</w:t>
      </w:r>
      <w:r w:rsidR="51EC1495">
        <w:rPr/>
        <w:t>, 6.283</w:t>
      </w:r>
    </w:p>
  </w:footnote>
  <w:footnote w:id="15782">
    <w:p w:rsidR="51EC1495" w:rsidP="49AD98FF" w:rsidRDefault="51EC1495" w14:paraId="6E7A8AF0" w14:textId="19458782">
      <w:pPr>
        <w:pStyle w:val="Normal"/>
        <w:bidi w:val="0"/>
        <w:spacing w:before="240" w:beforeAutospacing="off" w:after="240" w:afterAutospacing="off"/>
        <w:rPr>
          <w:noProof w:val="0"/>
          <w:sz w:val="20"/>
          <w:szCs w:val="20"/>
          <w:lang w:val="en-US"/>
        </w:rPr>
      </w:pPr>
      <w:r w:rsidRPr="49AD98FF">
        <w:rPr>
          <w:rStyle w:val="FootnoteReference"/>
          <w:sz w:val="20"/>
          <w:szCs w:val="20"/>
        </w:rPr>
        <w:footnoteRef/>
      </w:r>
      <w:r w:rsidRPr="49AD98FF" w:rsidR="49AD98FF">
        <w:rPr>
          <w:sz w:val="20"/>
          <w:szCs w:val="20"/>
        </w:rPr>
        <w:t xml:space="preserve"> </w:t>
      </w:r>
      <w:r w:rsidRPr="49AD98FF" w:rsidR="49AD98FF">
        <w:rPr>
          <w:noProof w:val="0"/>
          <w:sz w:val="20"/>
          <w:szCs w:val="20"/>
          <w:lang w:val="en-US"/>
        </w:rPr>
        <w:t>Witherington, ''Women in the Ministry of Jesus'', p.110</w:t>
      </w:r>
    </w:p>
  </w:footnote>
  <w:footnote w:id="748">
    <w:p w:rsidR="51EC1495" w:rsidP="51EC1495" w:rsidRDefault="51EC1495" w14:paraId="25D789B5" w14:textId="4F1F0855">
      <w:pPr>
        <w:pStyle w:val="FootnoteText"/>
        <w:bidi w:val="0"/>
        <w:rPr>
          <w:noProof w:val="0"/>
          <w:lang w:val="en-US"/>
        </w:rPr>
      </w:pPr>
      <w:r w:rsidRPr="51EC1495">
        <w:rPr>
          <w:rStyle w:val="FootnoteReference"/>
        </w:rPr>
        <w:footnoteRef/>
      </w:r>
      <w:r w:rsidR="51EC1495">
        <w:rPr/>
        <w:t xml:space="preserve"> </w:t>
      </w:r>
      <w:r w:rsidRPr="51EC1495" w:rsidR="51EC1495">
        <w:rPr>
          <w:noProof w:val="0"/>
          <w:lang w:val="en-US"/>
        </w:rPr>
        <w:t>Witherington, ''Women in the Ministry of Jesus'', p.112</w:t>
      </w:r>
    </w:p>
  </w:footnote>
  <w:footnote w:id="19921">
    <w:p w:rsidR="51EC1495" w:rsidP="51EC1495" w:rsidRDefault="51EC1495" w14:paraId="03F0FECA" w14:textId="7172E19C">
      <w:pPr>
        <w:pStyle w:val="FootnoteText"/>
        <w:bidi w:val="0"/>
        <w:rPr>
          <w:noProof w:val="0"/>
          <w:lang w:val="en-US"/>
        </w:rPr>
      </w:pPr>
      <w:r w:rsidRPr="51EC1495">
        <w:rPr>
          <w:rStyle w:val="FootnoteReference"/>
        </w:rPr>
        <w:footnoteRef/>
      </w:r>
      <w:r w:rsidR="51EC1495">
        <w:rPr/>
        <w:t xml:space="preserve"> </w:t>
      </w:r>
      <w:r w:rsidRPr="51EC1495" w:rsidR="51EC1495">
        <w:rPr>
          <w:noProof w:val="0"/>
          <w:lang w:val="en-US"/>
        </w:rPr>
        <w:t>Witherington, ''Women in the Ministry of Jesus'', p.112</w:t>
      </w:r>
    </w:p>
  </w:footnote>
  <w:footnote w:id="9521">
    <w:p w:rsidR="51EC1495" w:rsidP="51EC1495" w:rsidRDefault="51EC1495" w14:paraId="0320B3EE" w14:textId="6D1ED7D9">
      <w:pPr>
        <w:pStyle w:val="FootnoteText"/>
        <w:bidi w:val="0"/>
        <w:rPr>
          <w:noProof w:val="0"/>
          <w:lang w:val="en-US"/>
        </w:rPr>
      </w:pPr>
      <w:r w:rsidRPr="51EC1495">
        <w:rPr>
          <w:rStyle w:val="FootnoteReference"/>
        </w:rPr>
        <w:footnoteRef/>
      </w:r>
      <w:r w:rsidR="51EC1495">
        <w:rPr/>
        <w:t xml:space="preserve"> </w:t>
      </w:r>
      <w:r w:rsidRPr="51EC1495" w:rsidR="51EC1495">
        <w:rPr>
          <w:noProof w:val="0"/>
          <w:lang w:val="en-US"/>
        </w:rPr>
        <w:t>Witherington, ''Women in the Ministry of Jesus'', p.116</w:t>
      </w:r>
    </w:p>
  </w:footnote>
  <w:footnote w:id="23844">
    <w:p w:rsidR="51EC1495" w:rsidP="51EC1495" w:rsidRDefault="51EC1495" w14:paraId="3CEF6991" w14:textId="70009EF3">
      <w:pPr>
        <w:pStyle w:val="FootnoteText"/>
        <w:bidi w:val="0"/>
      </w:pPr>
      <w:r w:rsidRPr="51EC1495">
        <w:rPr>
          <w:rStyle w:val="FootnoteReference"/>
        </w:rPr>
        <w:footnoteRef/>
      </w:r>
      <w:r w:rsidR="51EC1495">
        <w:rPr/>
        <w:t xml:space="preserve"> Corely</w:t>
      </w:r>
      <w:r w:rsidRPr="51EC1495" w:rsidR="51EC1495">
        <w:rPr>
          <w:noProof w:val="0"/>
          <w:lang w:val="en-US"/>
        </w:rPr>
        <w:t>, Women and the Historical Jesus: Feminist Myths of Christian Origins, p.59</w:t>
      </w:r>
    </w:p>
  </w:footnote>
  <w:footnote w:id="7910">
    <w:p w:rsidR="51EC1495" w:rsidP="51EC1495" w:rsidRDefault="51EC1495" w14:paraId="64C5DD4A" w14:textId="0D6CD6E1">
      <w:pPr>
        <w:pStyle w:val="FootnoteText"/>
        <w:bidi w:val="0"/>
      </w:pPr>
      <w:r w:rsidRPr="51EC1495">
        <w:rPr>
          <w:rStyle w:val="FootnoteReference"/>
        </w:rPr>
        <w:footnoteRef/>
      </w:r>
      <w:r w:rsidR="51EC1495">
        <w:rPr/>
        <w:t xml:space="preserve"> Corely</w:t>
      </w:r>
      <w:r w:rsidRPr="51EC1495" w:rsidR="51EC1495">
        <w:rPr>
          <w:noProof w:val="0"/>
          <w:lang w:val="en-US"/>
        </w:rPr>
        <w:t>, Women and the Historical Jesus: Feminist Myths of Christian Origins, p.59</w:t>
      </w:r>
    </w:p>
  </w:footnote>
  <w:footnote w:id="24705">
    <w:p w:rsidR="51EC1495" w:rsidP="51EC1495" w:rsidRDefault="51EC1495" w14:paraId="4BA4A178" w14:textId="39019C15">
      <w:pPr>
        <w:pStyle w:val="FootnoteText"/>
        <w:bidi w:val="0"/>
      </w:pPr>
      <w:r w:rsidRPr="51EC1495">
        <w:rPr>
          <w:rStyle w:val="FootnoteReference"/>
        </w:rPr>
        <w:footnoteRef/>
      </w:r>
      <w:r w:rsidR="51EC1495">
        <w:rPr/>
        <w:t xml:space="preserve"> Elizabeth Schussler Fiorenza</w:t>
      </w:r>
      <w:r w:rsidRPr="51EC1495" w:rsidR="51EC1495">
        <w:rPr>
          <w:noProof w:val="0"/>
          <w:lang w:val="en-US"/>
        </w:rPr>
        <w:t xml:space="preserve">, Sharing Her Word: Feminist Biblical Interpretation </w:t>
      </w:r>
      <w:r w:rsidRPr="51EC1495" w:rsidR="51EC1495">
        <w:rPr>
          <w:noProof w:val="0"/>
          <w:lang w:val="en-US"/>
        </w:rPr>
        <w:t>In</w:t>
      </w:r>
      <w:r w:rsidRPr="51EC1495" w:rsidR="51EC1495">
        <w:rPr>
          <w:noProof w:val="0"/>
          <w:lang w:val="en-US"/>
        </w:rPr>
        <w:t xml:space="preserve"> Context. (Bloomsbury, 1998), p.128</w:t>
      </w:r>
    </w:p>
  </w:footnote>
  <w:footnote w:id="9174">
    <w:p w:rsidR="51EC1495" w:rsidP="51EC1495" w:rsidRDefault="51EC1495" w14:paraId="042841EA" w14:textId="6FCC8550">
      <w:pPr>
        <w:pStyle w:val="FootnoteText"/>
        <w:bidi w:val="0"/>
      </w:pPr>
      <w:r w:rsidRPr="51EC1495">
        <w:rPr>
          <w:rStyle w:val="FootnoteReference"/>
        </w:rPr>
        <w:footnoteRef/>
      </w:r>
      <w:r w:rsidR="51EC1495">
        <w:rPr/>
        <w:t xml:space="preserve"> Corely</w:t>
      </w:r>
      <w:r w:rsidRPr="51EC1495" w:rsidR="51EC1495">
        <w:rPr>
          <w:noProof w:val="0"/>
          <w:lang w:val="en-US"/>
        </w:rPr>
        <w:t>, Women and the Historical Jesus: Feminist Myths of Christian Origins, p.59</w:t>
      </w:r>
    </w:p>
  </w:footnote>
  <w:footnote w:id="5667">
    <w:p w:rsidR="51EC1495" w:rsidP="51EC1495" w:rsidRDefault="51EC1495" w14:paraId="1E5D257A" w14:textId="6F3430A5">
      <w:pPr>
        <w:pStyle w:val="FootnoteText"/>
        <w:bidi w:val="0"/>
      </w:pPr>
      <w:r w:rsidRPr="51EC1495">
        <w:rPr>
          <w:rStyle w:val="FootnoteReference"/>
        </w:rPr>
        <w:footnoteRef/>
      </w:r>
      <w:r w:rsidR="51EC1495">
        <w:rPr/>
        <w:t xml:space="preserve"> Corely</w:t>
      </w:r>
      <w:r w:rsidRPr="51EC1495" w:rsidR="51EC1495">
        <w:rPr>
          <w:noProof w:val="0"/>
          <w:lang w:val="en-US"/>
        </w:rPr>
        <w:t>, Women and the Historical Jesus: Feminist Myths of Christian Origins, p.56</w:t>
      </w:r>
    </w:p>
    <w:p w:rsidR="51EC1495" w:rsidP="51EC1495" w:rsidRDefault="51EC1495" w14:paraId="7B9CFF18" w14:textId="614F9E82">
      <w:pPr>
        <w:pStyle w:val="FootnoteText"/>
        <w:bidi w:val="0"/>
      </w:pPr>
    </w:p>
  </w:footnote>
  <w:footnote w:id="21768">
    <w:p w:rsidR="51EC1495" w:rsidP="51EC1495" w:rsidRDefault="51EC1495" w14:paraId="376F8124" w14:textId="3CD9393B">
      <w:pPr>
        <w:pStyle w:val="FootnoteText"/>
        <w:bidi w:val="0"/>
      </w:pPr>
      <w:r w:rsidRPr="51EC1495">
        <w:rPr>
          <w:rStyle w:val="FootnoteReference"/>
        </w:rPr>
        <w:footnoteRef/>
      </w:r>
      <w:r w:rsidR="51EC1495">
        <w:rPr/>
        <w:t xml:space="preserve"> Corely</w:t>
      </w:r>
      <w:r w:rsidRPr="51EC1495" w:rsidR="51EC1495">
        <w:rPr>
          <w:noProof w:val="0"/>
          <w:lang w:val="en-US"/>
        </w:rPr>
        <w:t>, Women and the Historical Jesus: Feminist Myths of Christian Origins, p.56</w:t>
      </w:r>
    </w:p>
    <w:p w:rsidR="51EC1495" w:rsidP="51EC1495" w:rsidRDefault="51EC1495" w14:paraId="286A68DC" w14:textId="04AE3AF0">
      <w:pPr>
        <w:pStyle w:val="FootnoteText"/>
        <w:bidi w:val="0"/>
      </w:pPr>
    </w:p>
  </w:footnote>
  <w:footnote w:id="12023">
    <w:p w:rsidR="51EC1495" w:rsidP="49AD98FF" w:rsidRDefault="51EC1495" w14:paraId="39864C58" w14:textId="3169024B">
      <w:pPr>
        <w:pStyle w:val="Normal"/>
        <w:bidi w:val="0"/>
        <w:spacing w:before="240" w:beforeAutospacing="off" w:after="240" w:afterAutospacing="off"/>
        <w:rPr>
          <w:noProof w:val="0"/>
          <w:sz w:val="20"/>
          <w:szCs w:val="20"/>
          <w:lang w:val="en-US"/>
        </w:rPr>
      </w:pPr>
      <w:r w:rsidRPr="49AD98FF">
        <w:rPr>
          <w:rStyle w:val="FootnoteReference"/>
          <w:sz w:val="20"/>
          <w:szCs w:val="20"/>
        </w:rPr>
        <w:footnoteRef/>
      </w:r>
      <w:r w:rsidRPr="49AD98FF" w:rsidR="49AD98FF">
        <w:rPr>
          <w:sz w:val="20"/>
          <w:szCs w:val="20"/>
        </w:rPr>
        <w:t xml:space="preserve"> </w:t>
      </w:r>
      <w:r w:rsidRPr="49AD98FF" w:rsidR="49AD98FF">
        <w:rPr>
          <w:sz w:val="20"/>
          <w:szCs w:val="20"/>
        </w:rPr>
        <w:t xml:space="preserve">Ben Witherington</w:t>
      </w:r>
      <w:r w:rsidRPr="49AD98FF" w:rsidR="49AD98FF">
        <w:rPr>
          <w:noProof w:val="0"/>
          <w:sz w:val="20"/>
          <w:szCs w:val="20"/>
          <w:lang w:val="en-US"/>
        </w:rPr>
        <w:t>, 'Women in the parables and Judgement say</w:t>
      </w:r>
      <w:r w:rsidRPr="49AD98FF" w:rsidR="49AD98FF">
        <w:rPr>
          <w:noProof w:val="0"/>
          <w:sz w:val="20"/>
          <w:szCs w:val="20"/>
          <w:lang w:val="en-US"/>
        </w:rPr>
        <w:t>ings,</w:t>
      </w:r>
      <w:r w:rsidRPr="49AD98FF" w:rsidR="49AD98FF">
        <w:rPr>
          <w:noProof w:val="0"/>
          <w:sz w:val="20"/>
          <w:szCs w:val="20"/>
          <w:lang w:val="en-US"/>
        </w:rPr>
        <w:t xml:space="preserve"> </w:t>
      </w:r>
      <w:r w:rsidRPr="49AD98FF" w:rsidR="49AD98FF">
        <w:rPr>
          <w:noProof w:val="0"/>
          <w:sz w:val="20"/>
          <w:szCs w:val="20"/>
          <w:lang w:val="en-US"/>
        </w:rPr>
        <w:t>Women</w:t>
      </w:r>
      <w:r w:rsidRPr="49AD98FF" w:rsidR="49AD98FF">
        <w:rPr>
          <w:noProof w:val="0"/>
          <w:sz w:val="20"/>
          <w:szCs w:val="20"/>
          <w:lang w:val="en-US"/>
        </w:rPr>
        <w:t xml:space="preserve"> and the Genes</w:t>
      </w:r>
      <w:r w:rsidRPr="49AD98FF" w:rsidR="49AD98FF">
        <w:rPr>
          <w:noProof w:val="0"/>
          <w:sz w:val="20"/>
          <w:szCs w:val="20"/>
          <w:lang w:val="en-US"/>
        </w:rPr>
        <w:t xml:space="preserve">is of </w:t>
      </w:r>
      <w:r w:rsidRPr="49AD98FF" w:rsidR="49AD98FF">
        <w:rPr>
          <w:noProof w:val="0"/>
          <w:sz w:val="20"/>
          <w:szCs w:val="20"/>
          <w:lang w:val="en-US"/>
        </w:rPr>
        <w:t>Christianity</w:t>
      </w:r>
      <w:r w:rsidRPr="49AD98FF" w:rsidR="49AD98FF">
        <w:rPr>
          <w:noProof w:val="0"/>
          <w:sz w:val="20"/>
          <w:szCs w:val="20"/>
          <w:lang w:val="en-US"/>
        </w:rPr>
        <w:t xml:space="preserve"> (Cambridge</w:t>
      </w:r>
      <w:r w:rsidRPr="49AD98FF" w:rsidR="49AD98FF">
        <w:rPr>
          <w:noProof w:val="0"/>
          <w:sz w:val="20"/>
          <w:szCs w:val="20"/>
          <w:lang w:val="en-US"/>
        </w:rPr>
        <w:t>, 19</w:t>
      </w:r>
      <w:r w:rsidRPr="49AD98FF" w:rsidR="49AD98FF">
        <w:rPr>
          <w:noProof w:val="0"/>
          <w:sz w:val="20"/>
          <w:szCs w:val="20"/>
          <w:lang w:val="en-US"/>
        </w:rPr>
        <w:t>90</w:t>
      </w:r>
      <w:r w:rsidRPr="49AD98FF" w:rsidR="49AD98FF">
        <w:rPr>
          <w:noProof w:val="0"/>
          <w:sz w:val="20"/>
          <w:szCs w:val="20"/>
          <w:lang w:val="en-US"/>
        </w:rPr>
        <w:t>).p.</w:t>
      </w:r>
      <w:r w:rsidRPr="49AD98FF" w:rsidR="49AD98FF">
        <w:rPr>
          <w:noProof w:val="0"/>
          <w:sz w:val="20"/>
          <w:szCs w:val="20"/>
          <w:lang w:val="en-US"/>
        </w:rPr>
        <w:t>56</w:t>
      </w:r>
    </w:p>
  </w:footnote>
  <w:footnote w:id="14401">
    <w:p w:rsidR="51EC1495" w:rsidP="49AD98FF" w:rsidRDefault="51EC1495" w14:paraId="4B06369E" w14:textId="1EC5595C">
      <w:pPr>
        <w:pStyle w:val="Normal"/>
        <w:bidi w:val="0"/>
        <w:spacing w:before="240" w:beforeAutospacing="off" w:after="240" w:afterAutospacing="off"/>
        <w:rPr>
          <w:noProof w:val="0"/>
          <w:sz w:val="20"/>
          <w:szCs w:val="20"/>
          <w:lang w:val="en-US"/>
        </w:rPr>
      </w:pPr>
      <w:r w:rsidRPr="49AD98FF">
        <w:rPr>
          <w:rStyle w:val="FootnoteReference"/>
          <w:sz w:val="20"/>
          <w:szCs w:val="20"/>
        </w:rPr>
        <w:footnoteRef/>
      </w:r>
      <w:r w:rsidRPr="49AD98FF" w:rsidR="49AD98FF">
        <w:rPr>
          <w:sz w:val="20"/>
          <w:szCs w:val="20"/>
        </w:rPr>
        <w:t xml:space="preserve"> </w:t>
      </w:r>
      <w:r w:rsidRPr="49AD98FF" w:rsidR="49AD98FF">
        <w:rPr>
          <w:sz w:val="20"/>
          <w:szCs w:val="20"/>
        </w:rPr>
        <w:t xml:space="preserve"> </w:t>
      </w:r>
      <w:r w:rsidRPr="49AD98FF" w:rsidR="49AD98FF">
        <w:rPr>
          <w:sz w:val="20"/>
          <w:szCs w:val="20"/>
        </w:rPr>
        <w:t>Corely</w:t>
      </w:r>
      <w:r w:rsidRPr="49AD98FF" w:rsidR="49AD98FF">
        <w:rPr>
          <w:noProof w:val="0"/>
          <w:sz w:val="20"/>
          <w:szCs w:val="20"/>
          <w:lang w:val="en-US"/>
        </w:rPr>
        <w:t xml:space="preserve">, Women and the Historical Jesus: Feminist Myths of Christian Origins, p.56 </w:t>
      </w:r>
    </w:p>
  </w:footnote>
  <w:footnote w:id="30110">
    <w:p w:rsidR="51EC1495" w:rsidP="4D868132" w:rsidRDefault="51EC1495" w14:paraId="0929A843" w14:textId="55042AF8">
      <w:pPr>
        <w:pStyle w:val="Normal"/>
        <w:bidi w:val="0"/>
        <w:spacing w:before="240" w:beforeAutospacing="off" w:after="240" w:afterAutospacing="off"/>
        <w:rPr>
          <w:noProof w:val="0"/>
          <w:sz w:val="20"/>
          <w:szCs w:val="20"/>
          <w:lang w:val="en-US"/>
        </w:rPr>
      </w:pPr>
      <w:r w:rsidRPr="4D868132">
        <w:rPr>
          <w:rStyle w:val="FootnoteReference"/>
          <w:sz w:val="20"/>
          <w:szCs w:val="20"/>
        </w:rPr>
        <w:footnoteRef/>
      </w:r>
      <w:r w:rsidRPr="4D868132" w:rsidR="4D868132">
        <w:rPr>
          <w:sz w:val="20"/>
          <w:szCs w:val="20"/>
        </w:rPr>
        <w:t xml:space="preserve"> </w:t>
      </w:r>
      <w:r w:rsidRPr="4D868132" w:rsidR="4D868132">
        <w:rPr>
          <w:noProof w:val="0"/>
          <w:sz w:val="20"/>
          <w:szCs w:val="20"/>
          <w:lang w:val="en-US"/>
        </w:rPr>
        <w:t xml:space="preserve">Witherington, B., 'Women in the parables and Judgement sayings, </w:t>
      </w:r>
      <w:r w:rsidRPr="4D868132" w:rsidR="4D868132">
        <w:rPr>
          <w:noProof w:val="0"/>
          <w:sz w:val="20"/>
          <w:szCs w:val="20"/>
          <w:lang w:val="en-US"/>
        </w:rPr>
        <w:t>Women</w:t>
      </w:r>
      <w:r w:rsidRPr="4D868132" w:rsidR="4D868132">
        <w:rPr>
          <w:noProof w:val="0"/>
          <w:sz w:val="20"/>
          <w:szCs w:val="20"/>
          <w:lang w:val="en-US"/>
        </w:rPr>
        <w:t xml:space="preserve"> and the Genesis of </w:t>
      </w:r>
      <w:r w:rsidRPr="4D868132" w:rsidR="4D868132">
        <w:rPr>
          <w:noProof w:val="0"/>
          <w:sz w:val="20"/>
          <w:szCs w:val="20"/>
          <w:lang w:val="en-US"/>
        </w:rPr>
        <w:t>Christianity</w:t>
      </w:r>
      <w:r w:rsidRPr="4D868132" w:rsidR="4D868132">
        <w:rPr>
          <w:noProof w:val="0"/>
          <w:sz w:val="20"/>
          <w:szCs w:val="20"/>
          <w:lang w:val="en-US"/>
        </w:rPr>
        <w:t xml:space="preserve"> (Cambridge, 1990), p.55</w:t>
      </w:r>
    </w:p>
  </w:footnote>
  <w:footnote w:id="2321">
    <w:p w:rsidR="49AD98FF" w:rsidP="49AD98FF" w:rsidRDefault="49AD98FF" w14:paraId="5C5A6B1E" w14:textId="0FB4FC77">
      <w:pPr>
        <w:pStyle w:val="Normal"/>
        <w:bidi w:val="0"/>
        <w:spacing w:before="240" w:beforeAutospacing="off" w:after="240" w:afterAutospacing="off"/>
        <w:rPr>
          <w:noProof w:val="0"/>
          <w:sz w:val="20"/>
          <w:szCs w:val="20"/>
          <w:lang w:val="en-US"/>
        </w:rPr>
      </w:pPr>
      <w:r w:rsidRPr="49AD98FF">
        <w:rPr>
          <w:rStyle w:val="FootnoteReference"/>
          <w:sz w:val="20"/>
          <w:szCs w:val="20"/>
        </w:rPr>
        <w:footnoteRef/>
      </w:r>
      <w:r w:rsidRPr="49AD98FF" w:rsidR="49AD98FF">
        <w:rPr>
          <w:sz w:val="20"/>
          <w:szCs w:val="20"/>
        </w:rPr>
        <w:t xml:space="preserve"> Susan Haber</w:t>
      </w:r>
      <w:r w:rsidRPr="49AD98FF" w:rsidR="49AD98FF">
        <w:rPr>
          <w:noProof w:val="0"/>
          <w:sz w:val="20"/>
          <w:szCs w:val="20"/>
          <w:lang w:val="en-US"/>
        </w:rPr>
        <w:t xml:space="preserve">, A Woman’s Touch: Feminist Encounters with the Hemorrhaging Woman in Mark 5.24-34. Journal for the Study of the New Testament, 26(2), (2003), p.178 </w:t>
      </w:r>
    </w:p>
  </w:footnote>
  <w:footnote w:id="11992">
    <w:p w:rsidR="49AD98FF" w:rsidP="49AD98FF" w:rsidRDefault="49AD98FF" w14:paraId="04613330" w14:textId="42CD3C67">
      <w:pPr>
        <w:pStyle w:val="Normal"/>
        <w:bidi w:val="0"/>
        <w:spacing w:before="240" w:beforeAutospacing="off" w:after="240" w:afterAutospacing="off"/>
        <w:rPr>
          <w:rFonts w:ascii="Aptos" w:hAnsi="Aptos" w:eastAsia="Aptos" w:cs="Aptos"/>
          <w:noProof w:val="0"/>
          <w:sz w:val="20"/>
          <w:szCs w:val="20"/>
          <w:lang w:val="en-US"/>
        </w:rPr>
      </w:pPr>
      <w:r w:rsidRPr="49AD98FF">
        <w:rPr>
          <w:rStyle w:val="FootnoteReference"/>
          <w:sz w:val="20"/>
          <w:szCs w:val="20"/>
        </w:rPr>
        <w:footnoteRef/>
      </w:r>
      <w:r w:rsidRPr="49AD98FF" w:rsidR="49AD98FF">
        <w:rPr>
          <w:sz w:val="20"/>
          <w:szCs w:val="20"/>
        </w:rPr>
        <w:t xml:space="preserve">  </w:t>
      </w:r>
      <w:r w:rsidRPr="49AD98FF" w:rsidR="49AD98FF">
        <w:rPr>
          <w:rFonts w:ascii="Aptos" w:hAnsi="Aptos" w:eastAsia="Aptos" w:cs="Aptos"/>
          <w:noProof w:val="0"/>
          <w:sz w:val="20"/>
          <w:szCs w:val="20"/>
          <w:lang w:val="en-US"/>
        </w:rPr>
        <w:t>Jacob Milgrom,</w:t>
      </w:r>
      <w:r w:rsidRPr="49AD98FF" w:rsidR="49AD98FF">
        <w:rPr>
          <w:rFonts w:ascii="Aptos" w:hAnsi="Aptos" w:eastAsia="Aptos" w:cs="Aptos"/>
          <w:i w:val="1"/>
          <w:iCs w:val="1"/>
          <w:noProof w:val="0"/>
          <w:sz w:val="20"/>
          <w:szCs w:val="20"/>
          <w:lang w:val="en-US"/>
        </w:rPr>
        <w:t xml:space="preserve"> Leviticus:</w:t>
      </w:r>
      <w:r w:rsidRPr="49AD98FF" w:rsidR="49AD98FF">
        <w:rPr>
          <w:rFonts w:ascii="Aptos" w:hAnsi="Aptos" w:eastAsia="Aptos" w:cs="Aptos"/>
          <w:noProof w:val="0"/>
          <w:sz w:val="20"/>
          <w:szCs w:val="20"/>
          <w:lang w:val="en-US"/>
        </w:rPr>
        <w:t xml:space="preserve"> </w:t>
      </w:r>
      <w:r w:rsidRPr="49AD98FF" w:rsidR="49AD98FF">
        <w:rPr>
          <w:rFonts w:ascii="Aptos" w:hAnsi="Aptos" w:eastAsia="Aptos" w:cs="Aptos"/>
          <w:noProof w:val="0"/>
          <w:sz w:val="20"/>
          <w:szCs w:val="20"/>
          <w:lang w:val="en-US"/>
        </w:rPr>
        <w:t>a</w:t>
      </w:r>
      <w:r w:rsidRPr="49AD98FF" w:rsidR="49AD98FF">
        <w:rPr>
          <w:rFonts w:ascii="Aptos" w:hAnsi="Aptos" w:eastAsia="Aptos" w:cs="Aptos"/>
          <w:noProof w:val="0"/>
          <w:sz w:val="20"/>
          <w:szCs w:val="20"/>
          <w:lang w:val="en-US"/>
        </w:rPr>
        <w:t xml:space="preserve"> Book of Ritual and Ethics, (Minneapolis, MN: Fortress Press, 2004)</w:t>
      </w:r>
      <w:r w:rsidRPr="49AD98FF" w:rsidR="49AD98FF">
        <w:rPr>
          <w:sz w:val="20"/>
          <w:szCs w:val="20"/>
        </w:rPr>
        <w:t xml:space="preserve">, </w:t>
      </w:r>
      <w:r w:rsidRPr="49AD98FF" w:rsidR="49AD98FF">
        <w:rPr>
          <w:rFonts w:ascii="Aptos" w:hAnsi="Aptos" w:eastAsia="Aptos" w:cs="Aptos"/>
          <w:noProof w:val="0"/>
          <w:sz w:val="20"/>
          <w:szCs w:val="20"/>
          <w:lang w:val="en-US"/>
        </w:rPr>
        <w:t>942-43</w:t>
      </w:r>
    </w:p>
    <w:p w:rsidR="49AD98FF" w:rsidP="49AD98FF" w:rsidRDefault="49AD98FF" w14:paraId="7A7A114B" w14:textId="27C48DF5">
      <w:pPr>
        <w:pStyle w:val="FootnoteText"/>
        <w:bidi w:val="0"/>
        <w:rPr>
          <w:noProof w:val="0"/>
          <w:lang w:val="en-US"/>
        </w:rPr>
      </w:pPr>
    </w:p>
  </w:footnote>
  <w:footnote w:id="3211">
    <w:p w:rsidR="49AD98FF" w:rsidP="49AD98FF" w:rsidRDefault="49AD98FF" w14:paraId="47266221" w14:textId="26D1EAB4">
      <w:pPr>
        <w:pStyle w:val="FootnoteText"/>
        <w:bidi w:val="0"/>
      </w:pPr>
      <w:r w:rsidRPr="49AD98FF">
        <w:rPr>
          <w:rStyle w:val="FootnoteReference"/>
        </w:rPr>
        <w:footnoteRef/>
      </w:r>
      <w:r w:rsidRPr="49AD98FF" w:rsidR="49AD98FF">
        <w:rPr>
          <w:sz w:val="20"/>
          <w:szCs w:val="20"/>
        </w:rPr>
        <w:t xml:space="preserve"> Milgrom, </w:t>
      </w:r>
      <w:r w:rsidRPr="49AD98FF" w:rsidR="49AD98FF">
        <w:rPr>
          <w:i w:val="1"/>
          <w:iCs w:val="1"/>
          <w:sz w:val="20"/>
          <w:szCs w:val="20"/>
        </w:rPr>
        <w:t>Leviticus</w:t>
      </w:r>
      <w:r w:rsidRPr="49AD98FF" w:rsidR="49AD98FF">
        <w:rPr>
          <w:sz w:val="20"/>
          <w:szCs w:val="20"/>
        </w:rPr>
        <w:t xml:space="preserve">, </w:t>
      </w:r>
      <w:r w:rsidRPr="49AD98FF" w:rsidR="49AD98FF">
        <w:rPr>
          <w:rFonts w:ascii="Aptos" w:hAnsi="Aptos" w:eastAsia="Aptos" w:cs="Aptos"/>
          <w:noProof w:val="0"/>
          <w:sz w:val="20"/>
          <w:szCs w:val="20"/>
          <w:lang w:val="en-US"/>
        </w:rPr>
        <w:t>942-43</w:t>
      </w:r>
    </w:p>
  </w:footnote>
  <w:footnote w:id="13283">
    <w:p w:rsidR="49AD98FF" w:rsidP="49AD98FF" w:rsidRDefault="49AD98FF" w14:paraId="150EB415" w14:textId="4EE0067C">
      <w:pPr>
        <w:pStyle w:val="FootnoteText"/>
        <w:bidi w:val="0"/>
      </w:pPr>
      <w:r w:rsidRPr="49AD98FF">
        <w:rPr>
          <w:rStyle w:val="FootnoteReference"/>
        </w:rPr>
        <w:footnoteRef/>
      </w:r>
      <w:r w:rsidR="49AD98FF">
        <w:rPr/>
        <w:t xml:space="preserve"> Selvidge, </w:t>
      </w:r>
      <w:r w:rsidRPr="49AD98FF" w:rsidR="49AD98FF">
        <w:rPr>
          <w:noProof w:val="0"/>
          <w:lang w:val="en-US"/>
        </w:rPr>
        <w:t>“Mark 5:25-34 and Leviticus 15:19-20: A Reaction to Restrictive Purity Regulations’’, p. 622</w:t>
      </w:r>
    </w:p>
  </w:footnote>
  <w:footnote w:id="30095">
    <w:p w:rsidR="49AD98FF" w:rsidP="49AD98FF" w:rsidRDefault="49AD98FF" w14:paraId="0F2F25F3" w14:textId="1A8AA150">
      <w:pPr>
        <w:pStyle w:val="FootnoteText"/>
        <w:bidi w:val="0"/>
      </w:pPr>
      <w:r w:rsidRPr="49AD98FF">
        <w:rPr>
          <w:rStyle w:val="FootnoteReference"/>
        </w:rPr>
        <w:footnoteRef/>
      </w:r>
      <w:r w:rsidR="49AD98FF">
        <w:rPr/>
        <w:t xml:space="preserve"> Selvidge, </w:t>
      </w:r>
      <w:r w:rsidRPr="49AD98FF" w:rsidR="49AD98FF">
        <w:rPr>
          <w:noProof w:val="0"/>
          <w:lang w:val="en-US"/>
        </w:rPr>
        <w:t>“Mark 5:25-34 and Leviticus 15:19-20: A Reaction to Restrictive Purity Regulations’', p.622</w:t>
      </w:r>
    </w:p>
  </w:footnote>
  <w:footnote w:id="14118">
    <w:p w:rsidR="49AD98FF" w:rsidP="49AD98FF" w:rsidRDefault="49AD98FF" w14:paraId="74A85D8B" w14:textId="40E09414">
      <w:pPr>
        <w:pStyle w:val="FootnoteText"/>
        <w:bidi w:val="0"/>
      </w:pPr>
      <w:r w:rsidRPr="49AD98FF">
        <w:rPr>
          <w:rStyle w:val="FootnoteReference"/>
        </w:rPr>
        <w:footnoteRef/>
      </w:r>
      <w:r w:rsidR="49AD98FF">
        <w:rPr/>
        <w:t xml:space="preserve"> Selvidge, </w:t>
      </w:r>
      <w:r w:rsidRPr="49AD98FF" w:rsidR="49AD98FF">
        <w:rPr>
          <w:noProof w:val="0"/>
          <w:lang w:val="en-US"/>
        </w:rPr>
        <w:t>“Mark 5:25-34 and Leviticus 15:19-20: A Reaction to Restrictive Purity Regulations’', p.623</w:t>
      </w:r>
    </w:p>
  </w:footnote>
  <w:footnote w:id="14994">
    <w:p w:rsidR="49AD98FF" w:rsidP="49AD98FF" w:rsidRDefault="49AD98FF" w14:paraId="0E0EC928" w14:textId="2A7CB2B7">
      <w:pPr>
        <w:pStyle w:val="FootnoteText"/>
        <w:bidi w:val="0"/>
        <w:rPr>
          <w:noProof w:val="0"/>
          <w:sz w:val="20"/>
          <w:szCs w:val="20"/>
          <w:lang w:val="en-US"/>
        </w:rPr>
      </w:pPr>
      <w:r w:rsidRPr="49AD98FF">
        <w:rPr>
          <w:rStyle w:val="FootnoteReference"/>
        </w:rPr>
        <w:footnoteRef/>
      </w:r>
      <w:r w:rsidR="49AD98FF">
        <w:rPr/>
        <w:t xml:space="preserve">  Katheleen E Corely, </w:t>
      </w:r>
      <w:r w:rsidRPr="49AD98FF" w:rsidR="49AD98FF">
        <w:rPr>
          <w:noProof w:val="0"/>
          <w:sz w:val="20"/>
          <w:szCs w:val="20"/>
          <w:lang w:val="en-US"/>
        </w:rPr>
        <w:t xml:space="preserve">Women and the Historical Jesus: Feminist Myths of Christian Origins, (Santa Rosa, 2002) </w:t>
      </w:r>
      <w:r w:rsidRPr="49AD98FF" w:rsidR="49AD98FF">
        <w:rPr>
          <w:noProof w:val="0"/>
          <w:sz w:val="20"/>
          <w:szCs w:val="20"/>
          <w:lang w:val="en-US"/>
        </w:rPr>
        <w:t>p.55</w:t>
      </w:r>
    </w:p>
  </w:footnote>
  <w:footnote w:id="26954">
    <w:p w:rsidR="49AD98FF" w:rsidP="49AD98FF" w:rsidRDefault="49AD98FF" w14:paraId="4F3233C7" w14:textId="6CF6B1F6">
      <w:pPr>
        <w:pStyle w:val="FootnoteText"/>
        <w:bidi w:val="0"/>
      </w:pPr>
      <w:r w:rsidRPr="49AD98FF">
        <w:rPr>
          <w:rStyle w:val="FootnoteReference"/>
        </w:rPr>
        <w:footnoteRef/>
      </w:r>
      <w:r w:rsidR="49AD98FF">
        <w:rPr/>
        <w:t xml:space="preserve"> </w:t>
      </w:r>
      <w:r w:rsidRPr="49AD98FF" w:rsidR="49AD98FF">
        <w:rPr>
          <w:noProof w:val="0"/>
          <w:lang w:val="en-US"/>
        </w:rPr>
        <w:t xml:space="preserve">George, </w:t>
      </w:r>
      <w:r w:rsidRPr="49AD98FF" w:rsidR="49AD98FF">
        <w:rPr>
          <w:noProof w:val="0"/>
          <w:lang w:val="en-US"/>
        </w:rPr>
        <w:t>R.E.,Jesus</w:t>
      </w:r>
      <w:r w:rsidRPr="49AD98FF" w:rsidR="49AD98FF">
        <w:rPr>
          <w:noProof w:val="0"/>
          <w:lang w:val="en-US"/>
        </w:rPr>
        <w:t xml:space="preserve"> and Divorce: A Biblical Guide for Ministry to Divorced Persons, (Herald </w:t>
      </w:r>
      <w:r w:rsidRPr="49AD98FF" w:rsidR="49AD98FF">
        <w:rPr>
          <w:noProof w:val="0"/>
          <w:lang w:val="en-US"/>
        </w:rPr>
        <w:t>Pr</w:t>
      </w:r>
      <w:r w:rsidRPr="49AD98FF" w:rsidR="49AD98FF">
        <w:rPr>
          <w:noProof w:val="0"/>
          <w:lang w:val="en-US"/>
        </w:rPr>
        <w:t>, 1991</w:t>
      </w:r>
      <w:r w:rsidRPr="49AD98FF" w:rsidR="49AD98FF">
        <w:rPr>
          <w:noProof w:val="0"/>
          <w:lang w:val="en-US"/>
        </w:rPr>
        <w:t>).p.</w:t>
      </w:r>
      <w:r w:rsidRPr="49AD98FF" w:rsidR="49AD98FF">
        <w:rPr>
          <w:noProof w:val="0"/>
          <w:lang w:val="en-US"/>
        </w:rPr>
        <w:t xml:space="preserve">18 </w:t>
      </w:r>
    </w:p>
  </w:footnote>
  <w:footnote w:id="7104">
    <w:p w:rsidR="49AD98FF" w:rsidP="49AD98FF" w:rsidRDefault="49AD98FF" w14:paraId="1E29BC0E" w14:textId="56F9C5D2">
      <w:pPr>
        <w:pStyle w:val="FootnoteText"/>
        <w:bidi w:val="0"/>
      </w:pPr>
      <w:r w:rsidRPr="49AD98FF">
        <w:rPr>
          <w:rStyle w:val="FootnoteReference"/>
        </w:rPr>
        <w:footnoteRef/>
      </w:r>
      <w:r w:rsidR="49AD98FF">
        <w:rPr/>
        <w:t xml:space="preserve"> Marla Selvidge, </w:t>
      </w:r>
      <w:r w:rsidRPr="49AD98FF" w:rsidR="49AD98FF">
        <w:rPr>
          <w:noProof w:val="0"/>
          <w:lang w:val="en-US"/>
        </w:rPr>
        <w:t>“Mark 5:25-34 and Leviticus 15:19-20: A Reaction to Restrictive Purity Regulations.” Journal of Biblical Literature 103, no. 4 (1984), p. 619</w:t>
      </w:r>
    </w:p>
  </w:footnote>
  <w:footnote w:id="3943">
    <w:p w:rsidR="49AD98FF" w:rsidP="49AD98FF" w:rsidRDefault="49AD98FF" w14:paraId="6AF55BDC" w14:textId="58B5FBDF">
      <w:pPr>
        <w:pStyle w:val="FootnoteText"/>
        <w:bidi w:val="0"/>
      </w:pPr>
      <w:r w:rsidRPr="49AD98FF">
        <w:rPr>
          <w:rStyle w:val="FootnoteReference"/>
        </w:rPr>
        <w:footnoteRef/>
      </w:r>
      <w:r w:rsidR="49AD98FF">
        <w:rPr/>
        <w:t xml:space="preserve"> Selvidge, </w:t>
      </w:r>
      <w:r w:rsidRPr="49AD98FF" w:rsidR="49AD98FF">
        <w:rPr>
          <w:noProof w:val="0"/>
          <w:lang w:val="en-US"/>
        </w:rPr>
        <w:t>“Mark 5:25-34 and Leviticus 15:19-20: A Reaction to Restrictive Purity Regulations’’, p. 619</w:t>
      </w:r>
    </w:p>
  </w:footnote>
  <w:footnote w:id="22212">
    <w:p w:rsidR="49AD98FF" w:rsidP="49AD98FF" w:rsidRDefault="49AD98FF" w14:paraId="5FD163B0" w14:textId="559D13EA">
      <w:pPr>
        <w:pStyle w:val="FootnoteText"/>
        <w:bidi w:val="0"/>
      </w:pPr>
      <w:r w:rsidRPr="49AD98FF">
        <w:rPr>
          <w:rStyle w:val="FootnoteReference"/>
        </w:rPr>
        <w:footnoteRef/>
      </w:r>
      <w:r w:rsidR="49AD98FF">
        <w:rPr/>
        <w:t xml:space="preserve"> Selvidge, </w:t>
      </w:r>
      <w:r w:rsidRPr="49AD98FF" w:rsidR="49AD98FF">
        <w:rPr>
          <w:noProof w:val="0"/>
          <w:lang w:val="en-US"/>
        </w:rPr>
        <w:t>“Mark 5:25-34 and Leviticus 15:19-20: A Reaction to Restrictive Purity Regulations’’, p. 619</w:t>
      </w:r>
    </w:p>
  </w:footnote>
  <w:footnote w:id="31638">
    <w:p w:rsidR="49AD98FF" w:rsidP="49AD98FF" w:rsidRDefault="49AD98FF" w14:paraId="4B354C4A" w14:textId="01F45168">
      <w:pPr>
        <w:pStyle w:val="Normal"/>
        <w:bidi w:val="0"/>
        <w:spacing w:before="269" w:beforeAutospacing="off" w:after="269" w:afterAutospacing="off" w:line="276" w:lineRule="auto"/>
        <w:ind w:left="120" w:right="0"/>
        <w:rPr>
          <w:rFonts w:ascii="Aptos" w:hAnsi="Aptos" w:eastAsia="Aptos" w:cs="Aptos" w:asciiTheme="minorAscii" w:hAnsiTheme="minorAscii" w:eastAsiaTheme="minorAscii" w:cstheme="minorAscii"/>
          <w:strike w:val="0"/>
          <w:dstrike w:val="0"/>
          <w:noProof w:val="0"/>
          <w:color w:val="0000FF"/>
          <w:sz w:val="20"/>
          <w:szCs w:val="20"/>
          <w:u w:val="single"/>
          <w:lang w:val="en-US"/>
        </w:rPr>
      </w:pPr>
      <w:r w:rsidRPr="49AD98FF">
        <w:rPr>
          <w:rStyle w:val="FootnoteReference"/>
        </w:rPr>
        <w:footnoteRef/>
      </w:r>
      <w:r w:rsidRPr="49AD98FF" w:rsidR="49AD98FF">
        <w:rPr>
          <w:rFonts w:ascii="Aptos" w:hAnsi="Aptos" w:eastAsia="Aptos" w:cs="Aptos" w:asciiTheme="minorAscii" w:hAnsiTheme="minorAscii" w:eastAsiaTheme="minorAscii" w:cstheme="minorAscii"/>
          <w:sz w:val="20"/>
          <w:szCs w:val="20"/>
        </w:rPr>
        <w:t xml:space="preserve"> </w:t>
      </w:r>
      <w:r w:rsidRPr="49AD98FF" w:rsidR="49AD98FF">
        <w:rPr>
          <w:rFonts w:ascii="Aptos" w:hAnsi="Aptos" w:eastAsia="Aptos" w:cs="Aptos" w:asciiTheme="minorAscii" w:hAnsiTheme="minorAscii" w:eastAsiaTheme="minorAscii" w:cstheme="minorAscii"/>
          <w:noProof w:val="0"/>
          <w:color w:val="000000" w:themeColor="text1" w:themeTint="FF" w:themeShade="FF"/>
          <w:sz w:val="20"/>
          <w:szCs w:val="20"/>
          <w:lang w:val="en-US"/>
        </w:rPr>
        <w:t xml:space="preserve">Judith </w:t>
      </w:r>
      <w:r w:rsidRPr="49AD98FF" w:rsidR="49AD98FF">
        <w:rPr>
          <w:rFonts w:ascii="Aptos" w:hAnsi="Aptos" w:eastAsia="Aptos" w:cs="Aptos" w:asciiTheme="minorAscii" w:hAnsiTheme="minorAscii" w:eastAsiaTheme="minorAscii" w:cstheme="minorAscii"/>
          <w:noProof w:val="0"/>
          <w:color w:val="000000" w:themeColor="text1" w:themeTint="FF" w:themeShade="FF"/>
          <w:sz w:val="20"/>
          <w:szCs w:val="20"/>
          <w:lang w:val="en-US"/>
        </w:rPr>
        <w:t>Plaskow</w:t>
      </w:r>
      <w:r w:rsidRPr="49AD98FF" w:rsidR="49AD98FF">
        <w:rPr>
          <w:rFonts w:ascii="Aptos" w:hAnsi="Aptos" w:eastAsia="Aptos" w:cs="Aptos" w:asciiTheme="minorAscii" w:hAnsiTheme="minorAscii" w:eastAsiaTheme="minorAscii" w:cstheme="minorAscii"/>
          <w:noProof w:val="0"/>
          <w:color w:val="000000" w:themeColor="text1" w:themeTint="FF" w:themeShade="FF"/>
          <w:sz w:val="20"/>
          <w:szCs w:val="20"/>
          <w:lang w:val="en-US"/>
        </w:rPr>
        <w:t xml:space="preserve">, "Anti-Judaism in Feminist Christian Interpretation". In </w:t>
      </w:r>
      <w:r w:rsidRPr="49AD98FF" w:rsidR="49AD98FF">
        <w:rPr>
          <w:rFonts w:ascii="Aptos" w:hAnsi="Aptos" w:eastAsia="Aptos" w:cs="Aptos" w:asciiTheme="minorAscii" w:hAnsiTheme="minorAscii" w:eastAsiaTheme="minorAscii" w:cstheme="minorAscii"/>
          <w:i w:val="1"/>
          <w:iCs w:val="1"/>
          <w:noProof w:val="0"/>
          <w:color w:val="000000" w:themeColor="text1" w:themeTint="FF" w:themeShade="FF"/>
          <w:sz w:val="20"/>
          <w:szCs w:val="20"/>
          <w:lang w:val="en-US"/>
        </w:rPr>
        <w:t xml:space="preserve">Judith </w:t>
      </w:r>
      <w:r w:rsidRPr="49AD98FF" w:rsidR="49AD98FF">
        <w:rPr>
          <w:rFonts w:ascii="Aptos" w:hAnsi="Aptos" w:eastAsia="Aptos" w:cs="Aptos" w:asciiTheme="minorAscii" w:hAnsiTheme="minorAscii" w:eastAsiaTheme="minorAscii" w:cstheme="minorAscii"/>
          <w:i w:val="1"/>
          <w:iCs w:val="1"/>
          <w:noProof w:val="0"/>
          <w:color w:val="000000" w:themeColor="text1" w:themeTint="FF" w:themeShade="FF"/>
          <w:sz w:val="20"/>
          <w:szCs w:val="20"/>
          <w:lang w:val="en-US"/>
        </w:rPr>
        <w:t>Plaskow</w:t>
      </w:r>
      <w:r w:rsidRPr="49AD98FF" w:rsidR="49AD98FF">
        <w:rPr>
          <w:rFonts w:ascii="Aptos" w:hAnsi="Aptos" w:eastAsia="Aptos" w:cs="Aptos" w:asciiTheme="minorAscii" w:hAnsiTheme="minorAscii" w:eastAsiaTheme="minorAscii" w:cstheme="minorAscii"/>
          <w:noProof w:val="0"/>
          <w:color w:val="000000" w:themeColor="text1" w:themeTint="FF" w:themeShade="FF"/>
          <w:sz w:val="20"/>
          <w:szCs w:val="20"/>
          <w:lang w:val="en-US"/>
        </w:rPr>
        <w:t>, (Leiden, The Netherlands: Brill, 2014), pp.11-17</w:t>
      </w:r>
    </w:p>
  </w:footnote>
  <w:footnote w:id="24442">
    <w:p w:rsidR="49AD98FF" w:rsidP="49AD98FF" w:rsidRDefault="49AD98FF" w14:paraId="71B9A856" w14:textId="246E4DEB">
      <w:pPr>
        <w:pStyle w:val="FootnoteText"/>
        <w:bidi w:val="0"/>
      </w:pPr>
      <w:r w:rsidRPr="49AD98FF">
        <w:rPr>
          <w:rStyle w:val="FootnoteReference"/>
        </w:rPr>
        <w:footnoteRef/>
      </w:r>
      <w:r w:rsidR="49AD98FF">
        <w:rPr/>
        <w:t xml:space="preserve"> </w:t>
      </w:r>
      <w:r w:rsidRPr="49AD98FF" w:rsidR="49AD98FF">
        <w:rPr>
          <w:noProof w:val="0"/>
          <w:lang w:val="en-US"/>
        </w:rPr>
        <w:t xml:space="preserve">Dunning, B. H., 'The New Testament and Early Christian Literature in the History of Gender and Sexuality', in Benjamin H. Dunning (ed.), The Oxford Handbook of New Testament, Gender, and Sexuality, Oxford </w:t>
      </w:r>
      <w:r w:rsidRPr="49AD98FF" w:rsidR="49AD98FF">
        <w:rPr>
          <w:noProof w:val="0"/>
          <w:lang w:val="en-US"/>
        </w:rPr>
        <w:t>Handbooks,(</w:t>
      </w:r>
      <w:r w:rsidRPr="49AD98FF" w:rsidR="49AD98FF">
        <w:rPr>
          <w:noProof w:val="0"/>
          <w:lang w:val="en-US"/>
        </w:rPr>
        <w:t xml:space="preserve">Oxford Academic, 2019). </w:t>
      </w:r>
    </w:p>
  </w:footnote>
  <w:footnote w:id="1535">
    <w:p w:rsidR="49AD98FF" w:rsidP="49AD98FF" w:rsidRDefault="49AD98FF" w14:paraId="4239E3C1" w14:textId="57A51500">
      <w:pPr>
        <w:pStyle w:val="FootnoteText"/>
        <w:bidi w:val="0"/>
      </w:pPr>
      <w:r w:rsidRPr="49AD98FF">
        <w:rPr>
          <w:rStyle w:val="FootnoteReference"/>
        </w:rPr>
        <w:footnoteRef/>
      </w:r>
      <w:r w:rsidR="49AD98FF">
        <w:rPr/>
        <w:t xml:space="preserve"> Amy Jill -</w:t>
      </w:r>
      <w:r w:rsidRPr="49AD98FF" w:rsidR="49AD98FF">
        <w:rPr>
          <w:noProof w:val="0"/>
          <w:lang w:val="en-US"/>
        </w:rPr>
        <w:t>Levine, , “Second Temple Judaism, Jesus, and Women: Yeast of Ede</w:t>
      </w:r>
      <w:r w:rsidRPr="49AD98FF" w:rsidR="49AD98FF">
        <w:rPr>
          <w:noProof w:val="0"/>
          <w:lang w:val="en-US"/>
        </w:rPr>
        <w:t>n</w:t>
      </w:r>
      <w:r w:rsidRPr="49AD98FF" w:rsidR="49AD98FF">
        <w:rPr>
          <w:noProof w:val="0"/>
          <w:lang w:val="en-US"/>
        </w:rPr>
        <w:t>”</w:t>
      </w:r>
      <w:r w:rsidRPr="49AD98FF" w:rsidR="49AD98FF">
        <w:rPr>
          <w:noProof w:val="0"/>
          <w:lang w:val="en-US"/>
        </w:rPr>
        <w:t>,</w:t>
      </w:r>
      <w:r w:rsidRPr="49AD98FF" w:rsidR="49AD98FF">
        <w:rPr>
          <w:noProof w:val="0"/>
          <w:lang w:val="en-US"/>
        </w:rPr>
        <w:t xml:space="preserve"> A Feminist Companion to the Hebrew Bible in the New Testament, ed. A. Brenner, (Sheffield, 1996), p.310</w:t>
      </w:r>
    </w:p>
  </w:footnote>
  <w:footnote w:id="22393">
    <w:p w:rsidR="49AD98FF" w:rsidP="49AD98FF" w:rsidRDefault="49AD98FF" w14:paraId="2179E501" w14:textId="3ACF3A2F">
      <w:pPr>
        <w:pStyle w:val="FootnoteText"/>
        <w:bidi w:val="0"/>
      </w:pPr>
      <w:r w:rsidRPr="49AD98FF">
        <w:rPr>
          <w:rStyle w:val="FootnoteReference"/>
        </w:rPr>
        <w:footnoteRef/>
      </w:r>
      <w:r w:rsidR="49AD98FF">
        <w:rPr/>
        <w:t>-</w:t>
      </w:r>
      <w:r w:rsidRPr="49AD98FF" w:rsidR="49AD98FF">
        <w:rPr>
          <w:noProof w:val="0"/>
          <w:lang w:val="en-US"/>
        </w:rPr>
        <w:t>Levine</w:t>
      </w:r>
      <w:r w:rsidRPr="49AD98FF" w:rsidR="49AD98FF">
        <w:rPr>
          <w:noProof w:val="0"/>
          <w:lang w:val="en-US"/>
        </w:rPr>
        <w:t>, ,</w:t>
      </w:r>
      <w:r w:rsidRPr="49AD98FF" w:rsidR="49AD98FF">
        <w:rPr>
          <w:noProof w:val="0"/>
          <w:lang w:val="en-US"/>
        </w:rPr>
        <w:t xml:space="preserve"> “Second Temple Judaism, Jesus, and Women: Yeast of Eden</w:t>
      </w:r>
      <w:r w:rsidRPr="49AD98FF" w:rsidR="49AD98FF">
        <w:rPr>
          <w:noProof w:val="0"/>
          <w:lang w:val="en-US"/>
        </w:rPr>
        <w:t>”,</w:t>
      </w:r>
      <w:r w:rsidRPr="49AD98FF" w:rsidR="49AD98FF">
        <w:rPr>
          <w:noProof w:val="0"/>
          <w:lang w:val="en-US"/>
        </w:rPr>
        <w:t xml:space="preserve"> A Feminist Companion to the Hebrew Bible in the New Testament,</w:t>
      </w:r>
      <w:r w:rsidR="49AD98FF">
        <w:rPr/>
        <w:t xml:space="preserve"> p. 312 </w:t>
      </w:r>
    </w:p>
  </w:footnote>
  <w:footnote w:id="23573">
    <w:p w:rsidR="49AD98FF" w:rsidP="49AD98FF" w:rsidRDefault="49AD98FF" w14:paraId="51036A1E" w14:textId="2047F231">
      <w:pPr>
        <w:pStyle w:val="FootnoteText"/>
        <w:bidi w:val="0"/>
      </w:pPr>
      <w:r w:rsidRPr="49AD98FF">
        <w:rPr>
          <w:rStyle w:val="FootnoteReference"/>
        </w:rPr>
        <w:footnoteRef/>
      </w:r>
      <w:r w:rsidR="49AD98FF">
        <w:rPr/>
        <w:t>Amy Jill -</w:t>
      </w:r>
      <w:r w:rsidRPr="49AD98FF" w:rsidR="49AD98FF">
        <w:rPr>
          <w:noProof w:val="0"/>
          <w:lang w:val="en-US"/>
        </w:rPr>
        <w:t>Levine</w:t>
      </w:r>
      <w:r w:rsidRPr="49AD98FF" w:rsidR="49AD98FF">
        <w:rPr>
          <w:noProof w:val="0"/>
          <w:lang w:val="en-US"/>
        </w:rPr>
        <w:t>, ,</w:t>
      </w:r>
      <w:r w:rsidRPr="49AD98FF" w:rsidR="49AD98FF">
        <w:rPr>
          <w:noProof w:val="0"/>
          <w:lang w:val="en-US"/>
        </w:rPr>
        <w:t xml:space="preserve"> “Second Temple Judaism, Jesus, and Women: Yeast of Eden</w:t>
      </w:r>
      <w:r w:rsidRPr="49AD98FF" w:rsidR="49AD98FF">
        <w:rPr>
          <w:noProof w:val="0"/>
          <w:lang w:val="en-US"/>
        </w:rPr>
        <w:t>”,</w:t>
      </w:r>
      <w:r w:rsidRPr="49AD98FF" w:rsidR="49AD98FF">
        <w:rPr>
          <w:noProof w:val="0"/>
          <w:lang w:val="en-US"/>
        </w:rPr>
        <w:t xml:space="preserve"> A Feminist Companion to the Hebrew Bible in the New Testament,</w:t>
      </w:r>
      <w:r w:rsidR="49AD98FF">
        <w:rPr/>
        <w:t xml:space="preserve"> p. 311 </w:t>
      </w:r>
    </w:p>
  </w:footnote>
</w:footnotes>
</file>

<file path=word/intelligence2.xml><?xml version="1.0" encoding="utf-8"?>
<int2:intelligence xmlns:int2="http://schemas.microsoft.com/office/intelligence/2020/intelligence">
  <int2:observations>
    <int2:textHash int2:hashCode="mhjYDKPW7QvdRZ" int2:id="VTOkEuiK">
      <int2:state int2:type="AugLoop_Text_Critique" int2:value="Rejected"/>
    </int2:textHash>
    <int2:textHash int2:hashCode="yRdcTzUhLZRBGN" int2:id="E3MWS13O">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C67142"/>
    <w:rsid w:val="0011F98E"/>
    <w:rsid w:val="003396BD"/>
    <w:rsid w:val="00A11E03"/>
    <w:rsid w:val="00A80422"/>
    <w:rsid w:val="014E50D0"/>
    <w:rsid w:val="01C841D9"/>
    <w:rsid w:val="0220A030"/>
    <w:rsid w:val="023ED058"/>
    <w:rsid w:val="0286BFD7"/>
    <w:rsid w:val="029932C9"/>
    <w:rsid w:val="02AC283D"/>
    <w:rsid w:val="03F8DBE5"/>
    <w:rsid w:val="047DBD2F"/>
    <w:rsid w:val="04FD63FE"/>
    <w:rsid w:val="04FE29BF"/>
    <w:rsid w:val="06446D42"/>
    <w:rsid w:val="0654198A"/>
    <w:rsid w:val="069446FD"/>
    <w:rsid w:val="06B4F466"/>
    <w:rsid w:val="06BBF5A4"/>
    <w:rsid w:val="06F843EC"/>
    <w:rsid w:val="0700AD5A"/>
    <w:rsid w:val="07AD18BB"/>
    <w:rsid w:val="07EFE9EB"/>
    <w:rsid w:val="081C697A"/>
    <w:rsid w:val="0839D6F2"/>
    <w:rsid w:val="0842104B"/>
    <w:rsid w:val="08C65310"/>
    <w:rsid w:val="08CB4ECA"/>
    <w:rsid w:val="092AB8D9"/>
    <w:rsid w:val="0933BC48"/>
    <w:rsid w:val="09CE2807"/>
    <w:rsid w:val="0A225120"/>
    <w:rsid w:val="0A671F2B"/>
    <w:rsid w:val="0A77F493"/>
    <w:rsid w:val="0ACEAB9D"/>
    <w:rsid w:val="0AD15A55"/>
    <w:rsid w:val="0AE699E9"/>
    <w:rsid w:val="0AE699E9"/>
    <w:rsid w:val="0B107F64"/>
    <w:rsid w:val="0B287239"/>
    <w:rsid w:val="0B9059D3"/>
    <w:rsid w:val="0BC4696C"/>
    <w:rsid w:val="0C348761"/>
    <w:rsid w:val="0C39A837"/>
    <w:rsid w:val="0CAC1443"/>
    <w:rsid w:val="0CB005DE"/>
    <w:rsid w:val="0D30948E"/>
    <w:rsid w:val="0D3CB4EF"/>
    <w:rsid w:val="0DDFFCE5"/>
    <w:rsid w:val="0E1FE7A1"/>
    <w:rsid w:val="0E45772D"/>
    <w:rsid w:val="0ED01570"/>
    <w:rsid w:val="0FB03976"/>
    <w:rsid w:val="0FBE0FCF"/>
    <w:rsid w:val="0FECE827"/>
    <w:rsid w:val="0FF01C23"/>
    <w:rsid w:val="104F13CA"/>
    <w:rsid w:val="106949E3"/>
    <w:rsid w:val="109B4176"/>
    <w:rsid w:val="116A5D0F"/>
    <w:rsid w:val="117CCF87"/>
    <w:rsid w:val="11D239AC"/>
    <w:rsid w:val="12268B74"/>
    <w:rsid w:val="1261F53B"/>
    <w:rsid w:val="12683948"/>
    <w:rsid w:val="127A9A21"/>
    <w:rsid w:val="1284A926"/>
    <w:rsid w:val="12A522DF"/>
    <w:rsid w:val="132488E9"/>
    <w:rsid w:val="13329C92"/>
    <w:rsid w:val="1365F403"/>
    <w:rsid w:val="136B8B8B"/>
    <w:rsid w:val="14A30604"/>
    <w:rsid w:val="14BB6C48"/>
    <w:rsid w:val="15038A51"/>
    <w:rsid w:val="15187D9A"/>
    <w:rsid w:val="154E06C3"/>
    <w:rsid w:val="1568FD8D"/>
    <w:rsid w:val="159AFEB5"/>
    <w:rsid w:val="15B516C0"/>
    <w:rsid w:val="15B522F4"/>
    <w:rsid w:val="15B84B04"/>
    <w:rsid w:val="15BFB23D"/>
    <w:rsid w:val="1624ED04"/>
    <w:rsid w:val="16313F80"/>
    <w:rsid w:val="16426C81"/>
    <w:rsid w:val="16534B99"/>
    <w:rsid w:val="16672C6B"/>
    <w:rsid w:val="16CC7D34"/>
    <w:rsid w:val="16CF3C18"/>
    <w:rsid w:val="172FB8A7"/>
    <w:rsid w:val="17461D7C"/>
    <w:rsid w:val="1750F355"/>
    <w:rsid w:val="178A36D5"/>
    <w:rsid w:val="17A1AEF1"/>
    <w:rsid w:val="17C98AAC"/>
    <w:rsid w:val="17F7FA0C"/>
    <w:rsid w:val="1840A3AA"/>
    <w:rsid w:val="1846E953"/>
    <w:rsid w:val="186FDB33"/>
    <w:rsid w:val="18726FD3"/>
    <w:rsid w:val="18D53A83"/>
    <w:rsid w:val="18ECC3B6"/>
    <w:rsid w:val="1905981F"/>
    <w:rsid w:val="1955A63B"/>
    <w:rsid w:val="1965CAF7"/>
    <w:rsid w:val="19C533B5"/>
    <w:rsid w:val="19CA6691"/>
    <w:rsid w:val="19CF78E6"/>
    <w:rsid w:val="19FD0932"/>
    <w:rsid w:val="1A27B33F"/>
    <w:rsid w:val="1A6C3EF8"/>
    <w:rsid w:val="1A710AE4"/>
    <w:rsid w:val="1A857EE3"/>
    <w:rsid w:val="1AC0FC8A"/>
    <w:rsid w:val="1ACF4361"/>
    <w:rsid w:val="1AFA6A3C"/>
    <w:rsid w:val="1B65A79D"/>
    <w:rsid w:val="1B734890"/>
    <w:rsid w:val="1BB527A2"/>
    <w:rsid w:val="1BDA8B27"/>
    <w:rsid w:val="1CC67142"/>
    <w:rsid w:val="1D25D8D5"/>
    <w:rsid w:val="1D77119A"/>
    <w:rsid w:val="1E2DBCDE"/>
    <w:rsid w:val="1E6B0615"/>
    <w:rsid w:val="1E928149"/>
    <w:rsid w:val="1F028973"/>
    <w:rsid w:val="1F43B25C"/>
    <w:rsid w:val="1FA652D4"/>
    <w:rsid w:val="1FDEA913"/>
    <w:rsid w:val="201A3CF5"/>
    <w:rsid w:val="202AE043"/>
    <w:rsid w:val="20316CD0"/>
    <w:rsid w:val="20348233"/>
    <w:rsid w:val="2088669D"/>
    <w:rsid w:val="20CB7463"/>
    <w:rsid w:val="20D43DE2"/>
    <w:rsid w:val="213476DE"/>
    <w:rsid w:val="2175BCCB"/>
    <w:rsid w:val="2175C82B"/>
    <w:rsid w:val="21847535"/>
    <w:rsid w:val="21E68205"/>
    <w:rsid w:val="2280E51B"/>
    <w:rsid w:val="231ED0AE"/>
    <w:rsid w:val="233D0A28"/>
    <w:rsid w:val="23759EDE"/>
    <w:rsid w:val="23D9B7E2"/>
    <w:rsid w:val="24196180"/>
    <w:rsid w:val="243773AC"/>
    <w:rsid w:val="24893697"/>
    <w:rsid w:val="251A6566"/>
    <w:rsid w:val="25FAD4F1"/>
    <w:rsid w:val="262F9A39"/>
    <w:rsid w:val="26318B7B"/>
    <w:rsid w:val="264B02B0"/>
    <w:rsid w:val="2690DCF6"/>
    <w:rsid w:val="26B232F7"/>
    <w:rsid w:val="26EB8DFA"/>
    <w:rsid w:val="272334AD"/>
    <w:rsid w:val="2725B907"/>
    <w:rsid w:val="27C1DBCD"/>
    <w:rsid w:val="27D2588D"/>
    <w:rsid w:val="2812D0A7"/>
    <w:rsid w:val="282B60B3"/>
    <w:rsid w:val="2857D451"/>
    <w:rsid w:val="285D6CE8"/>
    <w:rsid w:val="28B70025"/>
    <w:rsid w:val="28FE82C8"/>
    <w:rsid w:val="290AD506"/>
    <w:rsid w:val="2982E966"/>
    <w:rsid w:val="2AB85DB4"/>
    <w:rsid w:val="2ABE245A"/>
    <w:rsid w:val="2AEE04C2"/>
    <w:rsid w:val="2B16BF01"/>
    <w:rsid w:val="2B1C1009"/>
    <w:rsid w:val="2B57FB66"/>
    <w:rsid w:val="2B8310EC"/>
    <w:rsid w:val="2BB80AD2"/>
    <w:rsid w:val="2BFD442A"/>
    <w:rsid w:val="2C6228EF"/>
    <w:rsid w:val="2D0A3A3E"/>
    <w:rsid w:val="2D3CC385"/>
    <w:rsid w:val="2DA44F31"/>
    <w:rsid w:val="2DE4DEFF"/>
    <w:rsid w:val="2DE5DE64"/>
    <w:rsid w:val="2DFDF950"/>
    <w:rsid w:val="2E5B5871"/>
    <w:rsid w:val="2E8B7153"/>
    <w:rsid w:val="2ED893E6"/>
    <w:rsid w:val="2F113BB5"/>
    <w:rsid w:val="2F2A26B6"/>
    <w:rsid w:val="2F57F9F0"/>
    <w:rsid w:val="2F5CA087"/>
    <w:rsid w:val="2FC4CBB2"/>
    <w:rsid w:val="302A5527"/>
    <w:rsid w:val="30382D29"/>
    <w:rsid w:val="30DCF429"/>
    <w:rsid w:val="30F830FE"/>
    <w:rsid w:val="313ECA64"/>
    <w:rsid w:val="318D78CD"/>
    <w:rsid w:val="3199CBF5"/>
    <w:rsid w:val="31C6FA23"/>
    <w:rsid w:val="31C7003B"/>
    <w:rsid w:val="31EF87FA"/>
    <w:rsid w:val="322C65FB"/>
    <w:rsid w:val="32371BFE"/>
    <w:rsid w:val="3256191D"/>
    <w:rsid w:val="32694818"/>
    <w:rsid w:val="3276E7A8"/>
    <w:rsid w:val="328C7384"/>
    <w:rsid w:val="32B3557C"/>
    <w:rsid w:val="32BD39E2"/>
    <w:rsid w:val="32DD6B52"/>
    <w:rsid w:val="32EE433F"/>
    <w:rsid w:val="33AC109C"/>
    <w:rsid w:val="33D62D78"/>
    <w:rsid w:val="33D95D19"/>
    <w:rsid w:val="341DACA3"/>
    <w:rsid w:val="34CD5DA2"/>
    <w:rsid w:val="34ED3929"/>
    <w:rsid w:val="3591F053"/>
    <w:rsid w:val="35A0A0C1"/>
    <w:rsid w:val="35C41446"/>
    <w:rsid w:val="35F711A8"/>
    <w:rsid w:val="3715E83C"/>
    <w:rsid w:val="3750983F"/>
    <w:rsid w:val="37624818"/>
    <w:rsid w:val="37799FF3"/>
    <w:rsid w:val="377C7C69"/>
    <w:rsid w:val="37CE4CD9"/>
    <w:rsid w:val="38939D6A"/>
    <w:rsid w:val="38A6B076"/>
    <w:rsid w:val="38FA70DA"/>
    <w:rsid w:val="39271EF3"/>
    <w:rsid w:val="39AD5C68"/>
    <w:rsid w:val="39F04244"/>
    <w:rsid w:val="39FAA938"/>
    <w:rsid w:val="3A15D143"/>
    <w:rsid w:val="3A212B50"/>
    <w:rsid w:val="3A2FA7B7"/>
    <w:rsid w:val="3A5AE7DF"/>
    <w:rsid w:val="3A8AB076"/>
    <w:rsid w:val="3A978569"/>
    <w:rsid w:val="3AD393AD"/>
    <w:rsid w:val="3B08392C"/>
    <w:rsid w:val="3B19CF51"/>
    <w:rsid w:val="3B8C2ECE"/>
    <w:rsid w:val="3B90C1B6"/>
    <w:rsid w:val="3B9D2FED"/>
    <w:rsid w:val="3BBBE927"/>
    <w:rsid w:val="3BF3ABFF"/>
    <w:rsid w:val="3C3355CA"/>
    <w:rsid w:val="3C5C33D1"/>
    <w:rsid w:val="3C7FE2F2"/>
    <w:rsid w:val="3C94DA4F"/>
    <w:rsid w:val="3CEA503F"/>
    <w:rsid w:val="3CF94E0F"/>
    <w:rsid w:val="3D3F8303"/>
    <w:rsid w:val="3DCF262B"/>
    <w:rsid w:val="3E1585AA"/>
    <w:rsid w:val="3E88EF62"/>
    <w:rsid w:val="3EAE8C2E"/>
    <w:rsid w:val="3F5D5016"/>
    <w:rsid w:val="3F760B40"/>
    <w:rsid w:val="4002DB4E"/>
    <w:rsid w:val="405965FA"/>
    <w:rsid w:val="40A4C36D"/>
    <w:rsid w:val="40EE2E45"/>
    <w:rsid w:val="4128C117"/>
    <w:rsid w:val="4147D84A"/>
    <w:rsid w:val="4162BB50"/>
    <w:rsid w:val="41783D59"/>
    <w:rsid w:val="4233E61F"/>
    <w:rsid w:val="42A2974E"/>
    <w:rsid w:val="42ADAC02"/>
    <w:rsid w:val="42DAC96F"/>
    <w:rsid w:val="438AEC79"/>
    <w:rsid w:val="438DFC3C"/>
    <w:rsid w:val="43CADCC6"/>
    <w:rsid w:val="43CC7EFB"/>
    <w:rsid w:val="4424B36D"/>
    <w:rsid w:val="442ED929"/>
    <w:rsid w:val="443E67AF"/>
    <w:rsid w:val="447FB2B8"/>
    <w:rsid w:val="449F186F"/>
    <w:rsid w:val="44A6E628"/>
    <w:rsid w:val="44C212C2"/>
    <w:rsid w:val="44F1C319"/>
    <w:rsid w:val="4526BCDA"/>
    <w:rsid w:val="456B1C74"/>
    <w:rsid w:val="457BC701"/>
    <w:rsid w:val="45D562D7"/>
    <w:rsid w:val="45D9CB3D"/>
    <w:rsid w:val="45F92764"/>
    <w:rsid w:val="4625173A"/>
    <w:rsid w:val="462826A7"/>
    <w:rsid w:val="4699162C"/>
    <w:rsid w:val="46A99C51"/>
    <w:rsid w:val="46F582A5"/>
    <w:rsid w:val="4714F441"/>
    <w:rsid w:val="4737475A"/>
    <w:rsid w:val="475401A7"/>
    <w:rsid w:val="476DCEAA"/>
    <w:rsid w:val="47811D25"/>
    <w:rsid w:val="47880ACB"/>
    <w:rsid w:val="47D995E4"/>
    <w:rsid w:val="47D99BA3"/>
    <w:rsid w:val="4811C89E"/>
    <w:rsid w:val="4815FD7A"/>
    <w:rsid w:val="48215354"/>
    <w:rsid w:val="482A16C3"/>
    <w:rsid w:val="48443905"/>
    <w:rsid w:val="49426EE7"/>
    <w:rsid w:val="4966DC10"/>
    <w:rsid w:val="496D98ED"/>
    <w:rsid w:val="49A32032"/>
    <w:rsid w:val="49AD39B6"/>
    <w:rsid w:val="49AD98FF"/>
    <w:rsid w:val="49B860B3"/>
    <w:rsid w:val="49E3F138"/>
    <w:rsid w:val="49F1691A"/>
    <w:rsid w:val="49FA3FB8"/>
    <w:rsid w:val="4A2B648D"/>
    <w:rsid w:val="4A63C4C6"/>
    <w:rsid w:val="4AADA933"/>
    <w:rsid w:val="4AB27680"/>
    <w:rsid w:val="4AFA28BA"/>
    <w:rsid w:val="4B0C1080"/>
    <w:rsid w:val="4B771E0C"/>
    <w:rsid w:val="4B819EE5"/>
    <w:rsid w:val="4BADD2AF"/>
    <w:rsid w:val="4C51671A"/>
    <w:rsid w:val="4C58D997"/>
    <w:rsid w:val="4C8F3650"/>
    <w:rsid w:val="4CA0CE31"/>
    <w:rsid w:val="4CAACA32"/>
    <w:rsid w:val="4D0F87FD"/>
    <w:rsid w:val="4D2A0B74"/>
    <w:rsid w:val="4D319A55"/>
    <w:rsid w:val="4D868132"/>
    <w:rsid w:val="4D8B469A"/>
    <w:rsid w:val="4DD6C6AD"/>
    <w:rsid w:val="4DDEE8B7"/>
    <w:rsid w:val="4DE8874E"/>
    <w:rsid w:val="4DFC951C"/>
    <w:rsid w:val="4E126992"/>
    <w:rsid w:val="4E2A1242"/>
    <w:rsid w:val="4EB1378B"/>
    <w:rsid w:val="4EB17F10"/>
    <w:rsid w:val="4F74C3B1"/>
    <w:rsid w:val="4F91D3E5"/>
    <w:rsid w:val="4FB0AE37"/>
    <w:rsid w:val="4FC069ED"/>
    <w:rsid w:val="501EB2E8"/>
    <w:rsid w:val="505E883B"/>
    <w:rsid w:val="50B44492"/>
    <w:rsid w:val="518772BF"/>
    <w:rsid w:val="51BB72E3"/>
    <w:rsid w:val="51EC1495"/>
    <w:rsid w:val="520837C3"/>
    <w:rsid w:val="5217D39A"/>
    <w:rsid w:val="521EEE1F"/>
    <w:rsid w:val="52B26C58"/>
    <w:rsid w:val="52B8E904"/>
    <w:rsid w:val="531F7B5D"/>
    <w:rsid w:val="53549BC5"/>
    <w:rsid w:val="53630387"/>
    <w:rsid w:val="536AEA3D"/>
    <w:rsid w:val="538FE0B1"/>
    <w:rsid w:val="53B08BC1"/>
    <w:rsid w:val="53B31D9F"/>
    <w:rsid w:val="53E87295"/>
    <w:rsid w:val="5407A37B"/>
    <w:rsid w:val="5439BE78"/>
    <w:rsid w:val="5439C99A"/>
    <w:rsid w:val="544D2DBE"/>
    <w:rsid w:val="546E4856"/>
    <w:rsid w:val="55378F4D"/>
    <w:rsid w:val="55572E6F"/>
    <w:rsid w:val="55A0385A"/>
    <w:rsid w:val="55A72B0B"/>
    <w:rsid w:val="55B39D97"/>
    <w:rsid w:val="55E46998"/>
    <w:rsid w:val="5604D274"/>
    <w:rsid w:val="561B5D0E"/>
    <w:rsid w:val="564C7F20"/>
    <w:rsid w:val="565DEA6E"/>
    <w:rsid w:val="577A657F"/>
    <w:rsid w:val="581A470A"/>
    <w:rsid w:val="58617A2F"/>
    <w:rsid w:val="59E0D7C1"/>
    <w:rsid w:val="59E6453D"/>
    <w:rsid w:val="5A410C94"/>
    <w:rsid w:val="5A632135"/>
    <w:rsid w:val="5A906CE0"/>
    <w:rsid w:val="5ACBBA83"/>
    <w:rsid w:val="5AD1284E"/>
    <w:rsid w:val="5B01941B"/>
    <w:rsid w:val="5B0FF39B"/>
    <w:rsid w:val="5B2518C9"/>
    <w:rsid w:val="5B89CFFF"/>
    <w:rsid w:val="5B90C065"/>
    <w:rsid w:val="5BBFEA1A"/>
    <w:rsid w:val="5BD09E8B"/>
    <w:rsid w:val="5C075B4F"/>
    <w:rsid w:val="5C678AE4"/>
    <w:rsid w:val="5C7E7F54"/>
    <w:rsid w:val="5CF3A51F"/>
    <w:rsid w:val="5D0D72EF"/>
    <w:rsid w:val="5D2AF40E"/>
    <w:rsid w:val="5D33B55C"/>
    <w:rsid w:val="5D841DD7"/>
    <w:rsid w:val="5E035B45"/>
    <w:rsid w:val="5E1AB06F"/>
    <w:rsid w:val="5E619619"/>
    <w:rsid w:val="5EDDF5DB"/>
    <w:rsid w:val="5F1C5724"/>
    <w:rsid w:val="5F3033DF"/>
    <w:rsid w:val="5F83801F"/>
    <w:rsid w:val="5F9FEF24"/>
    <w:rsid w:val="60A2E605"/>
    <w:rsid w:val="60F8A0CF"/>
    <w:rsid w:val="616527FC"/>
    <w:rsid w:val="61977521"/>
    <w:rsid w:val="61EAEF2E"/>
    <w:rsid w:val="6215969D"/>
    <w:rsid w:val="622E9CCD"/>
    <w:rsid w:val="62915145"/>
    <w:rsid w:val="62D0A550"/>
    <w:rsid w:val="630DD962"/>
    <w:rsid w:val="641201DF"/>
    <w:rsid w:val="6424A3A3"/>
    <w:rsid w:val="643B81ED"/>
    <w:rsid w:val="6488F4AC"/>
    <w:rsid w:val="658B3D7F"/>
    <w:rsid w:val="65AA7BE8"/>
    <w:rsid w:val="665BDD82"/>
    <w:rsid w:val="6681747E"/>
    <w:rsid w:val="66A88BC4"/>
    <w:rsid w:val="66B38BB4"/>
    <w:rsid w:val="66D3EC9F"/>
    <w:rsid w:val="66E907C0"/>
    <w:rsid w:val="67EF78D3"/>
    <w:rsid w:val="68435FEF"/>
    <w:rsid w:val="68705828"/>
    <w:rsid w:val="691F85E7"/>
    <w:rsid w:val="69958544"/>
    <w:rsid w:val="69C1B0A3"/>
    <w:rsid w:val="69F9C24A"/>
    <w:rsid w:val="6A4EFBA5"/>
    <w:rsid w:val="6AA4694C"/>
    <w:rsid w:val="6AD454E1"/>
    <w:rsid w:val="6B3396A5"/>
    <w:rsid w:val="6C04F244"/>
    <w:rsid w:val="6C05004F"/>
    <w:rsid w:val="6C0A7C21"/>
    <w:rsid w:val="6C28DB10"/>
    <w:rsid w:val="6C78D284"/>
    <w:rsid w:val="6CD5EDDC"/>
    <w:rsid w:val="6D372FB2"/>
    <w:rsid w:val="6DA58E2D"/>
    <w:rsid w:val="6E1CA70A"/>
    <w:rsid w:val="6E7CC61D"/>
    <w:rsid w:val="6ED85698"/>
    <w:rsid w:val="6F263192"/>
    <w:rsid w:val="70028388"/>
    <w:rsid w:val="7002BDA3"/>
    <w:rsid w:val="7077FFA3"/>
    <w:rsid w:val="70A1A696"/>
    <w:rsid w:val="71138C6D"/>
    <w:rsid w:val="71BD35C1"/>
    <w:rsid w:val="71C9F107"/>
    <w:rsid w:val="72283C7F"/>
    <w:rsid w:val="722EA4DC"/>
    <w:rsid w:val="72532773"/>
    <w:rsid w:val="72637EE7"/>
    <w:rsid w:val="7268273F"/>
    <w:rsid w:val="72D35DC2"/>
    <w:rsid w:val="7300CD76"/>
    <w:rsid w:val="7365FBB6"/>
    <w:rsid w:val="73D47051"/>
    <w:rsid w:val="742C754F"/>
    <w:rsid w:val="749B1EBD"/>
    <w:rsid w:val="74A3BC7E"/>
    <w:rsid w:val="74D31936"/>
    <w:rsid w:val="74F65595"/>
    <w:rsid w:val="751366A2"/>
    <w:rsid w:val="7521B224"/>
    <w:rsid w:val="763905C6"/>
    <w:rsid w:val="76C27950"/>
    <w:rsid w:val="77FF1190"/>
    <w:rsid w:val="7806A7C6"/>
    <w:rsid w:val="7817DC86"/>
    <w:rsid w:val="781E16AA"/>
    <w:rsid w:val="7875083C"/>
    <w:rsid w:val="79487F01"/>
    <w:rsid w:val="79645C95"/>
    <w:rsid w:val="79B094BD"/>
    <w:rsid w:val="79DB7D6A"/>
    <w:rsid w:val="7A6B3119"/>
    <w:rsid w:val="7A9C9976"/>
    <w:rsid w:val="7AA1A0A3"/>
    <w:rsid w:val="7B325CB2"/>
    <w:rsid w:val="7B616E78"/>
    <w:rsid w:val="7B83B5DA"/>
    <w:rsid w:val="7B879240"/>
    <w:rsid w:val="7B8A60D7"/>
    <w:rsid w:val="7B9A2114"/>
    <w:rsid w:val="7BDFC717"/>
    <w:rsid w:val="7C177916"/>
    <w:rsid w:val="7C397F3B"/>
    <w:rsid w:val="7CC7D01E"/>
    <w:rsid w:val="7CFCF36F"/>
    <w:rsid w:val="7D05C6E9"/>
    <w:rsid w:val="7D106552"/>
    <w:rsid w:val="7DD06826"/>
    <w:rsid w:val="7DE4D782"/>
    <w:rsid w:val="7E057172"/>
    <w:rsid w:val="7E442796"/>
    <w:rsid w:val="7E57A248"/>
    <w:rsid w:val="7ED2CD87"/>
    <w:rsid w:val="7ED760D0"/>
    <w:rsid w:val="7EF8C56C"/>
    <w:rsid w:val="7F08F17D"/>
    <w:rsid w:val="7F98D58E"/>
    <w:rsid w:val="7FA61D47"/>
    <w:rsid w:val="7FAC462E"/>
    <w:rsid w:val="7FB6C43A"/>
    <w:rsid w:val="7FE91EBC"/>
    <w:rsid w:val="7FF2A9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67142"/>
  <w15:chartTrackingRefBased/>
  <w15:docId w15:val="{24D6BDDF-9EDF-4613-96AB-E9E380826C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8c2f0bea761f4b31" /><Relationship Type="http://schemas.microsoft.com/office/2020/10/relationships/intelligence" Target="intelligence2.xml" Id="R7c55344e9aa44b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2024-05-23T11:24:44.5221508Z</dcterms:created>
  <dcterms:modified xsi:type="dcterms:W3CDTF">2024-05-23T22:49:49.5438694Z</dcterms:modified>
  <dc:creator>Sian George (2312671)</dc:creator>
  <lastModifiedBy>Sian George (2312671)</lastModifiedBy>
</coreProperties>
</file>