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after="160" w:line="259" w:lineRule="auto"/>
        <w:jc w:val="center"/>
        <w:rPr>
          <w:rFonts w:ascii="Verdana" w:hAnsi="Verdana"/>
          <w:b/>
          <w:i/>
          <w:sz w:val="44"/>
        </w:rPr>
      </w:pPr>
      <w:bookmarkStart w:id="0" w:name="_Toc25550927"/>
    </w:p>
    <w:p>
      <w:pPr>
        <w:spacing w:after="160" w:line="259" w:lineRule="auto"/>
        <w:jc w:val="center"/>
        <w:rPr>
          <w:rFonts w:ascii="Verdana" w:hAnsi="Verdana"/>
          <w:b/>
          <w:caps/>
          <w:color w:val="auto"/>
          <w:sz w:val="18"/>
          <w:szCs w:val="18"/>
        </w:rPr>
      </w:pPr>
      <w:r>
        <w:rPr>
          <w:rFonts w:ascii="Verdana" w:hAnsi="Verdana"/>
          <w:b/>
          <w:i/>
          <w:sz w:val="44"/>
        </w:rPr>
        <w:t>Dummy Report for Strategic Management Assignment 1 201</w:t>
      </w:r>
      <w:r>
        <w:rPr>
          <w:rFonts w:hint="eastAsia" w:ascii="Verdana" w:hAnsi="Verdana"/>
          <w:b/>
          <w:i/>
          <w:sz w:val="44"/>
          <w:lang w:val="en-US" w:eastAsia="zh-CN"/>
        </w:rPr>
        <w:t>9</w:t>
      </w:r>
      <w:r>
        <w:rPr>
          <w:rFonts w:ascii="Verdana" w:hAnsi="Verdana"/>
          <w:b/>
          <w:i/>
          <w:sz w:val="44"/>
        </w:rPr>
        <w:t xml:space="preserve"> –</w:t>
      </w:r>
      <w:r>
        <w:rPr>
          <w:rFonts w:ascii="Verdana" w:hAnsi="Verdana"/>
          <w:b/>
          <w:i/>
          <w:color w:val="auto"/>
          <w:sz w:val="44"/>
        </w:rPr>
        <w:t xml:space="preserve"> </w:t>
      </w:r>
      <w:r>
        <w:rPr>
          <w:rFonts w:hint="eastAsia" w:ascii="Verdana" w:hAnsi="Verdana"/>
          <w:b/>
          <w:i/>
          <w:color w:val="auto"/>
          <w:sz w:val="44"/>
        </w:rPr>
        <w:t>the</w:t>
      </w:r>
      <w:r>
        <w:rPr>
          <w:rFonts w:hint="eastAsia" w:ascii="Verdana" w:hAnsi="Verdana"/>
          <w:b/>
          <w:i/>
          <w:color w:val="auto"/>
          <w:sz w:val="44"/>
          <w:lang w:val="en-US" w:eastAsia="zh-CN"/>
        </w:rPr>
        <w:t xml:space="preserve"> research on the</w:t>
      </w:r>
      <w:r>
        <w:rPr>
          <w:rFonts w:hint="eastAsia" w:ascii="Verdana" w:hAnsi="Verdana"/>
          <w:b/>
          <w:i/>
          <w:color w:val="auto"/>
          <w:sz w:val="44"/>
        </w:rPr>
        <w:t xml:space="preserve"> cost leadership strategy of Lidl</w:t>
      </w:r>
    </w:p>
    <w:p>
      <w:pPr>
        <w:spacing w:after="160" w:line="259" w:lineRule="auto"/>
        <w:rPr>
          <w:rFonts w:ascii="Verdana" w:hAnsi="Verdana"/>
          <w:b/>
          <w:caps/>
          <w:sz w:val="18"/>
          <w:szCs w:val="18"/>
        </w:rPr>
      </w:pPr>
    </w:p>
    <w:p>
      <w:pPr>
        <w:spacing w:after="160" w:line="259" w:lineRule="auto"/>
        <w:jc w:val="center"/>
        <w:rPr>
          <w:rFonts w:ascii="Verdana" w:hAnsi="Verdana"/>
          <w:b/>
          <w:caps/>
          <w:sz w:val="18"/>
          <w:szCs w:val="18"/>
        </w:rPr>
      </w:pPr>
      <w:r>
        <w:rPr>
          <w:lang w:eastAsia="en-GB"/>
        </w:rPr>
        <w:drawing>
          <wp:inline distT="0" distB="0" distL="0" distR="0">
            <wp:extent cx="2860040" cy="3172460"/>
            <wp:effectExtent l="0" t="0" r="1651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rest of TSD.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a:xfrm>
                      <a:off x="0" y="0"/>
                      <a:ext cx="2860040" cy="3172460"/>
                    </a:xfrm>
                    <a:prstGeom prst="rect">
                      <a:avLst/>
                    </a:prstGeom>
                    <a:noFill/>
                    <a:ln>
                      <a:noFill/>
                    </a:ln>
                  </pic:spPr>
                </pic:pic>
              </a:graphicData>
            </a:graphic>
          </wp:inline>
        </w:drawing>
      </w:r>
      <w:bookmarkStart w:id="67" w:name="_GoBack"/>
      <w:bookmarkEnd w:id="67"/>
    </w:p>
    <w:p>
      <w:pPr>
        <w:spacing w:after="160" w:line="259" w:lineRule="auto"/>
        <w:rPr>
          <w:rFonts w:ascii="Verdana" w:hAnsi="Verdana"/>
          <w:b/>
          <w:caps/>
          <w:sz w:val="18"/>
          <w:szCs w:val="18"/>
        </w:rPr>
      </w:pPr>
    </w:p>
    <w:p>
      <w:pPr>
        <w:spacing w:after="160" w:line="259" w:lineRule="auto"/>
        <w:jc w:val="center"/>
        <w:rPr>
          <w:rFonts w:hint="eastAsia" w:ascii="Verdana" w:hAnsi="Verdana" w:eastAsiaTheme="minorEastAsia"/>
          <w:b/>
          <w:sz w:val="44"/>
          <w:lang w:val="en-US" w:eastAsia="zh-CN"/>
        </w:rPr>
      </w:pPr>
      <w:r>
        <w:rPr>
          <w:rFonts w:hint="eastAsia" w:ascii="Verdana" w:hAnsi="Verdana"/>
          <w:b/>
          <w:sz w:val="44"/>
          <w:lang w:val="en-US" w:eastAsia="zh-CN"/>
        </w:rPr>
        <w:t>November</w:t>
      </w:r>
      <w:r>
        <w:rPr>
          <w:rFonts w:ascii="Verdana" w:hAnsi="Verdana"/>
          <w:b/>
          <w:sz w:val="44"/>
        </w:rPr>
        <w:t xml:space="preserve"> 201</w:t>
      </w:r>
      <w:r>
        <w:rPr>
          <w:rFonts w:hint="eastAsia" w:ascii="Verdana" w:hAnsi="Verdana"/>
          <w:b/>
          <w:sz w:val="44"/>
          <w:lang w:val="en-US" w:eastAsia="zh-CN"/>
        </w:rPr>
        <w:t>9</w:t>
      </w:r>
    </w:p>
    <w:p>
      <w:pPr>
        <w:spacing w:after="160" w:line="259" w:lineRule="auto"/>
        <w:rPr>
          <w:rFonts w:ascii="Verdana" w:hAnsi="Verdana"/>
          <w:b/>
          <w:caps/>
          <w:sz w:val="18"/>
          <w:szCs w:val="18"/>
        </w:rPr>
      </w:pPr>
    </w:p>
    <w:p>
      <w:pPr>
        <w:spacing w:after="160" w:line="259" w:lineRule="auto"/>
        <w:rPr>
          <w:rFonts w:hint="eastAsia" w:ascii="Verdana" w:hAnsi="Verdana" w:eastAsiaTheme="minorEastAsia"/>
          <w:b/>
          <w:caps/>
          <w:color w:val="auto"/>
          <w:sz w:val="18"/>
          <w:szCs w:val="18"/>
          <w:lang w:val="en-US" w:eastAsia="zh-CN"/>
        </w:rPr>
      </w:pPr>
      <w:r>
        <w:rPr>
          <w:rFonts w:ascii="Verdana" w:hAnsi="Verdana"/>
          <w:b/>
          <w:caps/>
          <w:sz w:val="18"/>
          <w:szCs w:val="18"/>
        </w:rPr>
        <w:t>MODULE NAME:</w:t>
      </w:r>
      <w:r>
        <w:rPr>
          <w:rFonts w:ascii="Verdana" w:hAnsi="Verdana"/>
          <w:b/>
          <w:caps/>
          <w:sz w:val="18"/>
          <w:szCs w:val="18"/>
        </w:rPr>
        <w:tab/>
      </w:r>
      <w:r>
        <w:rPr>
          <w:rFonts w:ascii="Verdana" w:hAnsi="Verdana"/>
          <w:b/>
          <w:caps/>
          <w:sz w:val="18"/>
          <w:szCs w:val="18"/>
        </w:rPr>
        <w:tab/>
      </w:r>
      <w:r>
        <w:rPr>
          <w:rFonts w:hint="eastAsia" w:ascii="Verdana" w:hAnsi="Verdana"/>
          <w:b/>
          <w:caps/>
          <w:color w:val="auto"/>
          <w:sz w:val="18"/>
          <w:szCs w:val="18"/>
        </w:rPr>
        <w:t>Strategic Management &amp; Sustainability (M3X9111</w:t>
      </w:r>
      <w:r>
        <w:rPr>
          <w:rFonts w:hint="eastAsia" w:ascii="Verdana" w:hAnsi="Verdana"/>
          <w:b/>
          <w:caps/>
          <w:color w:val="auto"/>
          <w:sz w:val="18"/>
          <w:szCs w:val="18"/>
          <w:lang w:val="en-US" w:eastAsia="zh-CN"/>
        </w:rPr>
        <w:t>)</w:t>
      </w:r>
    </w:p>
    <w:p>
      <w:pPr>
        <w:spacing w:after="160" w:line="259" w:lineRule="auto"/>
        <w:rPr>
          <w:rFonts w:hint="default" w:ascii="Verdana" w:hAnsi="Verdana" w:eastAsiaTheme="minorEastAsia"/>
          <w:b/>
          <w:caps/>
          <w:sz w:val="18"/>
          <w:szCs w:val="18"/>
          <w:lang w:val="en-US" w:eastAsia="zh-CN"/>
        </w:rPr>
      </w:pPr>
      <w:r>
        <w:rPr>
          <w:rFonts w:ascii="Verdana" w:hAnsi="Verdana"/>
          <w:b/>
          <w:caps/>
          <w:sz w:val="18"/>
          <w:szCs w:val="18"/>
        </w:rPr>
        <w:t>Name:</w:t>
      </w:r>
      <w:r>
        <w:rPr>
          <w:rFonts w:ascii="Verdana" w:hAnsi="Verdana"/>
          <w:b/>
          <w:caps/>
          <w:sz w:val="18"/>
          <w:szCs w:val="18"/>
        </w:rPr>
        <w:tab/>
      </w:r>
      <w:r>
        <w:rPr>
          <w:rFonts w:ascii="Verdana" w:hAnsi="Verdana"/>
          <w:b/>
          <w:caps/>
          <w:sz w:val="18"/>
          <w:szCs w:val="18"/>
        </w:rPr>
        <w:tab/>
      </w:r>
      <w:r>
        <w:rPr>
          <w:rFonts w:ascii="Verdana" w:hAnsi="Verdana"/>
          <w:b/>
          <w:caps/>
          <w:sz w:val="18"/>
          <w:szCs w:val="18"/>
        </w:rPr>
        <w:tab/>
      </w:r>
      <w:r>
        <w:rPr>
          <w:rFonts w:ascii="Verdana" w:hAnsi="Verdana"/>
          <w:b/>
          <w:caps/>
          <w:sz w:val="18"/>
          <w:szCs w:val="18"/>
        </w:rPr>
        <w:tab/>
      </w:r>
      <w:r>
        <w:rPr>
          <w:rFonts w:hint="eastAsia" w:ascii="Verdana" w:hAnsi="Verdana"/>
          <w:b/>
          <w:caps/>
          <w:sz w:val="18"/>
          <w:szCs w:val="18"/>
          <w:lang w:val="en-US" w:eastAsia="zh-CN"/>
        </w:rPr>
        <w:t xml:space="preserve">Jiankai Gao </w:t>
      </w:r>
    </w:p>
    <w:p>
      <w:pPr>
        <w:spacing w:after="160" w:line="259" w:lineRule="auto"/>
        <w:rPr>
          <w:rFonts w:ascii="Verdana" w:hAnsi="Verdana"/>
          <w:b/>
          <w:caps/>
          <w:sz w:val="18"/>
          <w:szCs w:val="18"/>
        </w:rPr>
      </w:pPr>
      <w:r>
        <w:rPr>
          <w:rFonts w:ascii="Verdana" w:hAnsi="Verdana"/>
          <w:b/>
          <w:caps/>
          <w:sz w:val="18"/>
          <w:szCs w:val="18"/>
        </w:rPr>
        <w:t>Student Number:</w:t>
      </w:r>
      <w:r>
        <w:rPr>
          <w:rFonts w:ascii="Verdana" w:hAnsi="Verdana"/>
          <w:b/>
          <w:caps/>
          <w:sz w:val="18"/>
          <w:szCs w:val="18"/>
        </w:rPr>
        <w:tab/>
      </w:r>
      <w:r>
        <w:rPr>
          <w:rFonts w:ascii="Verdana" w:hAnsi="Verdana"/>
          <w:b/>
          <w:caps/>
          <w:sz w:val="18"/>
          <w:szCs w:val="18"/>
        </w:rPr>
        <w:tab/>
      </w:r>
      <w:r>
        <w:rPr>
          <w:rFonts w:hint="eastAsia" w:ascii="Verdana" w:hAnsi="Verdana"/>
          <w:b/>
          <w:caps/>
          <w:sz w:val="18"/>
          <w:szCs w:val="18"/>
          <w:lang w:val="en-US" w:eastAsia="zh-CN"/>
        </w:rPr>
        <w:t>1904304</w:t>
      </w:r>
    </w:p>
    <w:p>
      <w:pPr>
        <w:autoSpaceDE/>
        <w:autoSpaceDN/>
        <w:adjustRightInd/>
        <w:spacing w:after="160" w:line="259" w:lineRule="auto"/>
        <w:rPr>
          <w:rFonts w:ascii="Verdana" w:hAnsi="Verdana"/>
          <w:b/>
          <w:caps/>
          <w:sz w:val="18"/>
          <w:szCs w:val="18"/>
        </w:rPr>
      </w:pPr>
      <w:r>
        <w:rPr>
          <w:rFonts w:ascii="Verdana" w:hAnsi="Verdana"/>
          <w:b/>
          <w:caps/>
          <w:sz w:val="18"/>
          <w:szCs w:val="18"/>
        </w:rPr>
        <w:br w:type="page"/>
      </w:r>
    </w:p>
    <w:p/>
    <w:sdt>
      <w:sdtPr>
        <w:rPr>
          <w:rFonts w:hint="default" w:ascii="Arial" w:hAnsi="Arial" w:eastAsia="宋体" w:cs="Arial"/>
          <w:b/>
          <w:bCs/>
          <w:color w:val="00B0F0"/>
          <w:kern w:val="2"/>
          <w:sz w:val="36"/>
          <w:szCs w:val="36"/>
          <w:lang w:val="en-GB" w:eastAsia="zh-CN" w:bidi="ar-SA"/>
        </w:rPr>
        <w:id w:val="147465710"/>
        <w15:color w:val="DBDBDB"/>
        <w:docPartObj>
          <w:docPartGallery w:val="Table of Contents"/>
          <w:docPartUnique/>
        </w:docPartObj>
      </w:sdtPr>
      <w:sdtEndPr>
        <w:rPr>
          <w:b/>
          <w:bCs/>
          <w:sz w:val="20"/>
          <w:szCs w:val="20"/>
        </w:rPr>
      </w:sdtEndPr>
      <w:sdtContent>
        <w:p>
          <w:pPr>
            <w:pStyle w:val="21"/>
            <w:tabs>
              <w:tab w:val="right" w:leader="dot" w:pos="8306"/>
            </w:tabs>
            <w:jc w:val="center"/>
            <w:rPr>
              <w:rFonts w:hint="default" w:ascii="Arial" w:hAnsi="Arial" w:eastAsia="宋体" w:cs="Arial"/>
              <w:b/>
              <w:bCs/>
              <w:color w:val="00B0F0"/>
              <w:kern w:val="2"/>
              <w:sz w:val="36"/>
              <w:szCs w:val="36"/>
              <w:lang w:val="en-US" w:eastAsia="zh-CN" w:bidi="ar-SA"/>
            </w:rPr>
          </w:pPr>
          <w:r>
            <w:rPr>
              <w:rFonts w:hint="default" w:ascii="Arial" w:hAnsi="Arial" w:eastAsia="宋体" w:cs="Arial"/>
              <w:b/>
              <w:bCs/>
              <w:color w:val="00B0F0"/>
              <w:kern w:val="2"/>
              <w:sz w:val="36"/>
              <w:szCs w:val="36"/>
              <w:lang w:val="en-US" w:eastAsia="zh-CN" w:bidi="ar-SA"/>
            </w:rPr>
            <w:t>contents</w:t>
          </w:r>
        </w:p>
        <w:p>
          <w:pPr>
            <w:pStyle w:val="6"/>
            <w:tabs>
              <w:tab w:val="right" w:leader="middleDot" w:pos="8306"/>
            </w:tabs>
          </w:pPr>
          <w:r>
            <w:rPr>
              <w:b/>
              <w:bCs/>
              <w:sz w:val="20"/>
              <w:szCs w:val="20"/>
            </w:rPr>
            <w:fldChar w:fldCharType="begin"/>
          </w:r>
          <w:r>
            <w:rPr>
              <w:b/>
              <w:bCs/>
              <w:sz w:val="20"/>
              <w:szCs w:val="20"/>
            </w:rPr>
            <w:instrText xml:space="preserve">TOC \o "1-3" \h \u </w:instrText>
          </w:r>
          <w:r>
            <w:rPr>
              <w:b/>
              <w:bCs/>
              <w:sz w:val="20"/>
              <w:szCs w:val="20"/>
            </w:rPr>
            <w:fldChar w:fldCharType="separate"/>
          </w:r>
          <w:r>
            <w:rPr>
              <w:bCs/>
              <w:szCs w:val="20"/>
            </w:rPr>
            <w:fldChar w:fldCharType="begin"/>
          </w:r>
          <w:r>
            <w:rPr>
              <w:bCs/>
              <w:szCs w:val="20"/>
            </w:rPr>
            <w:instrText xml:space="preserve"> HYPERLINK \l _Toc9610 </w:instrText>
          </w:r>
          <w:r>
            <w:rPr>
              <w:bCs/>
              <w:szCs w:val="20"/>
            </w:rPr>
            <w:fldChar w:fldCharType="separate"/>
          </w:r>
          <w:r>
            <w:rPr>
              <w:rFonts w:hint="default" w:ascii="Arial" w:hAnsi="Arial" w:cs="Arial"/>
              <w:bCs/>
              <w:szCs w:val="28"/>
              <w:lang w:val="en-US"/>
            </w:rPr>
            <w:t>Executive Summary</w:t>
          </w:r>
          <w:r>
            <w:tab/>
          </w:r>
          <w:r>
            <w:fldChar w:fldCharType="begin"/>
          </w:r>
          <w:r>
            <w:instrText xml:space="preserve"> PAGEREF _Toc9610 </w:instrText>
          </w:r>
          <w:r>
            <w:fldChar w:fldCharType="separate"/>
          </w:r>
          <w:r>
            <w:t>- 2 -</w:t>
          </w:r>
          <w:r>
            <w:fldChar w:fldCharType="end"/>
          </w:r>
          <w:r>
            <w:rPr>
              <w:bCs/>
              <w:szCs w:val="20"/>
            </w:rPr>
            <w:fldChar w:fldCharType="end"/>
          </w:r>
        </w:p>
        <w:p>
          <w:pPr>
            <w:pStyle w:val="6"/>
            <w:tabs>
              <w:tab w:val="right" w:leader="middleDot" w:pos="8306"/>
            </w:tabs>
          </w:pPr>
          <w:r>
            <w:rPr>
              <w:bCs/>
              <w:szCs w:val="20"/>
            </w:rPr>
            <w:fldChar w:fldCharType="begin"/>
          </w:r>
          <w:r>
            <w:rPr>
              <w:bCs/>
              <w:szCs w:val="20"/>
            </w:rPr>
            <w:instrText xml:space="preserve"> HYPERLINK \l _Toc5388 </w:instrText>
          </w:r>
          <w:r>
            <w:rPr>
              <w:bCs/>
              <w:szCs w:val="20"/>
            </w:rPr>
            <w:fldChar w:fldCharType="separate"/>
          </w:r>
          <w:r>
            <w:rPr>
              <w:rFonts w:hint="default" w:ascii="Arial" w:hAnsi="Arial" w:cs="Arial"/>
              <w:bCs/>
              <w:szCs w:val="28"/>
              <w:lang w:val="en-US"/>
            </w:rPr>
            <w:t>1.0 Introduction</w:t>
          </w:r>
          <w:r>
            <w:tab/>
          </w:r>
          <w:r>
            <w:fldChar w:fldCharType="begin"/>
          </w:r>
          <w:r>
            <w:instrText xml:space="preserve"> PAGEREF _Toc5388 </w:instrText>
          </w:r>
          <w:r>
            <w:fldChar w:fldCharType="separate"/>
          </w:r>
          <w:r>
            <w:t>- 4 -</w:t>
          </w:r>
          <w:r>
            <w:fldChar w:fldCharType="end"/>
          </w:r>
          <w:r>
            <w:rPr>
              <w:bCs/>
              <w:szCs w:val="20"/>
            </w:rPr>
            <w:fldChar w:fldCharType="end"/>
          </w:r>
        </w:p>
        <w:p>
          <w:pPr>
            <w:pStyle w:val="6"/>
            <w:tabs>
              <w:tab w:val="right" w:leader="middleDot" w:pos="8306"/>
            </w:tabs>
          </w:pPr>
          <w:r>
            <w:rPr>
              <w:bCs/>
              <w:szCs w:val="20"/>
            </w:rPr>
            <w:fldChar w:fldCharType="begin"/>
          </w:r>
          <w:r>
            <w:rPr>
              <w:bCs/>
              <w:szCs w:val="20"/>
            </w:rPr>
            <w:instrText xml:space="preserve"> HYPERLINK \l _Toc22296 </w:instrText>
          </w:r>
          <w:r>
            <w:rPr>
              <w:bCs/>
              <w:szCs w:val="20"/>
            </w:rPr>
            <w:fldChar w:fldCharType="separate"/>
          </w:r>
          <w:r>
            <w:rPr>
              <w:rFonts w:hint="default" w:ascii="Arial" w:hAnsi="Arial" w:cs="Arial"/>
              <w:bCs/>
              <w:szCs w:val="28"/>
              <w:lang w:val="en-US"/>
            </w:rPr>
            <w:t>2.0 Literature Review</w:t>
          </w:r>
          <w:r>
            <w:tab/>
          </w:r>
          <w:r>
            <w:fldChar w:fldCharType="begin"/>
          </w:r>
          <w:r>
            <w:instrText xml:space="preserve"> PAGEREF _Toc22296 </w:instrText>
          </w:r>
          <w:r>
            <w:fldChar w:fldCharType="separate"/>
          </w:r>
          <w:r>
            <w:t>- 5 -</w:t>
          </w:r>
          <w:r>
            <w:fldChar w:fldCharType="end"/>
          </w:r>
          <w:r>
            <w:rPr>
              <w:bCs/>
              <w:szCs w:val="20"/>
            </w:rPr>
            <w:fldChar w:fldCharType="end"/>
          </w:r>
        </w:p>
        <w:p>
          <w:pPr>
            <w:pStyle w:val="7"/>
            <w:tabs>
              <w:tab w:val="right" w:leader="middleDot" w:pos="8306"/>
            </w:tabs>
          </w:pPr>
          <w:r>
            <w:rPr>
              <w:bCs/>
              <w:szCs w:val="20"/>
            </w:rPr>
            <w:fldChar w:fldCharType="begin"/>
          </w:r>
          <w:r>
            <w:rPr>
              <w:bCs/>
              <w:szCs w:val="20"/>
            </w:rPr>
            <w:instrText xml:space="preserve"> HYPERLINK \l _Toc26793 </w:instrText>
          </w:r>
          <w:r>
            <w:rPr>
              <w:bCs/>
              <w:szCs w:val="20"/>
            </w:rPr>
            <w:fldChar w:fldCharType="separate"/>
          </w:r>
          <w:r>
            <w:rPr>
              <w:rFonts w:hint="default" w:ascii="Arial" w:hAnsi="Arial" w:cs="Arial"/>
              <w:bCs/>
              <w:szCs w:val="24"/>
            </w:rPr>
            <w:t>2.1 Strategy</w:t>
          </w:r>
          <w:r>
            <w:tab/>
          </w:r>
          <w:r>
            <w:fldChar w:fldCharType="begin"/>
          </w:r>
          <w:r>
            <w:instrText xml:space="preserve"> PAGEREF _Toc26793 </w:instrText>
          </w:r>
          <w:r>
            <w:fldChar w:fldCharType="separate"/>
          </w:r>
          <w:r>
            <w:t>- 5 -</w:t>
          </w:r>
          <w:r>
            <w:fldChar w:fldCharType="end"/>
          </w:r>
          <w:r>
            <w:rPr>
              <w:bCs/>
              <w:szCs w:val="20"/>
            </w:rPr>
            <w:fldChar w:fldCharType="end"/>
          </w:r>
        </w:p>
        <w:p>
          <w:pPr>
            <w:pStyle w:val="7"/>
            <w:tabs>
              <w:tab w:val="right" w:leader="middleDot" w:pos="8306"/>
            </w:tabs>
          </w:pPr>
          <w:r>
            <w:rPr>
              <w:bCs/>
              <w:szCs w:val="20"/>
            </w:rPr>
            <w:fldChar w:fldCharType="begin"/>
          </w:r>
          <w:r>
            <w:rPr>
              <w:bCs/>
              <w:szCs w:val="20"/>
            </w:rPr>
            <w:instrText xml:space="preserve"> HYPERLINK \l _Toc20616 </w:instrText>
          </w:r>
          <w:r>
            <w:rPr>
              <w:bCs/>
              <w:szCs w:val="20"/>
            </w:rPr>
            <w:fldChar w:fldCharType="separate"/>
          </w:r>
          <w:r>
            <w:rPr>
              <w:rFonts w:hint="default" w:ascii="Arial" w:hAnsi="Arial" w:cs="Arial"/>
              <w:bCs/>
              <w:szCs w:val="24"/>
            </w:rPr>
            <w:t>2.2 Competitive Strategy</w:t>
          </w:r>
          <w:r>
            <w:tab/>
          </w:r>
          <w:r>
            <w:fldChar w:fldCharType="begin"/>
          </w:r>
          <w:r>
            <w:instrText xml:space="preserve"> PAGEREF _Toc20616 </w:instrText>
          </w:r>
          <w:r>
            <w:fldChar w:fldCharType="separate"/>
          </w:r>
          <w:r>
            <w:t>- 5 -</w:t>
          </w:r>
          <w:r>
            <w:fldChar w:fldCharType="end"/>
          </w:r>
          <w:r>
            <w:rPr>
              <w:bCs/>
              <w:szCs w:val="20"/>
            </w:rPr>
            <w:fldChar w:fldCharType="end"/>
          </w:r>
        </w:p>
        <w:p>
          <w:pPr>
            <w:pStyle w:val="6"/>
            <w:tabs>
              <w:tab w:val="right" w:leader="middleDot" w:pos="8306"/>
            </w:tabs>
          </w:pPr>
          <w:r>
            <w:rPr>
              <w:bCs/>
              <w:szCs w:val="20"/>
            </w:rPr>
            <w:fldChar w:fldCharType="begin"/>
          </w:r>
          <w:r>
            <w:rPr>
              <w:bCs/>
              <w:szCs w:val="20"/>
            </w:rPr>
            <w:instrText xml:space="preserve"> HYPERLINK \l _Toc6186 </w:instrText>
          </w:r>
          <w:r>
            <w:rPr>
              <w:bCs/>
              <w:szCs w:val="20"/>
            </w:rPr>
            <w:fldChar w:fldCharType="separate"/>
          </w:r>
          <w:r>
            <w:rPr>
              <w:rFonts w:hint="default" w:ascii="Arial" w:hAnsi="Arial" w:cs="Arial"/>
              <w:bCs/>
              <w:szCs w:val="28"/>
              <w:lang w:val="en-US"/>
            </w:rPr>
            <w:t>3.0 The Competitive Strategy of Lidl</w:t>
          </w:r>
          <w:r>
            <w:tab/>
          </w:r>
          <w:r>
            <w:fldChar w:fldCharType="begin"/>
          </w:r>
          <w:r>
            <w:instrText xml:space="preserve"> PAGEREF _Toc6186 </w:instrText>
          </w:r>
          <w:r>
            <w:fldChar w:fldCharType="separate"/>
          </w:r>
          <w:r>
            <w:t>- 6 -</w:t>
          </w:r>
          <w:r>
            <w:fldChar w:fldCharType="end"/>
          </w:r>
          <w:r>
            <w:rPr>
              <w:bCs/>
              <w:szCs w:val="20"/>
            </w:rPr>
            <w:fldChar w:fldCharType="end"/>
          </w:r>
        </w:p>
        <w:p>
          <w:pPr>
            <w:pStyle w:val="7"/>
            <w:tabs>
              <w:tab w:val="right" w:leader="middleDot" w:pos="8306"/>
            </w:tabs>
          </w:pPr>
          <w:r>
            <w:rPr>
              <w:bCs/>
              <w:szCs w:val="20"/>
            </w:rPr>
            <w:fldChar w:fldCharType="begin"/>
          </w:r>
          <w:r>
            <w:rPr>
              <w:bCs/>
              <w:szCs w:val="20"/>
            </w:rPr>
            <w:instrText xml:space="preserve"> HYPERLINK \l _Toc1208 </w:instrText>
          </w:r>
          <w:r>
            <w:rPr>
              <w:bCs/>
              <w:szCs w:val="20"/>
            </w:rPr>
            <w:fldChar w:fldCharType="separate"/>
          </w:r>
          <w:r>
            <w:rPr>
              <w:rFonts w:hint="default" w:ascii="Arial" w:hAnsi="Arial" w:cs="Arial"/>
              <w:bCs/>
              <w:szCs w:val="24"/>
            </w:rPr>
            <w:t>3.1 The Background of Lidl</w:t>
          </w:r>
          <w:r>
            <w:tab/>
          </w:r>
          <w:r>
            <w:fldChar w:fldCharType="begin"/>
          </w:r>
          <w:r>
            <w:instrText xml:space="preserve"> PAGEREF _Toc1208 </w:instrText>
          </w:r>
          <w:r>
            <w:fldChar w:fldCharType="separate"/>
          </w:r>
          <w:r>
            <w:t>- 6 -</w:t>
          </w:r>
          <w:r>
            <w:fldChar w:fldCharType="end"/>
          </w:r>
          <w:r>
            <w:rPr>
              <w:bCs/>
              <w:szCs w:val="20"/>
            </w:rPr>
            <w:fldChar w:fldCharType="end"/>
          </w:r>
        </w:p>
        <w:p>
          <w:pPr>
            <w:pStyle w:val="7"/>
            <w:tabs>
              <w:tab w:val="right" w:leader="middleDot" w:pos="8306"/>
            </w:tabs>
          </w:pPr>
          <w:r>
            <w:rPr>
              <w:bCs/>
              <w:szCs w:val="20"/>
            </w:rPr>
            <w:fldChar w:fldCharType="begin"/>
          </w:r>
          <w:r>
            <w:rPr>
              <w:bCs/>
              <w:szCs w:val="20"/>
            </w:rPr>
            <w:instrText xml:space="preserve"> HYPERLINK \l _Toc28961 </w:instrText>
          </w:r>
          <w:r>
            <w:rPr>
              <w:bCs/>
              <w:szCs w:val="20"/>
            </w:rPr>
            <w:fldChar w:fldCharType="separate"/>
          </w:r>
          <w:r>
            <w:rPr>
              <w:rFonts w:hint="default" w:ascii="Arial" w:hAnsi="Arial" w:cs="Arial"/>
              <w:bCs/>
              <w:szCs w:val="24"/>
            </w:rPr>
            <w:t>3.2 External Environment of Lidl Based on PEST Analysis</w:t>
          </w:r>
          <w:r>
            <w:tab/>
          </w:r>
          <w:r>
            <w:fldChar w:fldCharType="begin"/>
          </w:r>
          <w:r>
            <w:instrText xml:space="preserve"> PAGEREF _Toc28961 </w:instrText>
          </w:r>
          <w:r>
            <w:fldChar w:fldCharType="separate"/>
          </w:r>
          <w:r>
            <w:t>- 6 -</w:t>
          </w:r>
          <w:r>
            <w:fldChar w:fldCharType="end"/>
          </w:r>
          <w:r>
            <w:rPr>
              <w:bCs/>
              <w:szCs w:val="20"/>
            </w:rPr>
            <w:fldChar w:fldCharType="end"/>
          </w:r>
        </w:p>
        <w:p>
          <w:pPr>
            <w:pStyle w:val="7"/>
            <w:tabs>
              <w:tab w:val="right" w:leader="middleDot" w:pos="8306"/>
            </w:tabs>
          </w:pPr>
          <w:r>
            <w:rPr>
              <w:bCs/>
              <w:szCs w:val="20"/>
            </w:rPr>
            <w:fldChar w:fldCharType="begin"/>
          </w:r>
          <w:r>
            <w:rPr>
              <w:bCs/>
              <w:szCs w:val="20"/>
            </w:rPr>
            <w:instrText xml:space="preserve"> HYPERLINK \l _Toc24667 </w:instrText>
          </w:r>
          <w:r>
            <w:rPr>
              <w:bCs/>
              <w:szCs w:val="20"/>
            </w:rPr>
            <w:fldChar w:fldCharType="separate"/>
          </w:r>
          <w:r>
            <w:rPr>
              <w:rFonts w:hint="default" w:ascii="Arial" w:hAnsi="Arial" w:cs="Arial"/>
              <w:bCs/>
              <w:szCs w:val="24"/>
              <w:lang w:val="en-US"/>
            </w:rPr>
            <w:t>3.3 Cost Leadership Strategy of Lidl</w:t>
          </w:r>
          <w:r>
            <w:tab/>
          </w:r>
          <w:r>
            <w:fldChar w:fldCharType="begin"/>
          </w:r>
          <w:r>
            <w:instrText xml:space="preserve"> PAGEREF _Toc24667 </w:instrText>
          </w:r>
          <w:r>
            <w:fldChar w:fldCharType="separate"/>
          </w:r>
          <w:r>
            <w:t>- 7 -</w:t>
          </w:r>
          <w:r>
            <w:fldChar w:fldCharType="end"/>
          </w:r>
          <w:r>
            <w:rPr>
              <w:bCs/>
              <w:szCs w:val="20"/>
            </w:rPr>
            <w:fldChar w:fldCharType="end"/>
          </w:r>
        </w:p>
        <w:p>
          <w:pPr>
            <w:pStyle w:val="7"/>
            <w:tabs>
              <w:tab w:val="right" w:leader="middleDot" w:pos="8306"/>
            </w:tabs>
          </w:pPr>
          <w:r>
            <w:rPr>
              <w:bCs/>
              <w:szCs w:val="20"/>
            </w:rPr>
            <w:fldChar w:fldCharType="begin"/>
          </w:r>
          <w:r>
            <w:rPr>
              <w:bCs/>
              <w:szCs w:val="20"/>
            </w:rPr>
            <w:instrText xml:space="preserve"> HYPERLINK \l _Toc21816 </w:instrText>
          </w:r>
          <w:r>
            <w:rPr>
              <w:bCs/>
              <w:szCs w:val="20"/>
            </w:rPr>
            <w:fldChar w:fldCharType="separate"/>
          </w:r>
          <w:r>
            <w:rPr>
              <w:rFonts w:hint="default" w:ascii="Arial" w:hAnsi="Arial" w:cs="Arial"/>
              <w:bCs/>
              <w:szCs w:val="24"/>
              <w:lang w:val="en-US"/>
            </w:rPr>
            <w:t>3.4 Strengths and Limitations</w:t>
          </w:r>
          <w:r>
            <w:tab/>
          </w:r>
          <w:r>
            <w:fldChar w:fldCharType="begin"/>
          </w:r>
          <w:r>
            <w:instrText xml:space="preserve"> PAGEREF _Toc21816 </w:instrText>
          </w:r>
          <w:r>
            <w:fldChar w:fldCharType="separate"/>
          </w:r>
          <w:r>
            <w:t>- 8 -</w:t>
          </w:r>
          <w:r>
            <w:fldChar w:fldCharType="end"/>
          </w:r>
          <w:r>
            <w:rPr>
              <w:bCs/>
              <w:szCs w:val="20"/>
            </w:rPr>
            <w:fldChar w:fldCharType="end"/>
          </w:r>
        </w:p>
        <w:p>
          <w:pPr>
            <w:pStyle w:val="6"/>
            <w:tabs>
              <w:tab w:val="right" w:leader="middleDot" w:pos="8306"/>
            </w:tabs>
          </w:pPr>
          <w:r>
            <w:rPr>
              <w:bCs/>
              <w:szCs w:val="20"/>
            </w:rPr>
            <w:fldChar w:fldCharType="begin"/>
          </w:r>
          <w:r>
            <w:rPr>
              <w:bCs/>
              <w:szCs w:val="20"/>
            </w:rPr>
            <w:instrText xml:space="preserve"> HYPERLINK \l _Toc20273 </w:instrText>
          </w:r>
          <w:r>
            <w:rPr>
              <w:bCs/>
              <w:szCs w:val="20"/>
            </w:rPr>
            <w:fldChar w:fldCharType="separate"/>
          </w:r>
          <w:r>
            <w:rPr>
              <w:rFonts w:hint="default" w:ascii="Arial" w:hAnsi="Arial" w:cs="Arial"/>
              <w:bCs/>
              <w:szCs w:val="28"/>
              <w:lang w:val="en-US"/>
            </w:rPr>
            <w:t>4.0 Conclusion</w:t>
          </w:r>
          <w:r>
            <w:tab/>
          </w:r>
          <w:r>
            <w:fldChar w:fldCharType="begin"/>
          </w:r>
          <w:r>
            <w:instrText xml:space="preserve"> PAGEREF _Toc20273 </w:instrText>
          </w:r>
          <w:r>
            <w:fldChar w:fldCharType="separate"/>
          </w:r>
          <w:r>
            <w:t>- 10 -</w:t>
          </w:r>
          <w:r>
            <w:fldChar w:fldCharType="end"/>
          </w:r>
          <w:r>
            <w:rPr>
              <w:bCs/>
              <w:szCs w:val="20"/>
            </w:rPr>
            <w:fldChar w:fldCharType="end"/>
          </w:r>
        </w:p>
        <w:p>
          <w:pPr>
            <w:pStyle w:val="6"/>
            <w:tabs>
              <w:tab w:val="right" w:leader="middleDot" w:pos="8306"/>
            </w:tabs>
          </w:pPr>
          <w:r>
            <w:rPr>
              <w:bCs/>
              <w:szCs w:val="20"/>
            </w:rPr>
            <w:fldChar w:fldCharType="begin"/>
          </w:r>
          <w:r>
            <w:rPr>
              <w:bCs/>
              <w:szCs w:val="20"/>
            </w:rPr>
            <w:instrText xml:space="preserve"> HYPERLINK \l _Toc14083 </w:instrText>
          </w:r>
          <w:r>
            <w:rPr>
              <w:bCs/>
              <w:szCs w:val="20"/>
            </w:rPr>
            <w:fldChar w:fldCharType="separate"/>
          </w:r>
          <w:r>
            <w:rPr>
              <w:rFonts w:hint="default" w:ascii="Arial" w:hAnsi="Arial" w:cs="Arial"/>
              <w:bCs/>
              <w:szCs w:val="28"/>
              <w:lang w:val="en-US"/>
            </w:rPr>
            <w:t>5.0 Recommendation</w:t>
          </w:r>
          <w:r>
            <w:tab/>
          </w:r>
          <w:r>
            <w:fldChar w:fldCharType="begin"/>
          </w:r>
          <w:r>
            <w:instrText xml:space="preserve"> PAGEREF _Toc14083 </w:instrText>
          </w:r>
          <w:r>
            <w:fldChar w:fldCharType="separate"/>
          </w:r>
          <w:r>
            <w:t>- 11 -</w:t>
          </w:r>
          <w:r>
            <w:fldChar w:fldCharType="end"/>
          </w:r>
          <w:r>
            <w:rPr>
              <w:bCs/>
              <w:szCs w:val="20"/>
            </w:rPr>
            <w:fldChar w:fldCharType="end"/>
          </w:r>
        </w:p>
        <w:p>
          <w:pPr>
            <w:pStyle w:val="6"/>
            <w:tabs>
              <w:tab w:val="right" w:leader="middleDot" w:pos="8306"/>
            </w:tabs>
          </w:pPr>
          <w:r>
            <w:rPr>
              <w:bCs/>
              <w:szCs w:val="20"/>
            </w:rPr>
            <w:fldChar w:fldCharType="begin"/>
          </w:r>
          <w:r>
            <w:rPr>
              <w:bCs/>
              <w:szCs w:val="20"/>
            </w:rPr>
            <w:instrText xml:space="preserve"> HYPERLINK \l _Toc8200 </w:instrText>
          </w:r>
          <w:r>
            <w:rPr>
              <w:bCs/>
              <w:szCs w:val="20"/>
            </w:rPr>
            <w:fldChar w:fldCharType="separate"/>
          </w:r>
          <w:r>
            <w:rPr>
              <w:rFonts w:hint="default" w:ascii="Arial" w:hAnsi="Arial" w:cs="Arial"/>
              <w:bCs/>
              <w:szCs w:val="28"/>
              <w:lang w:val="en-US"/>
            </w:rPr>
            <w:t>6.0 References</w:t>
          </w:r>
          <w:r>
            <w:tab/>
          </w:r>
          <w:r>
            <w:fldChar w:fldCharType="begin"/>
          </w:r>
          <w:r>
            <w:instrText xml:space="preserve"> PAGEREF _Toc8200 </w:instrText>
          </w:r>
          <w:r>
            <w:fldChar w:fldCharType="separate"/>
          </w:r>
          <w:r>
            <w:t>- 12 -</w:t>
          </w:r>
          <w:r>
            <w:fldChar w:fldCharType="end"/>
          </w:r>
          <w:r>
            <w:rPr>
              <w:bCs/>
              <w:szCs w:val="20"/>
            </w:rPr>
            <w:fldChar w:fldCharType="end"/>
          </w:r>
        </w:p>
        <w:p>
          <w:pPr>
            <w:pStyle w:val="21"/>
            <w:tabs>
              <w:tab w:val="right" w:leader="dot" w:pos="8306"/>
            </w:tabs>
          </w:pPr>
          <w:r>
            <w:rPr>
              <w:bCs/>
              <w:szCs w:val="20"/>
            </w:rPr>
            <w:fldChar w:fldCharType="end"/>
          </w:r>
        </w:p>
      </w:sdtContent>
    </w:sdt>
    <w:p>
      <w:pPr>
        <w:pStyle w:val="21"/>
        <w:tabs>
          <w:tab w:val="right" w:leader="dot" w:pos="8306"/>
        </w:tabs>
      </w:pPr>
    </w:p>
    <w:p>
      <w:pPr>
        <w:bidi w:val="0"/>
        <w:outlineLvl w:val="0"/>
        <w:rPr>
          <w:rFonts w:hint="default" w:ascii="Arial" w:hAnsi="Arial" w:cs="Arial"/>
          <w:b/>
          <w:bCs/>
          <w:sz w:val="28"/>
          <w:szCs w:val="28"/>
          <w:lang w:val="en-US"/>
        </w:rPr>
      </w:pPr>
    </w:p>
    <w:p>
      <w:pPr>
        <w:bidi w:val="0"/>
        <w:outlineLvl w:val="0"/>
        <w:rPr>
          <w:rFonts w:hint="default" w:ascii="Arial" w:hAnsi="Arial" w:cs="Arial"/>
          <w:b/>
          <w:bCs/>
          <w:sz w:val="28"/>
          <w:szCs w:val="28"/>
          <w:lang w:val="en-US"/>
        </w:rPr>
      </w:pPr>
    </w:p>
    <w:p>
      <w:pPr>
        <w:bidi w:val="0"/>
        <w:outlineLvl w:val="0"/>
        <w:rPr>
          <w:rFonts w:hint="default" w:ascii="Arial" w:hAnsi="Arial" w:cs="Arial"/>
          <w:b/>
          <w:bCs/>
          <w:sz w:val="28"/>
          <w:szCs w:val="28"/>
          <w:lang w:val="en-US"/>
        </w:rPr>
      </w:pPr>
    </w:p>
    <w:p>
      <w:pPr>
        <w:bidi w:val="0"/>
        <w:outlineLvl w:val="0"/>
        <w:rPr>
          <w:rFonts w:hint="default" w:ascii="Arial" w:hAnsi="Arial" w:cs="Arial"/>
          <w:b/>
          <w:bCs/>
          <w:sz w:val="28"/>
          <w:szCs w:val="28"/>
          <w:lang w:val="en-US"/>
        </w:rPr>
      </w:pPr>
    </w:p>
    <w:p>
      <w:pPr>
        <w:bidi w:val="0"/>
        <w:outlineLvl w:val="0"/>
        <w:rPr>
          <w:rFonts w:hint="default" w:ascii="Arial" w:hAnsi="Arial" w:cs="Arial"/>
          <w:b/>
          <w:bCs/>
          <w:sz w:val="28"/>
          <w:szCs w:val="28"/>
          <w:lang w:val="en-US"/>
        </w:rPr>
      </w:pPr>
    </w:p>
    <w:p>
      <w:pPr>
        <w:bidi w:val="0"/>
        <w:outlineLvl w:val="0"/>
        <w:rPr>
          <w:rFonts w:hint="default" w:ascii="Arial" w:hAnsi="Arial" w:cs="Arial"/>
          <w:b/>
          <w:bCs/>
          <w:sz w:val="28"/>
          <w:szCs w:val="28"/>
          <w:lang w:val="en-US"/>
        </w:rPr>
      </w:pPr>
    </w:p>
    <w:p>
      <w:pPr>
        <w:bidi w:val="0"/>
        <w:outlineLvl w:val="0"/>
        <w:rPr>
          <w:rFonts w:hint="default" w:ascii="Arial" w:hAnsi="Arial" w:cs="Arial"/>
          <w:b/>
          <w:bCs/>
          <w:sz w:val="28"/>
          <w:szCs w:val="28"/>
          <w:lang w:val="en-US"/>
        </w:rPr>
      </w:pPr>
    </w:p>
    <w:p>
      <w:pPr>
        <w:bidi w:val="0"/>
        <w:outlineLvl w:val="0"/>
        <w:rPr>
          <w:rFonts w:hint="default" w:ascii="Arial" w:hAnsi="Arial" w:cs="Arial"/>
          <w:b/>
          <w:bCs/>
          <w:sz w:val="28"/>
          <w:szCs w:val="28"/>
          <w:lang w:val="en-US"/>
        </w:rPr>
      </w:pPr>
    </w:p>
    <w:p>
      <w:pPr>
        <w:bidi w:val="0"/>
        <w:outlineLvl w:val="0"/>
        <w:rPr>
          <w:rFonts w:hint="default" w:ascii="Arial" w:hAnsi="Arial" w:cs="Arial"/>
          <w:b/>
          <w:bCs/>
          <w:sz w:val="28"/>
          <w:szCs w:val="28"/>
          <w:lang w:val="en-US"/>
        </w:rPr>
      </w:pPr>
    </w:p>
    <w:p>
      <w:pPr>
        <w:bidi w:val="0"/>
        <w:outlineLvl w:val="0"/>
        <w:rPr>
          <w:rFonts w:hint="default" w:ascii="Arial" w:hAnsi="Arial" w:cs="Arial"/>
          <w:b/>
          <w:bCs/>
          <w:sz w:val="28"/>
          <w:szCs w:val="28"/>
          <w:lang w:val="en-US"/>
        </w:rPr>
      </w:pPr>
    </w:p>
    <w:p>
      <w:pPr>
        <w:bidi w:val="0"/>
        <w:outlineLvl w:val="0"/>
        <w:rPr>
          <w:rFonts w:hint="default" w:ascii="Arial" w:hAnsi="Arial" w:cs="Arial"/>
          <w:b/>
          <w:bCs/>
          <w:sz w:val="28"/>
          <w:szCs w:val="28"/>
          <w:lang w:val="en-US"/>
        </w:rPr>
      </w:pPr>
    </w:p>
    <w:p>
      <w:pPr>
        <w:bidi w:val="0"/>
        <w:outlineLvl w:val="0"/>
        <w:rPr>
          <w:rFonts w:hint="default" w:ascii="Arial" w:hAnsi="Arial" w:cs="Arial"/>
          <w:b/>
          <w:bCs/>
          <w:sz w:val="28"/>
          <w:szCs w:val="28"/>
          <w:lang w:val="en-US"/>
        </w:rPr>
        <w:sectPr>
          <w:footerReference r:id="rId5" w:type="first"/>
          <w:headerReference r:id="rId3" w:type="default"/>
          <w:footerReference r:id="rId4" w:type="default"/>
          <w:pgSz w:w="11906" w:h="16838"/>
          <w:pgMar w:top="1440" w:right="1800" w:bottom="1440" w:left="1800" w:header="851" w:footer="992" w:gutter="0"/>
          <w:pgNumType w:fmt="decimal" w:start="1"/>
          <w:cols w:space="425" w:num="1"/>
          <w:titlePg/>
          <w:docGrid w:type="lines" w:linePitch="312" w:charSpace="0"/>
        </w:sectPr>
      </w:pPr>
    </w:p>
    <w:p>
      <w:pPr>
        <w:bidi w:val="0"/>
        <w:outlineLvl w:val="0"/>
        <w:rPr>
          <w:rFonts w:hint="default" w:ascii="Arial" w:hAnsi="Arial" w:cs="Arial"/>
          <w:b/>
          <w:bCs/>
          <w:sz w:val="28"/>
          <w:szCs w:val="28"/>
          <w:lang w:val="en-US"/>
        </w:rPr>
      </w:pPr>
      <w:bookmarkStart w:id="1" w:name="_Toc11695_WPSOffice_Level1"/>
      <w:bookmarkStart w:id="2" w:name="_Toc3042_WPSOffice_Level1"/>
      <w:bookmarkStart w:id="3" w:name="_Toc9610"/>
      <w:r>
        <w:rPr>
          <w:rFonts w:hint="default" w:ascii="Arial" w:hAnsi="Arial" w:cs="Arial"/>
          <w:b/>
          <w:bCs/>
          <w:sz w:val="28"/>
          <w:szCs w:val="28"/>
          <w:lang w:val="en-US"/>
        </w:rPr>
        <w:t>Executive Summary</w:t>
      </w:r>
      <w:bookmarkEnd w:id="0"/>
      <w:bookmarkEnd w:id="1"/>
      <w:bookmarkEnd w:id="2"/>
      <w:bookmarkEnd w:id="3"/>
    </w:p>
    <w:p>
      <w:pPr>
        <w:bidi w:val="0"/>
        <w:rPr>
          <w:rFonts w:hint="default" w:ascii="Arial" w:hAnsi="Arial" w:cs="Arial"/>
          <w:sz w:val="24"/>
          <w:szCs w:val="24"/>
        </w:rPr>
      </w:pPr>
      <w:r>
        <w:rPr>
          <w:rFonts w:hint="default" w:ascii="Arial" w:hAnsi="Arial" w:cs="Arial"/>
          <w:sz w:val="24"/>
          <w:szCs w:val="24"/>
        </w:rPr>
        <w:t xml:space="preserve">The objective of this study is to analyse Lidl's competitive strategy adopted in the current business environment and how to implement it based on porter's generic competitive strategy, so as to analyse the source of Lidl's competitive advantage. Moreover, the advantages and disadvantages of Lidl's competitive strategy are evaluated, and some suggestions are made on its strategy. </w:t>
      </w:r>
    </w:p>
    <w:p>
      <w:pPr>
        <w:bidi w:val="0"/>
        <w:rPr>
          <w:rFonts w:hint="default" w:ascii="Arial" w:hAnsi="Arial" w:cs="Arial"/>
          <w:sz w:val="24"/>
          <w:szCs w:val="24"/>
        </w:rPr>
      </w:pPr>
    </w:p>
    <w:p>
      <w:pPr>
        <w:bidi w:val="0"/>
        <w:rPr>
          <w:rFonts w:hint="default" w:ascii="Arial" w:hAnsi="Arial" w:cs="Arial"/>
          <w:sz w:val="24"/>
          <w:szCs w:val="24"/>
        </w:rPr>
      </w:pPr>
      <w:r>
        <w:rPr>
          <w:rFonts w:hint="default" w:ascii="Arial" w:hAnsi="Arial" w:cs="Arial"/>
          <w:sz w:val="24"/>
          <w:szCs w:val="24"/>
        </w:rPr>
        <w:t xml:space="preserve">Lidl is a German global discount supermarket chain, currently operating in 32 countries around the world, with more than 10,800 stores. And its core concept of operation is' Big on Quality, Lidl on Price '. </w:t>
      </w:r>
    </w:p>
    <w:p>
      <w:pPr>
        <w:bidi w:val="0"/>
        <w:rPr>
          <w:rFonts w:hint="default" w:ascii="Arial" w:hAnsi="Arial" w:cs="Arial"/>
          <w:sz w:val="24"/>
          <w:szCs w:val="24"/>
        </w:rPr>
      </w:pPr>
    </w:p>
    <w:p>
      <w:pPr>
        <w:bidi w:val="0"/>
        <w:rPr>
          <w:rFonts w:hint="default" w:ascii="Arial" w:hAnsi="Arial" w:cs="Arial"/>
          <w:sz w:val="24"/>
          <w:szCs w:val="24"/>
        </w:rPr>
      </w:pPr>
      <w:r>
        <w:rPr>
          <w:rFonts w:hint="default" w:ascii="Arial" w:hAnsi="Arial" w:cs="Arial"/>
          <w:sz w:val="24"/>
          <w:szCs w:val="24"/>
        </w:rPr>
        <w:t>Lidl's main strategy for gaining competitive advantage is cost leadership strategy. To achieve this strategy, Lidl is committed to improving operational efficiency and economies of scale. In terms of operational efficiency, Lidl reduces the number of employees and requires employees to take on multiple tasks and switch between different jobs flexibly. And Lidl uses standardized warehouse layout design to improve store efficiency. In addition, new logistics technologies are being introduced to speed up delivery. Besides, Lidl has scaled back its product range to boost economies of scale. Moreover, an important step for Lidl to develop economies of scale is to develop its private brands to achieve efficient resource allocation and cost control.</w:t>
      </w:r>
    </w:p>
    <w:p>
      <w:pPr>
        <w:bidi w:val="0"/>
        <w:rPr>
          <w:rFonts w:hint="default" w:ascii="Arial" w:hAnsi="Arial" w:cs="Arial"/>
          <w:sz w:val="24"/>
          <w:szCs w:val="24"/>
        </w:rPr>
      </w:pPr>
    </w:p>
    <w:p>
      <w:pPr>
        <w:bidi w:val="0"/>
        <w:rPr>
          <w:rFonts w:hint="default" w:ascii="Arial" w:hAnsi="Arial" w:cs="Arial"/>
          <w:sz w:val="24"/>
          <w:szCs w:val="24"/>
        </w:rPr>
      </w:pPr>
      <w:r>
        <w:rPr>
          <w:rFonts w:hint="default" w:ascii="Arial" w:hAnsi="Arial" w:cs="Arial"/>
          <w:sz w:val="24"/>
          <w:szCs w:val="24"/>
        </w:rPr>
        <w:t xml:space="preserve">The cost leadership strategy helps Lidl gain more market share and grow by setting competitive prices. And it raises barriers to entry by promoting economies of scale and cost advantages. However, this strategy also has its limitations. For example, based on the cost leadership strategy, Lidl is easy to fall into a price war, and it is difficult to build customer loyalty. </w:t>
      </w:r>
    </w:p>
    <w:p>
      <w:pPr>
        <w:bidi w:val="0"/>
        <w:rPr>
          <w:rFonts w:hint="default" w:ascii="Arial" w:hAnsi="Arial" w:cs="Arial"/>
          <w:sz w:val="24"/>
          <w:szCs w:val="24"/>
        </w:rPr>
      </w:pPr>
    </w:p>
    <w:p>
      <w:pPr>
        <w:bidi w:val="0"/>
        <w:rPr>
          <w:rFonts w:hint="default" w:ascii="Arial" w:hAnsi="Arial" w:cs="Arial"/>
          <w:sz w:val="24"/>
          <w:szCs w:val="24"/>
        </w:rPr>
      </w:pPr>
      <w:r>
        <w:rPr>
          <w:rFonts w:hint="default" w:ascii="Arial" w:hAnsi="Arial" w:cs="Arial"/>
          <w:sz w:val="24"/>
          <w:szCs w:val="24"/>
        </w:rPr>
        <w:t>For Lidl's cost leadership strategy, the adoption of differentiation strategy can alleviate the limitation of its strategy, help build customer loyalty and reduce the risk of price war. Moreover, Lidl can foster key resources to gain sustainable competitive advantage, such as close relationships with suppliers and new technologies.</w:t>
      </w:r>
    </w:p>
    <w:p>
      <w:pPr>
        <w:bidi w:val="0"/>
        <w:rPr>
          <w:rFonts w:hint="default" w:ascii="Arial" w:hAnsi="Arial" w:cs="Arial"/>
          <w:sz w:val="24"/>
          <w:szCs w:val="24"/>
        </w:rPr>
      </w:pPr>
    </w:p>
    <w:p>
      <w:pPr>
        <w:bidi w:val="0"/>
        <w:rPr>
          <w:rFonts w:hint="default" w:ascii="Arial" w:hAnsi="Arial" w:cs="Arial"/>
          <w:sz w:val="24"/>
          <w:szCs w:val="24"/>
        </w:rPr>
        <w:sectPr>
          <w:headerReference r:id="rId6" w:type="first"/>
          <w:pgSz w:w="11906" w:h="16838"/>
          <w:pgMar w:top="1440" w:right="1800" w:bottom="1440" w:left="1800" w:header="851" w:footer="992" w:gutter="0"/>
          <w:pgNumType w:fmt="decimal" w:start="1"/>
          <w:cols w:space="425" w:num="1"/>
          <w:titlePg/>
          <w:docGrid w:type="lines" w:linePitch="312" w:charSpace="0"/>
        </w:sectPr>
      </w:pPr>
      <w:bookmarkStart w:id="4" w:name="_Toc25539825"/>
      <w:bookmarkStart w:id="5" w:name="_Toc25550928"/>
    </w:p>
    <w:p>
      <w:pPr>
        <w:bidi w:val="0"/>
        <w:outlineLvl w:val="0"/>
        <w:rPr>
          <w:rFonts w:hint="default" w:ascii="Arial" w:hAnsi="Arial" w:cs="Arial"/>
          <w:b/>
          <w:bCs/>
          <w:sz w:val="28"/>
          <w:szCs w:val="28"/>
          <w:lang w:val="en-US"/>
        </w:rPr>
      </w:pPr>
      <w:bookmarkStart w:id="6" w:name="_Toc11098_WPSOffice_Level1"/>
      <w:bookmarkStart w:id="7" w:name="_Toc18480_WPSOffice_Level1"/>
      <w:bookmarkStart w:id="8" w:name="_Toc5388"/>
      <w:r>
        <w:rPr>
          <w:rFonts w:hint="default" w:ascii="Arial" w:hAnsi="Arial" w:cs="Arial"/>
          <w:b/>
          <w:bCs/>
          <w:sz w:val="28"/>
          <w:szCs w:val="28"/>
          <w:lang w:val="en-US"/>
        </w:rPr>
        <w:t>1.0 Introduction</w:t>
      </w:r>
      <w:bookmarkEnd w:id="4"/>
      <w:bookmarkEnd w:id="5"/>
      <w:bookmarkEnd w:id="6"/>
      <w:bookmarkEnd w:id="7"/>
      <w:bookmarkEnd w:id="8"/>
    </w:p>
    <w:p>
      <w:pPr>
        <w:bidi w:val="0"/>
        <w:rPr>
          <w:rFonts w:hint="default" w:ascii="Arial" w:hAnsi="Arial" w:cs="Arial"/>
          <w:sz w:val="24"/>
          <w:szCs w:val="24"/>
        </w:rPr>
      </w:pPr>
      <w:r>
        <w:rPr>
          <w:rFonts w:hint="default" w:ascii="Arial" w:hAnsi="Arial" w:cs="Arial"/>
          <w:sz w:val="24"/>
          <w:szCs w:val="24"/>
        </w:rPr>
        <w:t xml:space="preserve">Strategic management has developed rapidly as an academic field, and today's strategic management has developed very diversified (Ketchen, Boyd, and Bergh, 2008). In the business environment, strategy refers to the action plan of allocating the company's resources to achieve its goals (Harrison, 1999). The generic competitive strategy proposed by porter, as a business level strategy, is widely used to obtain competitive advantages (Brenes, Montoya and Ciravegna, 2014). Business level strategy is committed to accumulating core competitiveness in specific markets, delivering value to customers and improving the company's position in the industry (Parnell, 2011). And competitive advantage is defined as creating more value to consumers (Borch, Huse and Senneseth, 1999). Porter's competitive strategy, whether differentiation strategy, cost leadership strategy or focus strategy, is committed to providing companies with a way to allocate resources to deliver more value to customers (Porter, 1980). </w:t>
      </w:r>
    </w:p>
    <w:p>
      <w:pPr>
        <w:bidi w:val="0"/>
        <w:rPr>
          <w:rFonts w:hint="default" w:ascii="Arial" w:hAnsi="Arial" w:cs="Arial"/>
          <w:sz w:val="24"/>
          <w:szCs w:val="24"/>
        </w:rPr>
      </w:pPr>
    </w:p>
    <w:p>
      <w:pPr>
        <w:bidi w:val="0"/>
        <w:rPr>
          <w:rFonts w:hint="default" w:ascii="Arial" w:hAnsi="Arial" w:cs="Arial"/>
          <w:sz w:val="24"/>
          <w:szCs w:val="24"/>
        </w:rPr>
      </w:pPr>
      <w:r>
        <w:rPr>
          <w:rFonts w:hint="default" w:ascii="Arial" w:hAnsi="Arial" w:cs="Arial"/>
          <w:sz w:val="24"/>
          <w:szCs w:val="24"/>
        </w:rPr>
        <w:t>Lidl, a global discount supermarket chain based in Germany, has grown from one store to 10,800 in 32 countries with great success, offering low prices and high quality products and services (Lidl, 2019a). Lidl developed into a leading company in the industry, and its strategy played a crucial role in laying the foundation for its success. But any strategy has its advantages and limitations. Therefore, the analysis and evaluation of Lidl's competitive strategy is of great reference value to other companies, and also provides ideas for Lidl to solve the limitations of its strategy.</w:t>
      </w:r>
    </w:p>
    <w:p>
      <w:pPr>
        <w:bidi w:val="0"/>
        <w:rPr>
          <w:rFonts w:hint="default" w:ascii="Arial" w:hAnsi="Arial" w:cs="Arial"/>
          <w:sz w:val="24"/>
          <w:szCs w:val="24"/>
        </w:rPr>
      </w:pPr>
    </w:p>
    <w:p>
      <w:pPr>
        <w:bidi w:val="0"/>
        <w:rPr>
          <w:rFonts w:hint="default" w:ascii="Arial" w:hAnsi="Arial" w:cs="Arial"/>
          <w:b/>
          <w:bCs/>
          <w:sz w:val="28"/>
          <w:szCs w:val="28"/>
          <w:lang w:val="en-US"/>
        </w:rPr>
      </w:pPr>
      <w:r>
        <w:rPr>
          <w:rFonts w:hint="default" w:ascii="Arial" w:hAnsi="Arial" w:cs="Arial"/>
          <w:sz w:val="24"/>
          <w:szCs w:val="24"/>
        </w:rPr>
        <w:t>In this study, concept of porter's generic competitive strategy and related theories will be discussed. Next, Lidl's corporate background and current business environment will be introduced, followed by the analysis of the implementation of Lidl's competitive strategy. Subsequently, the strengths and limitations of Lidl's competitive strategy are analysed and evaluated, and recommendations are made for its strategy.</w:t>
      </w:r>
      <w:bookmarkStart w:id="9" w:name="_Toc25539826"/>
      <w:bookmarkStart w:id="10" w:name="_Toc25550929"/>
      <w:bookmarkStart w:id="11" w:name="_Toc12970_WPSOffice_Level1"/>
      <w:bookmarkStart w:id="12" w:name="_Toc21136_WPSOffice_Level1"/>
      <w:bookmarkStart w:id="13" w:name="_Toc22296"/>
    </w:p>
    <w:p>
      <w:pPr>
        <w:bidi w:val="0"/>
        <w:outlineLvl w:val="0"/>
        <w:rPr>
          <w:rFonts w:hint="default" w:ascii="Arial" w:hAnsi="Arial" w:cs="Arial"/>
          <w:sz w:val="24"/>
          <w:szCs w:val="24"/>
        </w:rPr>
      </w:pPr>
      <w:r>
        <w:rPr>
          <w:rFonts w:hint="default" w:ascii="Arial" w:hAnsi="Arial" w:cs="Arial"/>
          <w:b/>
          <w:bCs/>
          <w:sz w:val="28"/>
          <w:szCs w:val="28"/>
          <w:lang w:val="en-US"/>
        </w:rPr>
        <w:t>2.0 Literature Review</w:t>
      </w:r>
      <w:bookmarkEnd w:id="9"/>
      <w:bookmarkEnd w:id="10"/>
      <w:bookmarkEnd w:id="11"/>
      <w:bookmarkEnd w:id="12"/>
      <w:bookmarkEnd w:id="13"/>
    </w:p>
    <w:p>
      <w:pPr>
        <w:bidi w:val="0"/>
        <w:outlineLvl w:val="1"/>
        <w:rPr>
          <w:rFonts w:hint="default" w:ascii="Arial" w:hAnsi="Arial" w:cs="Arial"/>
          <w:b/>
          <w:bCs/>
          <w:sz w:val="24"/>
          <w:szCs w:val="24"/>
        </w:rPr>
      </w:pPr>
      <w:bookmarkStart w:id="14" w:name="_Toc25550930"/>
      <w:bookmarkStart w:id="15" w:name="_Toc25539827"/>
      <w:bookmarkStart w:id="16" w:name="_Toc11098_WPSOffice_Level2"/>
      <w:bookmarkStart w:id="17" w:name="_Toc18480_WPSOffice_Level2"/>
      <w:bookmarkStart w:id="18" w:name="_Toc26793"/>
      <w:r>
        <w:rPr>
          <w:rFonts w:hint="default" w:ascii="Arial" w:hAnsi="Arial" w:cs="Arial"/>
          <w:b/>
          <w:bCs/>
          <w:sz w:val="24"/>
          <w:szCs w:val="24"/>
        </w:rPr>
        <w:t>2.1 Strategy</w:t>
      </w:r>
      <w:bookmarkEnd w:id="14"/>
      <w:bookmarkEnd w:id="15"/>
      <w:bookmarkEnd w:id="16"/>
      <w:bookmarkEnd w:id="17"/>
      <w:bookmarkEnd w:id="18"/>
    </w:p>
    <w:p>
      <w:pPr>
        <w:bidi w:val="0"/>
        <w:rPr>
          <w:rFonts w:hint="default" w:ascii="Arial" w:hAnsi="Arial" w:cs="Arial"/>
          <w:sz w:val="24"/>
          <w:szCs w:val="24"/>
        </w:rPr>
      </w:pPr>
      <w:r>
        <w:rPr>
          <w:rFonts w:hint="default" w:ascii="Arial" w:hAnsi="Arial" w:cs="Arial"/>
          <w:sz w:val="24"/>
          <w:szCs w:val="24"/>
        </w:rPr>
        <w:t>Strategy comes from the Greek ‘strategos’, which means the general who commands the army (Evered, 1983). And the definition of strategy is diverse. Harrison (1999) argues that strategy is to select long-term goals and plans to achieve these goals through rational allocation of resources. Furthermore, Mintzberg (1979) points out that strategy is a way of connecting the enterprise to its environment. And Porter (1996) added that competitive advantage and corporate performance are an essential element of strategy.</w:t>
      </w:r>
    </w:p>
    <w:p>
      <w:pPr>
        <w:bidi w:val="0"/>
        <w:outlineLvl w:val="1"/>
        <w:rPr>
          <w:rFonts w:hint="default" w:ascii="Arial" w:hAnsi="Arial" w:cs="Arial"/>
          <w:b/>
          <w:bCs/>
          <w:sz w:val="24"/>
          <w:szCs w:val="24"/>
        </w:rPr>
      </w:pPr>
      <w:bookmarkStart w:id="19" w:name="_Toc25539828"/>
      <w:bookmarkStart w:id="20" w:name="_Toc25550931"/>
      <w:bookmarkStart w:id="21" w:name="_Toc12970_WPSOffice_Level2"/>
      <w:bookmarkStart w:id="22" w:name="_Toc21136_WPSOffice_Level2"/>
      <w:bookmarkStart w:id="23" w:name="_Toc20616"/>
      <w:r>
        <w:rPr>
          <w:rFonts w:hint="default" w:ascii="Arial" w:hAnsi="Arial" w:cs="Arial"/>
          <w:b/>
          <w:bCs/>
          <w:sz w:val="24"/>
          <w:szCs w:val="24"/>
        </w:rPr>
        <w:t>2.2 Competitive Strategy</w:t>
      </w:r>
      <w:bookmarkEnd w:id="19"/>
      <w:bookmarkEnd w:id="20"/>
      <w:bookmarkEnd w:id="21"/>
      <w:bookmarkEnd w:id="22"/>
      <w:bookmarkEnd w:id="23"/>
    </w:p>
    <w:p>
      <w:pPr>
        <w:bidi w:val="0"/>
        <w:rPr>
          <w:rFonts w:hint="default" w:ascii="Arial" w:hAnsi="Arial" w:cs="Arial"/>
          <w:sz w:val="24"/>
          <w:szCs w:val="24"/>
        </w:rPr>
      </w:pPr>
      <w:r>
        <w:rPr>
          <w:rFonts w:hint="default" w:ascii="Arial" w:hAnsi="Arial" w:cs="Arial"/>
          <w:sz w:val="24"/>
          <w:szCs w:val="24"/>
        </w:rPr>
        <w:t>Porter (1980) proposed a generally accepted business-level strategic model, including differentiation, cost leadership, and focus strategy, which can help companies gain competitive advantages. The business-level strategy focuses on actions taken to provide value to customers and seek competitive advantage by using core competencies in specific, individual product or service markets, focusing on the position and competition of the enterprise in the industry (Parnell, 2011). The competitive advantage is the advantage gained by providing greater value to consumers compared with competitors (Borch, Huse and Senneseth, 1999).</w:t>
      </w:r>
    </w:p>
    <w:p>
      <w:pPr>
        <w:bidi w:val="0"/>
        <w:rPr>
          <w:rFonts w:hint="default" w:ascii="Arial" w:hAnsi="Arial" w:cs="Arial"/>
          <w:sz w:val="24"/>
          <w:szCs w:val="24"/>
        </w:rPr>
      </w:pPr>
    </w:p>
    <w:p>
      <w:pPr>
        <w:bidi w:val="0"/>
        <w:rPr>
          <w:rFonts w:hint="default" w:ascii="Arial" w:hAnsi="Arial" w:cs="Arial"/>
          <w:sz w:val="24"/>
          <w:szCs w:val="24"/>
        </w:rPr>
      </w:pPr>
      <w:r>
        <w:rPr>
          <w:rFonts w:hint="default" w:ascii="Arial" w:hAnsi="Arial" w:cs="Arial"/>
          <w:sz w:val="24"/>
          <w:szCs w:val="24"/>
        </w:rPr>
        <w:t xml:space="preserve">Differentiation strategy aims to make the company's products unique or different in the industry and provide greater value to customers (Santos-Vijande, López-Sánchez and Trespalacio, 2012). Based on the differentiation strategy, companies can meet the needs of customers in a unique way, such as unique product design and quality (Brenes, Montoya and Ciravegna, 2014). </w:t>
      </w:r>
    </w:p>
    <w:p>
      <w:pPr>
        <w:bidi w:val="0"/>
        <w:rPr>
          <w:rFonts w:hint="default" w:ascii="Arial" w:hAnsi="Arial" w:cs="Arial"/>
          <w:sz w:val="24"/>
          <w:szCs w:val="24"/>
        </w:rPr>
      </w:pPr>
    </w:p>
    <w:p>
      <w:pPr>
        <w:bidi w:val="0"/>
        <w:rPr>
          <w:rFonts w:hint="default" w:ascii="Arial" w:hAnsi="Arial" w:cs="Arial"/>
          <w:sz w:val="24"/>
          <w:szCs w:val="24"/>
        </w:rPr>
      </w:pPr>
      <w:r>
        <w:rPr>
          <w:rFonts w:hint="default" w:ascii="Arial" w:hAnsi="Arial" w:cs="Arial"/>
          <w:sz w:val="24"/>
          <w:szCs w:val="24"/>
        </w:rPr>
        <w:t>The goal of a cost leadership strategy is to achieve a low-cost structure that enables products to be delivered at a lower cost than competitors without compromising quality, service, or other aspects (Porter, 1980). For example, by achieving economies of scale or improving the design of manufacturing industry, cost can be reduced, thus reducing price or increasing profit margin (Martinez-Simarro, Devece and Llopis-Albert, 2015).</w:t>
      </w:r>
    </w:p>
    <w:p>
      <w:pPr>
        <w:bidi w:val="0"/>
        <w:rPr>
          <w:rFonts w:hint="default" w:ascii="Arial" w:hAnsi="Arial" w:cs="Arial"/>
          <w:sz w:val="24"/>
          <w:szCs w:val="24"/>
        </w:rPr>
      </w:pPr>
    </w:p>
    <w:p>
      <w:pPr>
        <w:bidi w:val="0"/>
        <w:rPr>
          <w:rFonts w:hint="default" w:ascii="Arial" w:hAnsi="Arial" w:cs="Arial"/>
          <w:sz w:val="24"/>
          <w:szCs w:val="24"/>
        </w:rPr>
      </w:pPr>
      <w:r>
        <w:rPr>
          <w:rFonts w:hint="default" w:ascii="Arial" w:hAnsi="Arial" w:cs="Arial"/>
          <w:sz w:val="24"/>
          <w:szCs w:val="24"/>
        </w:rPr>
        <w:t>Based on the focus strategy, the company can apply the two strategies on specific niche markets to be more specialized and concentrated (Parnell, 2011). For example, a company may only focus on a geographic location, a specific customer need, or a specific population (</w:t>
      </w:r>
      <w:bookmarkStart w:id="24" w:name="_Hlk24858031"/>
      <w:r>
        <w:rPr>
          <w:rFonts w:hint="default" w:ascii="Arial" w:hAnsi="Arial" w:cs="Arial"/>
          <w:sz w:val="24"/>
          <w:szCs w:val="24"/>
        </w:rPr>
        <w:t>Porter, 1980</w:t>
      </w:r>
      <w:bookmarkEnd w:id="24"/>
      <w:r>
        <w:rPr>
          <w:rFonts w:hint="default" w:ascii="Arial" w:hAnsi="Arial" w:cs="Arial"/>
          <w:sz w:val="24"/>
          <w:szCs w:val="24"/>
        </w:rPr>
        <w:t>).</w:t>
      </w:r>
    </w:p>
    <w:p>
      <w:pPr>
        <w:bidi w:val="0"/>
        <w:outlineLvl w:val="0"/>
        <w:rPr>
          <w:rFonts w:hint="default" w:ascii="Arial" w:hAnsi="Arial" w:cs="Arial"/>
          <w:b/>
          <w:bCs/>
          <w:sz w:val="28"/>
          <w:szCs w:val="28"/>
          <w:lang w:val="en-US"/>
        </w:rPr>
      </w:pPr>
      <w:bookmarkStart w:id="25" w:name="_Toc25550932"/>
      <w:bookmarkStart w:id="26" w:name="_Toc25539829"/>
      <w:bookmarkStart w:id="27" w:name="_Toc1184_WPSOffice_Level1"/>
      <w:bookmarkStart w:id="28" w:name="_Toc32359_WPSOffice_Level1"/>
      <w:bookmarkStart w:id="29" w:name="_Toc6186"/>
      <w:r>
        <w:rPr>
          <w:rFonts w:hint="default" w:ascii="Arial" w:hAnsi="Arial" w:cs="Arial"/>
          <w:b/>
          <w:bCs/>
          <w:sz w:val="28"/>
          <w:szCs w:val="28"/>
          <w:lang w:val="en-US"/>
        </w:rPr>
        <w:t>3.0 The Competitive Strategy of Lidl</w:t>
      </w:r>
      <w:bookmarkEnd w:id="25"/>
      <w:bookmarkEnd w:id="26"/>
      <w:bookmarkEnd w:id="27"/>
      <w:bookmarkEnd w:id="28"/>
      <w:bookmarkEnd w:id="29"/>
    </w:p>
    <w:p>
      <w:pPr>
        <w:bidi w:val="0"/>
        <w:outlineLvl w:val="1"/>
        <w:rPr>
          <w:rFonts w:hint="default" w:ascii="Arial" w:hAnsi="Arial" w:cs="Arial"/>
          <w:b/>
          <w:bCs/>
          <w:sz w:val="24"/>
          <w:szCs w:val="24"/>
          <w:lang w:val="en-US"/>
        </w:rPr>
      </w:pPr>
      <w:bookmarkStart w:id="30" w:name="_Toc25539830"/>
      <w:bookmarkStart w:id="31" w:name="_Toc25550933"/>
      <w:bookmarkStart w:id="32" w:name="_Toc1208"/>
      <w:r>
        <w:rPr>
          <w:rFonts w:hint="default" w:ascii="Arial" w:hAnsi="Arial" w:cs="Arial"/>
          <w:b/>
          <w:bCs/>
          <w:sz w:val="24"/>
          <w:szCs w:val="24"/>
        </w:rPr>
        <w:t>3.1 The Background of Lidl</w:t>
      </w:r>
      <w:bookmarkEnd w:id="30"/>
      <w:bookmarkEnd w:id="31"/>
      <w:bookmarkEnd w:id="32"/>
    </w:p>
    <w:p>
      <w:pPr>
        <w:bidi w:val="0"/>
        <w:outlineLvl w:val="9"/>
        <w:rPr>
          <w:rFonts w:hint="default" w:ascii="Arial" w:hAnsi="Arial" w:cs="Arial"/>
          <w:sz w:val="24"/>
          <w:szCs w:val="24"/>
        </w:rPr>
      </w:pPr>
      <w:r>
        <w:rPr>
          <w:rFonts w:hint="default" w:ascii="Arial" w:hAnsi="Arial" w:cs="Arial"/>
          <w:sz w:val="24"/>
          <w:szCs w:val="24"/>
        </w:rPr>
        <w:t>Lidl is a German global discount supermarket chain. And since Lidl opened its first store in Germany in 1973, Lidl has grown to operate in 32 countries worldwide, with more than 10,800 stores (Lidl, 2019a). And in the UK, Lidl has a network of more than 760 stores and 13 regional distribution centres in England, Scotland and Wales (Lidl, 2019b). Lidl offers high-quality food and non-food products at the lowest possible price, in part because of close partnerships with its suppliers. In addition, Lidl will source locally where possible, with about two-thirds of its products sourcing from UK local suppliers (Lidl, 2019c). Besides, Lidl and its products have won many awards, such as ‘Best Value Retailer’ (Lidl, 2019d). Moreover, Lidl's vision is to provide quality products at market-leading value while ensuring customer satisfaction and improving customer lives (Lidl, 2019e). And Lidl has an organising idea: Big on Quality, Lidl on Price (Lidl, 2019f).</w:t>
      </w:r>
    </w:p>
    <w:p>
      <w:pPr>
        <w:bidi w:val="0"/>
        <w:outlineLvl w:val="1"/>
        <w:rPr>
          <w:rFonts w:hint="default" w:ascii="Arial" w:hAnsi="Arial" w:cs="Arial"/>
          <w:b/>
          <w:bCs/>
          <w:sz w:val="24"/>
          <w:szCs w:val="24"/>
        </w:rPr>
      </w:pPr>
      <w:bookmarkStart w:id="33" w:name="_Toc25539831"/>
      <w:bookmarkStart w:id="34" w:name="_Toc25550934"/>
      <w:bookmarkStart w:id="35" w:name="_Toc28961"/>
      <w:r>
        <w:rPr>
          <w:rFonts w:hint="default" w:ascii="Arial" w:hAnsi="Arial" w:cs="Arial"/>
          <w:b/>
          <w:bCs/>
          <w:sz w:val="24"/>
          <w:szCs w:val="24"/>
        </w:rPr>
        <w:t>3.2 External Environment of Lidl Based on PEST Analysis</w:t>
      </w:r>
      <w:bookmarkEnd w:id="33"/>
      <w:bookmarkEnd w:id="34"/>
      <w:bookmarkEnd w:id="35"/>
    </w:p>
    <w:p>
      <w:pPr>
        <w:bidi w:val="0"/>
        <w:rPr>
          <w:rFonts w:hint="default" w:ascii="Arial" w:hAnsi="Arial" w:cs="Arial"/>
          <w:sz w:val="24"/>
          <w:szCs w:val="24"/>
        </w:rPr>
      </w:pPr>
      <w:r>
        <w:rPr>
          <w:rFonts w:hint="default" w:ascii="Arial" w:hAnsi="Arial" w:cs="Arial"/>
          <w:sz w:val="24"/>
          <w:szCs w:val="24"/>
        </w:rPr>
        <w:t>Political factors include the political forces and related policies, laws and regulations that have a real and potential impact on an organization's business activities (Ramona, 2018). For Lidl, Brexit as a political force will bring a high degree of uncertainty, such as possible changes in import and export tariff and immigration policy (Dhingra et al., 2018). The prices of food items in UK are likely to rise sharply after Brexit, as many are now imported from the EU (Dhingra et al., 2018). And it may be more difficult for Lidl to find workers from abroad for unskilled manual jobs, such as distribution and logistics, because of restrictions on freedom of movement which increases labour costs (Alfano, Dustmann and Frattini, 2016).</w:t>
      </w:r>
    </w:p>
    <w:p>
      <w:pPr>
        <w:bidi w:val="0"/>
        <w:rPr>
          <w:rFonts w:hint="default" w:ascii="Arial" w:hAnsi="Arial" w:cs="Arial"/>
          <w:sz w:val="24"/>
          <w:szCs w:val="24"/>
        </w:rPr>
      </w:pPr>
    </w:p>
    <w:p>
      <w:pPr>
        <w:bidi w:val="0"/>
        <w:rPr>
          <w:rFonts w:hint="default" w:ascii="Arial" w:hAnsi="Arial" w:cs="Arial"/>
          <w:sz w:val="24"/>
          <w:szCs w:val="24"/>
        </w:rPr>
      </w:pPr>
      <w:r>
        <w:rPr>
          <w:rFonts w:hint="default" w:ascii="Arial" w:hAnsi="Arial" w:cs="Arial"/>
          <w:sz w:val="24"/>
          <w:szCs w:val="24"/>
        </w:rPr>
        <w:t>Economic factors refer to the external economic structure, level of economic development and future economic trends (Yüksel, 2012). A rise in interest rates, for example, could have a positive impact on Lidl's operations. Interest rates in the European Union and the United States, Lidl's main markets, have been rising since 2016 from 0.93% to 0.17% and 1.84% to 2.33% respectively (OECD.org, 2019), boosting savings and reducing consumption, and prompting consumers to buy cheaper goods.</w:t>
      </w:r>
    </w:p>
    <w:p>
      <w:pPr>
        <w:bidi w:val="0"/>
        <w:rPr>
          <w:rFonts w:hint="default" w:ascii="Arial" w:hAnsi="Arial" w:cs="Arial"/>
          <w:sz w:val="24"/>
          <w:szCs w:val="24"/>
        </w:rPr>
      </w:pPr>
    </w:p>
    <w:p>
      <w:pPr>
        <w:bidi w:val="0"/>
        <w:rPr>
          <w:rFonts w:hint="default" w:ascii="Arial" w:hAnsi="Arial" w:cs="Arial"/>
          <w:sz w:val="24"/>
          <w:szCs w:val="24"/>
        </w:rPr>
      </w:pPr>
      <w:r>
        <w:rPr>
          <w:rFonts w:hint="default" w:ascii="Arial" w:hAnsi="Arial" w:cs="Arial"/>
          <w:sz w:val="24"/>
          <w:szCs w:val="24"/>
        </w:rPr>
        <w:t>Social factors such as culture, education level and habits also affect the company (Healey, 1994). For instance, as a growing market for Lidl, UK’s proportion of total expenditure on food has halved in 60 years, decreasing from 33% to 16% between 1957 and 2017(ONS, 2018). It indicates that consumers in the UK are willing to accept goods and services at a wider range of prices, which provides the market basis for Lidl (ONS, 2018).</w:t>
      </w:r>
    </w:p>
    <w:p>
      <w:pPr>
        <w:bidi w:val="0"/>
        <w:rPr>
          <w:rFonts w:hint="default" w:ascii="Arial" w:hAnsi="Arial" w:cs="Arial"/>
          <w:sz w:val="24"/>
          <w:szCs w:val="24"/>
        </w:rPr>
      </w:pPr>
    </w:p>
    <w:p>
      <w:pPr>
        <w:bidi w:val="0"/>
        <w:rPr>
          <w:rFonts w:hint="default" w:ascii="Arial" w:hAnsi="Arial" w:cs="Arial"/>
          <w:sz w:val="24"/>
          <w:szCs w:val="24"/>
        </w:rPr>
      </w:pPr>
      <w:r>
        <w:rPr>
          <w:rFonts w:hint="default" w:ascii="Arial" w:hAnsi="Arial" w:cs="Arial"/>
          <w:sz w:val="24"/>
          <w:szCs w:val="24"/>
        </w:rPr>
        <w:t>The technological aspect is also noteworthy because it directly affects innovation and competitiveness (Ramona, 2018). In recent years, with the development of Internet technology, online shopping has become an important growth market, with e-commerce's share of global total retail sales increasing from 7.4% to 14.1% from 2015 to 2019 (Statista. 2019). This has led Lidl to compete in the online marketplace. Besides, technological developments in logistics also provide Lidl with opportunities to reduce costs and deliver more value to customers by improving efficiency. For example, Lidl cooperate with Boxed to acquire the license of pieces of its end-to-end technology to improve the logistics efficiency (Sorvino, 2019).</w:t>
      </w:r>
    </w:p>
    <w:p>
      <w:pPr>
        <w:bidi w:val="0"/>
        <w:outlineLvl w:val="1"/>
        <w:rPr>
          <w:rFonts w:hint="default" w:ascii="Arial" w:hAnsi="Arial" w:cs="Arial"/>
          <w:b/>
          <w:bCs/>
          <w:sz w:val="24"/>
          <w:szCs w:val="24"/>
          <w:lang w:val="en-US"/>
        </w:rPr>
      </w:pPr>
      <w:bookmarkStart w:id="36" w:name="_Toc25539832"/>
      <w:bookmarkStart w:id="37" w:name="_Toc25550935"/>
      <w:bookmarkStart w:id="38" w:name="_Toc24667"/>
      <w:r>
        <w:rPr>
          <w:rFonts w:hint="default" w:ascii="Arial" w:hAnsi="Arial" w:cs="Arial"/>
          <w:b/>
          <w:bCs/>
          <w:sz w:val="24"/>
          <w:szCs w:val="24"/>
          <w:lang w:val="en-US"/>
        </w:rPr>
        <w:t>3.3 Cost Leadership Strategy of Lidl</w:t>
      </w:r>
      <w:bookmarkEnd w:id="36"/>
      <w:bookmarkEnd w:id="37"/>
      <w:bookmarkEnd w:id="38"/>
    </w:p>
    <w:p>
      <w:pPr>
        <w:bidi w:val="0"/>
        <w:rPr>
          <w:rFonts w:hint="default" w:ascii="Arial" w:hAnsi="Arial" w:cs="Arial"/>
          <w:sz w:val="24"/>
          <w:szCs w:val="24"/>
          <w:lang w:val="en-US"/>
        </w:rPr>
      </w:pPr>
      <w:r>
        <w:rPr>
          <w:rFonts w:hint="default" w:ascii="Arial" w:hAnsi="Arial" w:cs="Arial"/>
          <w:sz w:val="24"/>
          <w:szCs w:val="24"/>
          <w:lang w:val="en-US"/>
        </w:rPr>
        <w:t>The main competitive strategy implemented by Lidl is cost leadership strategy, which can be reflected from the organizing idea of Lidl: 'Big on Quality, Lidl on Price'. In addition, Lidl has implemented many measures to reduce costs and ensure the quality of products, so as to deliver more value to customers and gain more competitive advantages. And the main way to realize the cost leadership strategy is to improve economies of scale and operational efficiency.</w:t>
      </w:r>
    </w:p>
    <w:p>
      <w:pPr>
        <w:bidi w:val="0"/>
        <w:rPr>
          <w:rFonts w:hint="default" w:ascii="Arial" w:hAnsi="Arial" w:cs="Arial"/>
          <w:sz w:val="24"/>
          <w:szCs w:val="24"/>
          <w:lang w:val="en-US"/>
        </w:rPr>
      </w:pPr>
    </w:p>
    <w:p>
      <w:pPr>
        <w:bidi w:val="0"/>
        <w:rPr>
          <w:rFonts w:hint="default" w:ascii="Arial" w:hAnsi="Arial" w:cs="Arial"/>
          <w:sz w:val="24"/>
          <w:szCs w:val="24"/>
          <w:lang w:val="en-US"/>
        </w:rPr>
      </w:pPr>
      <w:r>
        <w:rPr>
          <w:rFonts w:hint="default" w:ascii="Arial" w:hAnsi="Arial" w:cs="Arial"/>
          <w:sz w:val="24"/>
          <w:szCs w:val="24"/>
          <w:lang w:val="en-US"/>
        </w:rPr>
        <w:t xml:space="preserve">In terms of operational efficiency, Lidl has made efforts in staff, store design and logistics. Lidl is committed to reducing the number of employees in the store and asking them to do more work. Lidl's staffing in stores is set by average foot traffic, and Lidl's employees have multiple jobs at the same time, such as cashier at peak hours, cleaning and tally at other times, which helps Lidl reduce labor costs (Straub, 2012). </w:t>
      </w:r>
    </w:p>
    <w:p>
      <w:pPr>
        <w:bidi w:val="0"/>
        <w:rPr>
          <w:rFonts w:hint="default" w:ascii="Arial" w:hAnsi="Arial" w:cs="Arial"/>
          <w:sz w:val="24"/>
          <w:szCs w:val="24"/>
          <w:lang w:val="en-US"/>
        </w:rPr>
      </w:pPr>
    </w:p>
    <w:p>
      <w:pPr>
        <w:bidi w:val="0"/>
        <w:rPr>
          <w:rFonts w:hint="default" w:ascii="Arial" w:hAnsi="Arial" w:cs="Arial"/>
          <w:sz w:val="24"/>
          <w:szCs w:val="24"/>
          <w:lang w:val="en-US"/>
        </w:rPr>
      </w:pPr>
      <w:r>
        <w:rPr>
          <w:rFonts w:hint="default" w:ascii="Arial" w:hAnsi="Arial" w:cs="Arial"/>
          <w:sz w:val="24"/>
          <w:szCs w:val="24"/>
          <w:lang w:val="en-US"/>
        </w:rPr>
        <w:t>In addition, Lidl focus on improve the utilization rate of per unit area in</w:t>
      </w:r>
      <w:r>
        <w:rPr>
          <w:rFonts w:hint="default" w:ascii="Arial" w:hAnsi="Arial" w:cs="Arial"/>
          <w:sz w:val="24"/>
          <w:szCs w:val="24"/>
        </w:rPr>
        <w:t xml:space="preserve"> </w:t>
      </w:r>
      <w:r>
        <w:rPr>
          <w:rFonts w:hint="default" w:ascii="Arial" w:hAnsi="Arial" w:cs="Arial"/>
          <w:sz w:val="24"/>
          <w:szCs w:val="24"/>
          <w:lang w:val="en-US"/>
        </w:rPr>
        <w:t>store, such as using warehouse-style placement to improve the quantity of goods per unit area (Hanbury, 2017). And products are placed in the same position in different stores, which ensures that customers can find the same products in the same place in each store, while reducing administrative costs and improving operational efficiency (Lidl, 2019g).</w:t>
      </w:r>
    </w:p>
    <w:p>
      <w:pPr>
        <w:bidi w:val="0"/>
        <w:rPr>
          <w:rFonts w:hint="default" w:ascii="Arial" w:hAnsi="Arial" w:cs="Arial"/>
          <w:sz w:val="24"/>
          <w:szCs w:val="24"/>
          <w:lang w:val="en-US"/>
        </w:rPr>
      </w:pPr>
    </w:p>
    <w:p>
      <w:pPr>
        <w:bidi w:val="0"/>
        <w:rPr>
          <w:rFonts w:hint="default" w:ascii="Arial" w:hAnsi="Arial" w:cs="Arial"/>
          <w:sz w:val="24"/>
          <w:szCs w:val="24"/>
          <w:lang w:val="en-US"/>
        </w:rPr>
      </w:pPr>
      <w:r>
        <w:rPr>
          <w:rFonts w:hint="default" w:ascii="Arial" w:hAnsi="Arial" w:cs="Arial"/>
          <w:sz w:val="24"/>
          <w:szCs w:val="24"/>
          <w:lang w:val="en-US"/>
        </w:rPr>
        <w:t>Moreover, Lidl tries to introduce new technologies to improve logistics efficiency. Lidl cooperate with Boxed, which is one of the only end-to-end platforms like this in the world (Sorvino, 2019). By obtaining its technical support, Lidl can enhance the delivery speed and get more details of delivery to help manage.</w:t>
      </w:r>
    </w:p>
    <w:p>
      <w:pPr>
        <w:bidi w:val="0"/>
        <w:rPr>
          <w:rFonts w:hint="default" w:ascii="Arial" w:hAnsi="Arial" w:cs="Arial"/>
          <w:sz w:val="24"/>
          <w:szCs w:val="24"/>
          <w:lang w:val="en-US"/>
        </w:rPr>
      </w:pPr>
    </w:p>
    <w:p>
      <w:pPr>
        <w:bidi w:val="0"/>
        <w:rPr>
          <w:rFonts w:hint="default" w:ascii="Arial" w:hAnsi="Arial" w:cs="Arial"/>
          <w:sz w:val="24"/>
          <w:szCs w:val="24"/>
          <w:lang w:val="en-US"/>
        </w:rPr>
      </w:pPr>
      <w:r>
        <w:rPr>
          <w:rFonts w:hint="default" w:ascii="Arial" w:hAnsi="Arial" w:cs="Arial"/>
          <w:sz w:val="24"/>
          <w:szCs w:val="24"/>
          <w:lang w:val="en-US"/>
        </w:rPr>
        <w:t xml:space="preserve">Lidl also aims to boost economies of scale. Firstly, Lidl reduced the product and service range (Hanbury, 2017). Lidl will select the best-selling commodities and the best-selling specifications in the commodities to sell, which can help Lidl improve the logistics efficiency and reduce the logistics cost while improving the economies of scale. </w:t>
      </w:r>
    </w:p>
    <w:p>
      <w:pPr>
        <w:bidi w:val="0"/>
        <w:rPr>
          <w:rFonts w:hint="default" w:ascii="Arial" w:hAnsi="Arial" w:cs="Arial"/>
          <w:sz w:val="24"/>
          <w:szCs w:val="24"/>
          <w:lang w:val="en-US"/>
        </w:rPr>
      </w:pPr>
    </w:p>
    <w:p>
      <w:pPr>
        <w:bidi w:val="0"/>
        <w:rPr>
          <w:rFonts w:hint="default" w:ascii="Arial" w:hAnsi="Arial" w:cs="Arial"/>
          <w:sz w:val="24"/>
          <w:szCs w:val="24"/>
          <w:lang w:val="en-US"/>
        </w:rPr>
      </w:pPr>
      <w:r>
        <w:rPr>
          <w:rFonts w:hint="default" w:ascii="Arial" w:hAnsi="Arial" w:cs="Arial"/>
          <w:sz w:val="24"/>
          <w:szCs w:val="24"/>
          <w:lang w:val="en-US"/>
        </w:rPr>
        <w:t>In addition, Lidl is committed to developing different types of private-label brands, and Lidl's private-label brands account for more than 90% (Hanbury, 2017). Private-label brand is a backward integration, which enables retailers to control the production, packaging and distribution of products, which means that companies have more control over the cost of products, and retailers can flexibly allocate and choose resources (Dalley and Sheftalovich, 2012). And through backward integration, Lidl reduces the influence of middlemen and eliminates additional costs for suppliers (Wang, Liu and Wang, 2007). In addition, backward integration can promote the accumulation of knowledge within the company which not only helps the company accumulate resources conducive to its future development, but also helps the company improve its operating efficiency (Barki and Pinsonneault, 2005). So, economies of scale can be achieved, and costs can be reduced.</w:t>
      </w:r>
    </w:p>
    <w:p>
      <w:pPr>
        <w:bidi w:val="0"/>
        <w:outlineLvl w:val="1"/>
        <w:rPr>
          <w:rFonts w:hint="default" w:ascii="Arial" w:hAnsi="Arial" w:cs="Arial"/>
          <w:b/>
          <w:bCs/>
          <w:sz w:val="24"/>
          <w:szCs w:val="24"/>
          <w:lang w:val="en-US"/>
        </w:rPr>
      </w:pPr>
      <w:bookmarkStart w:id="39" w:name="_Toc25539833"/>
      <w:bookmarkStart w:id="40" w:name="_Toc25550936"/>
      <w:bookmarkStart w:id="41" w:name="_Toc21816"/>
      <w:r>
        <w:rPr>
          <w:rFonts w:hint="default" w:ascii="Arial" w:hAnsi="Arial" w:cs="Arial"/>
          <w:b/>
          <w:bCs/>
          <w:sz w:val="24"/>
          <w:szCs w:val="24"/>
          <w:lang w:val="en-US"/>
        </w:rPr>
        <w:t>3.4 Strengths and Limitations</w:t>
      </w:r>
      <w:bookmarkEnd w:id="39"/>
      <w:bookmarkEnd w:id="40"/>
      <w:bookmarkEnd w:id="41"/>
    </w:p>
    <w:p>
      <w:pPr>
        <w:bidi w:val="0"/>
        <w:rPr>
          <w:rFonts w:hint="default" w:ascii="Arial" w:hAnsi="Arial" w:cs="Arial"/>
          <w:sz w:val="24"/>
          <w:szCs w:val="24"/>
          <w:lang w:val="en-US"/>
        </w:rPr>
      </w:pPr>
      <w:r>
        <w:rPr>
          <w:rFonts w:hint="default" w:ascii="Arial" w:hAnsi="Arial" w:cs="Arial"/>
          <w:sz w:val="24"/>
          <w:szCs w:val="24"/>
          <w:lang w:val="en-US"/>
        </w:rPr>
        <w:t>The advantages of the cost leadership strategy are obvious. The focus of cost leadership strategy is to achieve the lowest cost in the industry to gain competitive advantage, by setting a more competitive price or gain more profit space. Lidl is 9% cheaper than Wal-Mart in the USA (Hanbury, 2017), which means Lidl sets more competitive prices to attract price-sensitive customers, sells more products, and gains a larger market share. Low prices also help Lidl seize market opportunities such as lower interest rates and changes in consumers' propensity to spend, leading to growth.</w:t>
      </w:r>
    </w:p>
    <w:p>
      <w:pPr>
        <w:bidi w:val="0"/>
        <w:rPr>
          <w:rFonts w:hint="default" w:ascii="Arial" w:hAnsi="Arial" w:cs="Arial"/>
          <w:sz w:val="24"/>
          <w:szCs w:val="24"/>
          <w:lang w:val="en-US"/>
        </w:rPr>
      </w:pPr>
    </w:p>
    <w:p>
      <w:pPr>
        <w:bidi w:val="0"/>
        <w:rPr>
          <w:rFonts w:hint="default" w:ascii="Arial" w:hAnsi="Arial" w:cs="Arial"/>
          <w:sz w:val="24"/>
          <w:szCs w:val="24"/>
          <w:lang w:val="en-US"/>
        </w:rPr>
      </w:pPr>
      <w:r>
        <w:rPr>
          <w:rFonts w:hint="default" w:ascii="Arial" w:hAnsi="Arial" w:cs="Arial"/>
          <w:sz w:val="24"/>
          <w:szCs w:val="24"/>
          <w:lang w:val="en-US"/>
        </w:rPr>
        <w:t>In addition, cost leadership strategy can help companies reduce the threat of potential entrants by raising barriers to entry (Porter, 1980). The sources of entry barriers include economies of scale, brand loyalty, cost advantage, customer switching cost, initial capital demand, government regulation, etc. (Lee, Kim and Park, 2012).</w:t>
      </w:r>
      <w:r>
        <w:rPr>
          <w:rFonts w:hint="default" w:ascii="Arial" w:hAnsi="Arial" w:cs="Arial"/>
          <w:sz w:val="24"/>
          <w:szCs w:val="24"/>
        </w:rPr>
        <w:t xml:space="preserve"> </w:t>
      </w:r>
      <w:r>
        <w:rPr>
          <w:rFonts w:hint="default" w:ascii="Arial" w:hAnsi="Arial" w:cs="Arial"/>
          <w:sz w:val="24"/>
          <w:szCs w:val="24"/>
          <w:lang w:val="en-US"/>
        </w:rPr>
        <w:t>Lidl's cost leadership strategy raises industry barriers in terms of economies of scale, cost advantages, and it is difficult for new</w:t>
      </w:r>
      <w:r>
        <w:rPr>
          <w:rFonts w:hint="default" w:ascii="Arial" w:hAnsi="Arial" w:cs="Arial"/>
          <w:sz w:val="24"/>
          <w:szCs w:val="24"/>
        </w:rPr>
        <w:t xml:space="preserve"> </w:t>
      </w:r>
      <w:r>
        <w:rPr>
          <w:rFonts w:hint="default" w:ascii="Arial" w:hAnsi="Arial" w:cs="Arial"/>
          <w:sz w:val="24"/>
          <w:szCs w:val="24"/>
          <w:lang w:val="en-US"/>
        </w:rPr>
        <w:t>entrants to achieve the same costs with Lidl, which leads to low profit margins and reduced living space.</w:t>
      </w:r>
    </w:p>
    <w:p>
      <w:pPr>
        <w:bidi w:val="0"/>
        <w:rPr>
          <w:rFonts w:hint="default" w:ascii="Arial" w:hAnsi="Arial" w:cs="Arial"/>
          <w:sz w:val="24"/>
          <w:szCs w:val="24"/>
          <w:lang w:val="en-US"/>
        </w:rPr>
      </w:pPr>
    </w:p>
    <w:p>
      <w:pPr>
        <w:bidi w:val="0"/>
        <w:rPr>
          <w:rFonts w:hint="default" w:ascii="Arial" w:hAnsi="Arial" w:cs="Arial"/>
          <w:sz w:val="24"/>
          <w:szCs w:val="24"/>
          <w:lang w:val="en-US"/>
        </w:rPr>
      </w:pPr>
      <w:r>
        <w:rPr>
          <w:rFonts w:hint="default" w:ascii="Arial" w:hAnsi="Arial" w:cs="Arial"/>
          <w:sz w:val="24"/>
          <w:szCs w:val="24"/>
          <w:lang w:val="en-US"/>
        </w:rPr>
        <w:t>However, the cost leadership strategy also has its limitations. Firstly, competition through cost and price is easy to cause a price war (Martinez-Simarro, Devece and Llopis-Albert, 2015). A price war is when companies lower their prices and cut their profit margins in order to win more market share (Heil and Helsen, 2001). For instance, in 2018, the supermarket price war was raging as Lidl fought back against price cuts caused by the merger of Sainsbury's and Asda (Duncan, 2018).</w:t>
      </w:r>
    </w:p>
    <w:p>
      <w:pPr>
        <w:bidi w:val="0"/>
        <w:rPr>
          <w:rFonts w:hint="default" w:ascii="Arial" w:hAnsi="Arial" w:cs="Arial"/>
          <w:sz w:val="24"/>
          <w:szCs w:val="24"/>
          <w:lang w:val="en-US"/>
        </w:rPr>
      </w:pPr>
    </w:p>
    <w:p>
      <w:pPr>
        <w:bidi w:val="0"/>
        <w:rPr>
          <w:rFonts w:hint="default" w:ascii="Arial" w:hAnsi="Arial" w:cs="Arial"/>
          <w:sz w:val="24"/>
          <w:szCs w:val="24"/>
          <w:lang w:val="en-US"/>
        </w:rPr>
      </w:pPr>
      <w:r>
        <w:rPr>
          <w:rFonts w:hint="default" w:ascii="Arial" w:hAnsi="Arial" w:cs="Arial"/>
          <w:sz w:val="24"/>
          <w:szCs w:val="24"/>
          <w:lang w:val="en-US"/>
        </w:rPr>
        <w:t>Besides, it is difficult to build customer loyalty based on the cost leadership strategy because the product cannot meet the special needs of customers (Chittaie, 2012). Moreover, the price will affect the customer's perception of the value of the product to some extent, while the low price will make the customer think the quality of the product is not high (Vanwaterschoot and Vandenbulte, 1992). This means that customers attracted by lower prices are easily attracted by lower or the same price of competitors. Lidl actively developed its private brand Lidl and highlighted the awards won by its products on its official website to prove the quality of its products, in order to compensate for this limitation</w:t>
      </w:r>
    </w:p>
    <w:p>
      <w:pPr>
        <w:bidi w:val="0"/>
        <w:rPr>
          <w:rFonts w:hint="default" w:ascii="Arial" w:hAnsi="Arial" w:cs="Arial"/>
          <w:sz w:val="24"/>
          <w:szCs w:val="24"/>
          <w:lang w:val="en-US"/>
        </w:rPr>
        <w:sectPr>
          <w:headerReference r:id="rId7" w:type="first"/>
          <w:footerReference r:id="rId9" w:type="first"/>
          <w:footerReference r:id="rId8" w:type="default"/>
          <w:pgSz w:w="11906" w:h="16838"/>
          <w:pgMar w:top="1440" w:right="1800" w:bottom="1440" w:left="1800" w:header="851" w:footer="992" w:gutter="0"/>
          <w:pgNumType w:fmt="decimal"/>
          <w:cols w:space="425" w:num="1"/>
          <w:titlePg/>
          <w:docGrid w:type="lines" w:linePitch="312" w:charSpace="0"/>
        </w:sectPr>
      </w:pPr>
      <w:r>
        <w:rPr>
          <w:rFonts w:hint="default" w:ascii="Arial" w:hAnsi="Arial" w:cs="Arial"/>
          <w:sz w:val="24"/>
          <w:szCs w:val="24"/>
          <w:lang w:val="en-US"/>
        </w:rPr>
        <w:t>.</w:t>
      </w:r>
      <w:bookmarkStart w:id="42" w:name="_Toc25539834"/>
      <w:bookmarkStart w:id="43" w:name="_Toc25550937"/>
    </w:p>
    <w:p>
      <w:pPr>
        <w:bidi w:val="0"/>
        <w:outlineLvl w:val="0"/>
        <w:rPr>
          <w:rFonts w:hint="default" w:ascii="Arial" w:hAnsi="Arial" w:cs="Arial"/>
          <w:b/>
          <w:bCs/>
          <w:sz w:val="28"/>
          <w:szCs w:val="28"/>
          <w:lang w:val="en-US"/>
        </w:rPr>
      </w:pPr>
      <w:bookmarkStart w:id="44" w:name="_Toc21055_WPSOffice_Level1"/>
      <w:bookmarkStart w:id="45" w:name="_Toc25197_WPSOffice_Level1"/>
      <w:bookmarkStart w:id="46" w:name="_Toc20273"/>
      <w:r>
        <w:rPr>
          <w:rFonts w:hint="default" w:ascii="Arial" w:hAnsi="Arial" w:cs="Arial"/>
          <w:b/>
          <w:bCs/>
          <w:sz w:val="28"/>
          <w:szCs w:val="28"/>
          <w:lang w:val="en-US"/>
        </w:rPr>
        <w:t>4.0 Conclusion</w:t>
      </w:r>
      <w:bookmarkEnd w:id="42"/>
      <w:bookmarkEnd w:id="43"/>
      <w:bookmarkEnd w:id="44"/>
      <w:bookmarkEnd w:id="45"/>
      <w:bookmarkEnd w:id="46"/>
    </w:p>
    <w:p>
      <w:pPr>
        <w:bidi w:val="0"/>
        <w:rPr>
          <w:rFonts w:hint="default" w:ascii="Arial" w:hAnsi="Arial" w:cs="Arial"/>
          <w:b/>
          <w:bCs/>
          <w:sz w:val="28"/>
          <w:szCs w:val="28"/>
          <w:lang w:val="en-US"/>
        </w:rPr>
      </w:pPr>
      <w:r>
        <w:rPr>
          <w:rFonts w:hint="default" w:ascii="Arial" w:hAnsi="Arial" w:cs="Arial"/>
          <w:sz w:val="24"/>
          <w:szCs w:val="24"/>
          <w:lang w:val="en-US"/>
        </w:rPr>
        <w:t>In general, Lidl's external environment provides the market foundation and various supports for the implementation of Lidl's cost leadership strategy. In order to realize the cost leadership strategy, Lidl focuses its management on improving operational efficiency and economies of scale. To increase operational efficiency, Lidl has reduced the number of employees and asked them to take on multiple jobs. In terms of store operating efficiency, Lidl uses a standardized warehouse layout design. In terms of technology, new logistics technologies are being introduced to speed up the efficiency of logistics operations and deliver more value to customer. In addition, in order to promote economies of scale, Lidl reduced its product range and developed its private brands to achieve efficient resource allocation and cost control. Based on these initiatives, the implementation of the cost leadership strategy helped Lidl gain market share growth by setting competitive prices. And it reduces the risk of new entrants by raising industry barriers based on promoting economies of scale and cost advantages. However, this strategy has its limitations, including price war, customer loyalty and other risks.</w:t>
      </w:r>
      <w:bookmarkStart w:id="47" w:name="_Toc25550938"/>
      <w:bookmarkStart w:id="48" w:name="_Toc25539835"/>
    </w:p>
    <w:p>
      <w:pPr>
        <w:bidi w:val="0"/>
        <w:outlineLvl w:val="0"/>
        <w:rPr>
          <w:rFonts w:hint="default" w:ascii="Arial" w:hAnsi="Arial" w:cs="Arial"/>
          <w:b/>
          <w:bCs/>
          <w:sz w:val="28"/>
          <w:szCs w:val="28"/>
          <w:lang w:val="en-US"/>
        </w:rPr>
      </w:pPr>
      <w:bookmarkStart w:id="49" w:name="_Toc27982_WPSOffice_Level1"/>
      <w:bookmarkStart w:id="50" w:name="_Toc26221_WPSOffice_Level1"/>
      <w:bookmarkStart w:id="51" w:name="_Toc14083"/>
      <w:r>
        <w:rPr>
          <w:rFonts w:hint="default" w:ascii="Arial" w:hAnsi="Arial" w:cs="Arial"/>
          <w:b/>
          <w:bCs/>
          <w:sz w:val="28"/>
          <w:szCs w:val="28"/>
          <w:lang w:val="en-US"/>
        </w:rPr>
        <w:t>5.0 Recommendation</w:t>
      </w:r>
      <w:bookmarkEnd w:id="47"/>
      <w:bookmarkEnd w:id="48"/>
      <w:bookmarkEnd w:id="49"/>
      <w:bookmarkEnd w:id="50"/>
      <w:bookmarkEnd w:id="51"/>
    </w:p>
    <w:p>
      <w:pPr>
        <w:bidi w:val="0"/>
        <w:rPr>
          <w:rFonts w:hint="default" w:ascii="Arial" w:hAnsi="Arial" w:cs="Arial"/>
          <w:sz w:val="24"/>
          <w:szCs w:val="24"/>
          <w:lang w:val="en-US"/>
        </w:rPr>
      </w:pPr>
      <w:r>
        <w:rPr>
          <w:rFonts w:hint="default" w:ascii="Arial" w:hAnsi="Arial" w:cs="Arial"/>
          <w:sz w:val="24"/>
          <w:szCs w:val="24"/>
          <w:lang w:val="en-US"/>
        </w:rPr>
        <w:t>Combining with differentiation strategy can solve the disadvantage of cost leadership strategy to some extent. Differentiation strategy is committed to provide unique products and services to meet customer demand (Brenes, Montoya and Ciravegna, 2014). From this perspective, Lidl can develop products or services that meet the specific needs of customers and are difficult for competitors to imitate by developing the characteristics of its private brand, so as to enhance customer loyalty as well as ease the pressure of price war (Kharabsheh, Jarrar and Simeonova, 2015). For example, Lidl can provide fresher food to its customers by relying on strong links with local suppliers and fast, technology-based logistics. However, it is worth noting that the introduction of differentiation strategy may lead to the rising cost and make Lidl lose its original competitive advantage. So, Lidl needs to balance costs with differences.</w:t>
      </w:r>
    </w:p>
    <w:p>
      <w:pPr>
        <w:bidi w:val="0"/>
        <w:rPr>
          <w:rFonts w:hint="default" w:ascii="Arial" w:hAnsi="Arial" w:cs="Arial"/>
          <w:sz w:val="24"/>
          <w:szCs w:val="24"/>
          <w:lang w:val="en-US"/>
        </w:rPr>
      </w:pPr>
    </w:p>
    <w:p>
      <w:pPr>
        <w:bidi w:val="0"/>
        <w:rPr>
          <w:rFonts w:hint="default" w:ascii="Arial" w:hAnsi="Arial" w:cs="Arial"/>
          <w:sz w:val="24"/>
          <w:szCs w:val="24"/>
          <w:lang w:val="en-US"/>
        </w:rPr>
      </w:pPr>
      <w:r>
        <w:rPr>
          <w:rFonts w:hint="default" w:ascii="Arial" w:hAnsi="Arial" w:cs="Arial"/>
          <w:sz w:val="24"/>
          <w:szCs w:val="24"/>
          <w:lang w:val="en-US"/>
        </w:rPr>
        <w:t xml:space="preserve">In addition, from a resource-based </w:t>
      </w:r>
      <w:r>
        <w:rPr>
          <w:rFonts w:hint="default" w:ascii="Arial" w:hAnsi="Arial" w:cs="Arial"/>
          <w:sz w:val="24"/>
          <w:szCs w:val="24"/>
          <w:lang w:val="en-US"/>
        </w:rPr>
        <w:tab/>
      </w:r>
      <w:r>
        <w:rPr>
          <w:rFonts w:hint="default" w:ascii="Arial" w:hAnsi="Arial" w:cs="Arial"/>
          <w:sz w:val="24"/>
          <w:szCs w:val="24"/>
          <w:lang w:val="en-US"/>
        </w:rPr>
        <w:t>view, Lidl can focus on cultivating key resources that contribute to sustainable competitive advantage (Tate and Bals, 2018). The resource-based view concerned with the conditions under which the microeconomic equilibrium of homogeneous enterprises with zero profit can be overcome (Spanos and Lioukas, 2001). And corporate performance varies depending on the efficiency of the resources that form the basis of the strategy (Tate and Bals, 2018). Therefore, Lidl can focus on improving its relationship with suppliers and applying more efficient logistics technology to build a sustainable competitive advantage.</w:t>
      </w:r>
    </w:p>
    <w:p>
      <w:pPr>
        <w:bidi w:val="0"/>
        <w:rPr>
          <w:rFonts w:hint="default" w:ascii="Arial" w:hAnsi="Arial" w:cs="Arial"/>
          <w:sz w:val="24"/>
          <w:szCs w:val="24"/>
          <w:lang w:val="en-US"/>
        </w:rPr>
      </w:pPr>
    </w:p>
    <w:p>
      <w:pPr>
        <w:bidi w:val="0"/>
        <w:outlineLvl w:val="0"/>
        <w:rPr>
          <w:rFonts w:hint="default" w:ascii="Arial" w:hAnsi="Arial" w:cs="Arial"/>
          <w:b/>
          <w:bCs/>
          <w:sz w:val="28"/>
          <w:szCs w:val="28"/>
          <w:lang w:val="en-US"/>
        </w:rPr>
        <w:sectPr>
          <w:headerReference r:id="rId10" w:type="first"/>
          <w:pgSz w:w="11906" w:h="16838"/>
          <w:pgMar w:top="1440" w:right="1800" w:bottom="1440" w:left="1800" w:header="851" w:footer="992" w:gutter="0"/>
          <w:pgNumType w:fmt="decimal"/>
          <w:cols w:space="425" w:num="1"/>
          <w:titlePg/>
          <w:docGrid w:type="lines" w:linePitch="312" w:charSpace="0"/>
        </w:sectPr>
      </w:pPr>
      <w:bookmarkStart w:id="52" w:name="_Toc25550939"/>
      <w:bookmarkStart w:id="53" w:name="_Toc25539836"/>
      <w:bookmarkStart w:id="54" w:name="_Toc25864_WPSOffice_Level1"/>
      <w:bookmarkStart w:id="55" w:name="_Toc22054_WPSOffice_Level1"/>
      <w:bookmarkStart w:id="56" w:name="_Toc8200"/>
    </w:p>
    <w:p>
      <w:pPr>
        <w:bidi w:val="0"/>
        <w:outlineLvl w:val="0"/>
        <w:rPr>
          <w:rFonts w:hint="default" w:ascii="Arial" w:hAnsi="Arial" w:cs="Arial"/>
          <w:b/>
          <w:bCs/>
          <w:sz w:val="28"/>
          <w:szCs w:val="28"/>
          <w:lang w:val="en-US"/>
        </w:rPr>
      </w:pPr>
      <w:r>
        <w:rPr>
          <w:rFonts w:hint="default" w:ascii="Arial" w:hAnsi="Arial" w:cs="Arial"/>
          <w:b/>
          <w:bCs/>
          <w:sz w:val="28"/>
          <w:szCs w:val="28"/>
          <w:lang w:val="en-US"/>
        </w:rPr>
        <w:t>6.0 References</w:t>
      </w:r>
      <w:bookmarkEnd w:id="52"/>
      <w:bookmarkEnd w:id="53"/>
      <w:bookmarkEnd w:id="54"/>
      <w:bookmarkEnd w:id="55"/>
      <w:bookmarkEnd w:id="56"/>
    </w:p>
    <w:p>
      <w:pPr>
        <w:bidi w:val="0"/>
        <w:rPr>
          <w:rFonts w:hint="default" w:ascii="Arial" w:hAnsi="Arial" w:cs="Arial"/>
          <w:sz w:val="24"/>
          <w:szCs w:val="24"/>
        </w:rPr>
      </w:pPr>
      <w:bookmarkStart w:id="57" w:name="_Hlk25461561"/>
      <w:r>
        <w:rPr>
          <w:rFonts w:hint="default" w:ascii="Arial" w:hAnsi="Arial" w:cs="Arial"/>
          <w:sz w:val="24"/>
          <w:szCs w:val="24"/>
        </w:rPr>
        <w:t>Alfano, M., Dustmann, C. and Frattini, T. 2016</w:t>
      </w:r>
      <w:bookmarkEnd w:id="57"/>
      <w:r>
        <w:rPr>
          <w:rFonts w:hint="default" w:ascii="Arial" w:hAnsi="Arial" w:cs="Arial"/>
          <w:sz w:val="24"/>
          <w:szCs w:val="24"/>
        </w:rPr>
        <w:t>. Immigration and the UK: Reflections after Brexit. Centro Studi Luca d'Agliano Development Studies Working Paper, (402).</w:t>
      </w:r>
    </w:p>
    <w:p>
      <w:pPr>
        <w:bidi w:val="0"/>
        <w:rPr>
          <w:rFonts w:hint="default" w:ascii="Arial" w:hAnsi="Arial" w:cs="Arial"/>
          <w:sz w:val="24"/>
          <w:szCs w:val="24"/>
        </w:rPr>
      </w:pPr>
    </w:p>
    <w:p>
      <w:pPr>
        <w:bidi w:val="0"/>
        <w:rPr>
          <w:rFonts w:hint="default" w:ascii="Arial" w:hAnsi="Arial" w:cs="Arial"/>
          <w:sz w:val="24"/>
          <w:szCs w:val="24"/>
        </w:rPr>
      </w:pPr>
      <w:r>
        <w:rPr>
          <w:rFonts w:hint="default" w:ascii="Arial" w:hAnsi="Arial" w:cs="Arial"/>
          <w:sz w:val="24"/>
          <w:szCs w:val="24"/>
        </w:rPr>
        <w:t>Barki, H. and Pinsonneault, A. 2005. A Model of Organizational Integration, Implementation Effort, and Performance. Organization Science, 16(2), pp.165–179.</w:t>
      </w:r>
    </w:p>
    <w:p>
      <w:pPr>
        <w:bidi w:val="0"/>
        <w:rPr>
          <w:rFonts w:hint="default" w:ascii="Arial" w:hAnsi="Arial" w:cs="Arial"/>
          <w:sz w:val="24"/>
          <w:szCs w:val="24"/>
        </w:rPr>
      </w:pPr>
    </w:p>
    <w:p>
      <w:pPr>
        <w:bidi w:val="0"/>
        <w:rPr>
          <w:rFonts w:hint="default" w:ascii="Arial" w:hAnsi="Arial" w:cs="Arial"/>
          <w:sz w:val="24"/>
          <w:szCs w:val="24"/>
        </w:rPr>
      </w:pPr>
      <w:r>
        <w:rPr>
          <w:rFonts w:hint="default" w:ascii="Arial" w:hAnsi="Arial" w:cs="Arial"/>
          <w:sz w:val="24"/>
          <w:szCs w:val="24"/>
        </w:rPr>
        <w:t>Borch, O.J., Huse, M. and Senneseth, K. 1999. Resource Configuration, Competitive Strategies, and Corporate Entrepreneurship: An Empirical Examination of Small Firms. Entrepreneurship Theory and Practice, 24(1), pp.49–70.</w:t>
      </w:r>
    </w:p>
    <w:p>
      <w:pPr>
        <w:bidi w:val="0"/>
        <w:rPr>
          <w:rFonts w:hint="default" w:ascii="Arial" w:hAnsi="Arial" w:cs="Arial"/>
          <w:sz w:val="24"/>
          <w:szCs w:val="24"/>
        </w:rPr>
      </w:pPr>
    </w:p>
    <w:p>
      <w:pPr>
        <w:bidi w:val="0"/>
        <w:rPr>
          <w:rFonts w:hint="default" w:ascii="Arial" w:hAnsi="Arial" w:cs="Arial"/>
          <w:sz w:val="24"/>
          <w:szCs w:val="24"/>
        </w:rPr>
      </w:pPr>
      <w:r>
        <w:rPr>
          <w:rFonts w:hint="default" w:ascii="Arial" w:hAnsi="Arial" w:cs="Arial"/>
          <w:sz w:val="24"/>
          <w:szCs w:val="24"/>
        </w:rPr>
        <w:t>Brenes, E.R., Montoya, D. and Ciravegna, L. 2014. Differentiation strategies in emerging markets: The case of Latin American agribusinesses. Journal of Business Research, 67(5), pp.847–855.</w:t>
      </w:r>
    </w:p>
    <w:p>
      <w:pPr>
        <w:bidi w:val="0"/>
        <w:rPr>
          <w:rFonts w:hint="default" w:ascii="Arial" w:hAnsi="Arial" w:cs="Arial"/>
          <w:sz w:val="24"/>
          <w:szCs w:val="24"/>
        </w:rPr>
      </w:pPr>
    </w:p>
    <w:p>
      <w:pPr>
        <w:bidi w:val="0"/>
        <w:rPr>
          <w:rFonts w:hint="default" w:ascii="Arial" w:hAnsi="Arial" w:cs="Arial"/>
          <w:sz w:val="24"/>
          <w:szCs w:val="24"/>
          <w:lang w:val="en-US"/>
        </w:rPr>
      </w:pPr>
      <w:r>
        <w:rPr>
          <w:rFonts w:hint="default" w:ascii="Arial" w:hAnsi="Arial" w:cs="Arial"/>
          <w:sz w:val="24"/>
          <w:szCs w:val="24"/>
          <w:lang w:val="en-US"/>
        </w:rPr>
        <w:t>Chittaie, R. 2012. Customer Relationship Management and Business Strategies. International Journal of Organizational Leadership, 1(1), pp.13–22.</w:t>
      </w:r>
    </w:p>
    <w:p>
      <w:pPr>
        <w:bidi w:val="0"/>
        <w:rPr>
          <w:rFonts w:hint="default" w:ascii="Arial" w:hAnsi="Arial" w:cs="Arial"/>
          <w:sz w:val="24"/>
          <w:szCs w:val="24"/>
          <w:lang w:val="en-US"/>
        </w:rPr>
      </w:pPr>
    </w:p>
    <w:p>
      <w:pPr>
        <w:bidi w:val="0"/>
        <w:rPr>
          <w:rFonts w:hint="default" w:ascii="Arial" w:hAnsi="Arial" w:cs="Arial"/>
          <w:sz w:val="24"/>
          <w:szCs w:val="24"/>
        </w:rPr>
      </w:pPr>
      <w:r>
        <w:rPr>
          <w:rFonts w:hint="default" w:ascii="Arial" w:hAnsi="Arial" w:cs="Arial"/>
          <w:sz w:val="24"/>
          <w:szCs w:val="24"/>
        </w:rPr>
        <w:t>Dalley, E. and Sheftalovich, Z. 2012. Choice supermarket special. Choice, 6 July.</w:t>
      </w:r>
    </w:p>
    <w:p>
      <w:pPr>
        <w:bidi w:val="0"/>
        <w:rPr>
          <w:rFonts w:hint="default" w:ascii="Arial" w:hAnsi="Arial" w:cs="Arial"/>
          <w:sz w:val="24"/>
          <w:szCs w:val="24"/>
        </w:rPr>
      </w:pPr>
    </w:p>
    <w:p>
      <w:pPr>
        <w:bidi w:val="0"/>
        <w:rPr>
          <w:rFonts w:hint="default" w:ascii="Arial" w:hAnsi="Arial" w:cs="Arial"/>
          <w:sz w:val="24"/>
          <w:szCs w:val="24"/>
        </w:rPr>
      </w:pPr>
      <w:r>
        <w:rPr>
          <w:rFonts w:hint="default" w:ascii="Arial" w:hAnsi="Arial" w:cs="Arial"/>
          <w:sz w:val="24"/>
          <w:szCs w:val="24"/>
        </w:rPr>
        <w:t>Dhingra, S.,Ottaviano, G., Rappoport, V., Sampson, T. and Thomas, C. 2018. UK trade and FDI: A post‐Brexit perspective. Papers in Regional Science, 97(1), pp.9-24.</w:t>
      </w:r>
    </w:p>
    <w:p>
      <w:pPr>
        <w:bidi w:val="0"/>
        <w:rPr>
          <w:rFonts w:hint="default" w:ascii="Arial" w:hAnsi="Arial" w:cs="Arial"/>
          <w:sz w:val="24"/>
          <w:szCs w:val="24"/>
        </w:rPr>
      </w:pPr>
    </w:p>
    <w:p>
      <w:pPr>
        <w:bidi w:val="0"/>
        <w:rPr>
          <w:rFonts w:hint="default" w:ascii="Arial" w:hAnsi="Arial" w:cs="Arial"/>
          <w:sz w:val="24"/>
          <w:szCs w:val="24"/>
        </w:rPr>
      </w:pPr>
      <w:r>
        <w:rPr>
          <w:rFonts w:hint="default" w:ascii="Arial" w:hAnsi="Arial" w:cs="Arial"/>
          <w:sz w:val="24"/>
          <w:szCs w:val="24"/>
        </w:rPr>
        <w:t xml:space="preserve">Duncan, H. 2018. Supermarket price war set to intensify as Aldi and Lidl fight back against Asda Sainsbury's tie-up [Online], Available from: </w:t>
      </w:r>
      <w:r>
        <w:rPr>
          <w:rFonts w:hint="default" w:ascii="Arial" w:hAnsi="Arial" w:cs="Arial"/>
          <w:sz w:val="24"/>
          <w:szCs w:val="24"/>
        </w:rPr>
        <w:fldChar w:fldCharType="begin"/>
      </w:r>
      <w:r>
        <w:rPr>
          <w:rFonts w:hint="default" w:ascii="Arial" w:hAnsi="Arial" w:cs="Arial"/>
          <w:sz w:val="24"/>
          <w:szCs w:val="24"/>
        </w:rPr>
        <w:instrText xml:space="preserve"> HYPERLINK "https://www.thisismoney.co.uk/money/markets/article-5705447/Supermarket-price-war-set-intensify-Aldi-Lidl-fight-against-Asda-Sainsburys-tie-up.html" </w:instrText>
      </w:r>
      <w:r>
        <w:rPr>
          <w:rFonts w:hint="default" w:ascii="Arial" w:hAnsi="Arial" w:cs="Arial"/>
          <w:sz w:val="24"/>
          <w:szCs w:val="24"/>
        </w:rPr>
        <w:fldChar w:fldCharType="separate"/>
      </w:r>
      <w:r>
        <w:rPr>
          <w:rStyle w:val="10"/>
          <w:rFonts w:hint="default" w:ascii="Arial" w:hAnsi="Arial" w:cs="Arial"/>
          <w:sz w:val="24"/>
          <w:szCs w:val="24"/>
        </w:rPr>
        <w:t>https://www.thisismoney.co.uk/money/markets/article-5705447/Supermarket-price-war-set-intensify-Aldi-Lidl-fight-against-Asda-Sainsburys-tie-up.html</w:t>
      </w:r>
      <w:r>
        <w:rPr>
          <w:rStyle w:val="10"/>
          <w:rFonts w:hint="default" w:ascii="Arial" w:hAnsi="Arial" w:cs="Arial"/>
          <w:sz w:val="24"/>
          <w:szCs w:val="24"/>
        </w:rPr>
        <w:fldChar w:fldCharType="end"/>
      </w:r>
      <w:r>
        <w:rPr>
          <w:rFonts w:hint="default" w:ascii="Arial" w:hAnsi="Arial" w:cs="Arial"/>
          <w:sz w:val="24"/>
          <w:szCs w:val="24"/>
        </w:rPr>
        <w:t xml:space="preserve"> [Accessed 1 November 2019]</w:t>
      </w:r>
    </w:p>
    <w:p>
      <w:pPr>
        <w:bidi w:val="0"/>
        <w:rPr>
          <w:rFonts w:hint="default" w:ascii="Arial" w:hAnsi="Arial" w:cs="Arial"/>
          <w:sz w:val="24"/>
          <w:szCs w:val="24"/>
        </w:rPr>
      </w:pPr>
    </w:p>
    <w:p>
      <w:pPr>
        <w:bidi w:val="0"/>
        <w:rPr>
          <w:rFonts w:hint="default" w:ascii="Arial" w:hAnsi="Arial" w:cs="Arial"/>
          <w:sz w:val="24"/>
          <w:szCs w:val="24"/>
        </w:rPr>
      </w:pPr>
      <w:r>
        <w:rPr>
          <w:rFonts w:hint="default" w:ascii="Arial" w:hAnsi="Arial" w:cs="Arial"/>
          <w:sz w:val="24"/>
          <w:szCs w:val="24"/>
        </w:rPr>
        <w:t>Evered, R. 1983. So what is strategy? Long Range Planning, 16(3): 57–72.</w:t>
      </w:r>
    </w:p>
    <w:p>
      <w:pPr>
        <w:bidi w:val="0"/>
        <w:rPr>
          <w:rFonts w:hint="default" w:ascii="Arial" w:hAnsi="Arial" w:cs="Arial"/>
          <w:sz w:val="24"/>
          <w:szCs w:val="24"/>
        </w:rPr>
      </w:pPr>
    </w:p>
    <w:p>
      <w:pPr>
        <w:bidi w:val="0"/>
        <w:rPr>
          <w:rFonts w:hint="default" w:ascii="Arial" w:hAnsi="Arial" w:cs="Arial"/>
          <w:sz w:val="24"/>
          <w:szCs w:val="24"/>
        </w:rPr>
      </w:pPr>
      <w:r>
        <w:rPr>
          <w:rFonts w:hint="default" w:ascii="Arial" w:hAnsi="Arial" w:cs="Arial"/>
          <w:sz w:val="24"/>
          <w:szCs w:val="24"/>
        </w:rPr>
        <w:t xml:space="preserve">Hanbury, M. 2017. A German grocery chain that's coming to America is already dominating Walmart on prices — here's why it's so cheap </w:t>
      </w:r>
      <w:bookmarkStart w:id="58" w:name="_Hlk25520717"/>
      <w:r>
        <w:rPr>
          <w:rFonts w:hint="default" w:ascii="Arial" w:hAnsi="Arial" w:cs="Arial"/>
          <w:sz w:val="24"/>
          <w:szCs w:val="24"/>
        </w:rPr>
        <w:t xml:space="preserve">[Online], Available from: </w:t>
      </w:r>
      <w:bookmarkEnd w:id="58"/>
      <w:r>
        <w:rPr>
          <w:rFonts w:hint="default" w:ascii="Arial" w:hAnsi="Arial" w:cs="Arial"/>
          <w:sz w:val="24"/>
          <w:szCs w:val="24"/>
        </w:rPr>
        <w:fldChar w:fldCharType="begin"/>
      </w:r>
      <w:r>
        <w:rPr>
          <w:rFonts w:hint="default" w:ascii="Arial" w:hAnsi="Arial" w:cs="Arial"/>
          <w:sz w:val="24"/>
          <w:szCs w:val="24"/>
        </w:rPr>
        <w:instrText xml:space="preserve"> HYPERLINK "https://www.businessinsider.com/how-lidl-keeps-its-prices-down-2017-6?r=US&amp;IR=T" </w:instrText>
      </w:r>
      <w:r>
        <w:rPr>
          <w:rFonts w:hint="default" w:ascii="Arial" w:hAnsi="Arial" w:cs="Arial"/>
          <w:sz w:val="24"/>
          <w:szCs w:val="24"/>
        </w:rPr>
        <w:fldChar w:fldCharType="separate"/>
      </w:r>
      <w:r>
        <w:rPr>
          <w:rStyle w:val="10"/>
          <w:rFonts w:hint="default" w:ascii="Arial" w:hAnsi="Arial" w:cs="Arial"/>
          <w:sz w:val="24"/>
          <w:szCs w:val="24"/>
        </w:rPr>
        <w:t>https://www.businessinsider.com/how-lidl-keeps-its-prices-down-2017-6?r=USandIR=T</w:t>
      </w:r>
      <w:r>
        <w:rPr>
          <w:rFonts w:hint="default" w:ascii="Arial" w:hAnsi="Arial" w:cs="Arial"/>
          <w:sz w:val="24"/>
          <w:szCs w:val="24"/>
        </w:rPr>
        <w:fldChar w:fldCharType="end"/>
      </w:r>
      <w:r>
        <w:rPr>
          <w:rFonts w:hint="default" w:ascii="Arial" w:hAnsi="Arial" w:cs="Arial"/>
          <w:sz w:val="24"/>
          <w:szCs w:val="24"/>
        </w:rPr>
        <w:t xml:space="preserve"> [Accessed 3 November 2019]</w:t>
      </w:r>
    </w:p>
    <w:p>
      <w:pPr>
        <w:bidi w:val="0"/>
        <w:rPr>
          <w:rFonts w:hint="default" w:ascii="Arial" w:hAnsi="Arial" w:cs="Arial"/>
          <w:sz w:val="24"/>
          <w:szCs w:val="24"/>
        </w:rPr>
      </w:pPr>
    </w:p>
    <w:p>
      <w:pPr>
        <w:bidi w:val="0"/>
        <w:rPr>
          <w:rFonts w:hint="default" w:ascii="Arial" w:hAnsi="Arial" w:cs="Arial"/>
          <w:sz w:val="24"/>
          <w:szCs w:val="24"/>
        </w:rPr>
      </w:pPr>
      <w:r>
        <w:rPr>
          <w:rFonts w:hint="default" w:ascii="Arial" w:hAnsi="Arial" w:cs="Arial"/>
          <w:sz w:val="24"/>
          <w:szCs w:val="24"/>
        </w:rPr>
        <w:t>Harrison, E.F. 1999. The Managerial Decision-Making Process (5th edn). Boston: Houghton Mifflin.</w:t>
      </w:r>
    </w:p>
    <w:p>
      <w:pPr>
        <w:bidi w:val="0"/>
        <w:rPr>
          <w:rFonts w:hint="default" w:ascii="Arial" w:hAnsi="Arial" w:cs="Arial"/>
          <w:sz w:val="24"/>
          <w:szCs w:val="24"/>
        </w:rPr>
      </w:pPr>
    </w:p>
    <w:p>
      <w:pPr>
        <w:bidi w:val="0"/>
        <w:rPr>
          <w:rFonts w:hint="default" w:ascii="Arial" w:hAnsi="Arial" w:cs="Arial"/>
          <w:sz w:val="24"/>
          <w:szCs w:val="24"/>
        </w:rPr>
      </w:pPr>
      <w:bookmarkStart w:id="59" w:name="_Hlk25462494"/>
      <w:r>
        <w:rPr>
          <w:rFonts w:hint="default" w:ascii="Arial" w:hAnsi="Arial" w:cs="Arial"/>
          <w:sz w:val="24"/>
          <w:szCs w:val="24"/>
        </w:rPr>
        <w:t>Healey, N.M. 1994</w:t>
      </w:r>
      <w:bookmarkEnd w:id="59"/>
      <w:r>
        <w:rPr>
          <w:rFonts w:hint="default" w:ascii="Arial" w:hAnsi="Arial" w:cs="Arial"/>
          <w:sz w:val="24"/>
          <w:szCs w:val="24"/>
        </w:rPr>
        <w:t>. The transition economic of central and eastern Europe: A political, economic, social and technological analysis. The Columbia Journal of World Business, 29(1), pp.62-70.</w:t>
      </w:r>
    </w:p>
    <w:p>
      <w:pPr>
        <w:bidi w:val="0"/>
        <w:rPr>
          <w:rFonts w:hint="default" w:ascii="Arial" w:hAnsi="Arial" w:cs="Arial"/>
          <w:sz w:val="24"/>
          <w:szCs w:val="24"/>
        </w:rPr>
      </w:pPr>
    </w:p>
    <w:p>
      <w:pPr>
        <w:bidi w:val="0"/>
        <w:rPr>
          <w:rFonts w:hint="default" w:ascii="Arial" w:hAnsi="Arial" w:cs="Arial"/>
          <w:sz w:val="24"/>
          <w:szCs w:val="24"/>
        </w:rPr>
      </w:pPr>
      <w:r>
        <w:rPr>
          <w:rFonts w:hint="default" w:ascii="Arial" w:hAnsi="Arial" w:cs="Arial"/>
          <w:sz w:val="24"/>
          <w:szCs w:val="24"/>
        </w:rPr>
        <w:t>Heil, O.P. and Helsen, K. 2001. Toward an Understanding of Price Wars: Their Nature and How They Erupt. International Journal of Research in Marketing, 18 (1), pp.83–98.</w:t>
      </w:r>
    </w:p>
    <w:p>
      <w:pPr>
        <w:bidi w:val="0"/>
        <w:rPr>
          <w:rFonts w:hint="default" w:ascii="Arial" w:hAnsi="Arial" w:cs="Arial"/>
          <w:sz w:val="24"/>
          <w:szCs w:val="24"/>
        </w:rPr>
      </w:pPr>
    </w:p>
    <w:p>
      <w:pPr>
        <w:bidi w:val="0"/>
        <w:rPr>
          <w:rFonts w:hint="default" w:ascii="Arial" w:hAnsi="Arial" w:cs="Arial"/>
          <w:sz w:val="24"/>
          <w:szCs w:val="24"/>
        </w:rPr>
      </w:pPr>
      <w:r>
        <w:rPr>
          <w:rFonts w:hint="default" w:ascii="Arial" w:hAnsi="Arial" w:cs="Arial"/>
          <w:sz w:val="24"/>
          <w:szCs w:val="24"/>
        </w:rPr>
        <w:t>Ketchen, D.J., Boyd, B.K. and Bergh, D.D. 2008. Research methodology in strategic management: past accomplishments and future challenges. Organizational Research Methods, 11(4), pp.643–658.</w:t>
      </w:r>
    </w:p>
    <w:p>
      <w:pPr>
        <w:bidi w:val="0"/>
        <w:rPr>
          <w:rFonts w:hint="default" w:ascii="Arial" w:hAnsi="Arial" w:cs="Arial"/>
          <w:sz w:val="24"/>
          <w:szCs w:val="24"/>
        </w:rPr>
      </w:pPr>
    </w:p>
    <w:p>
      <w:pPr>
        <w:bidi w:val="0"/>
        <w:rPr>
          <w:rFonts w:hint="default" w:ascii="Arial" w:hAnsi="Arial" w:cs="Arial"/>
          <w:sz w:val="24"/>
          <w:szCs w:val="24"/>
        </w:rPr>
      </w:pPr>
      <w:r>
        <w:rPr>
          <w:rFonts w:hint="default" w:ascii="Arial" w:hAnsi="Arial" w:cs="Arial"/>
          <w:sz w:val="24"/>
          <w:szCs w:val="24"/>
        </w:rPr>
        <w:t>Kharabsheh, R.A., Jarrar, K. and Simeonova, B. 2015. The impact of competitive strategies on responsive market orientation, proactive market orientation, learning orientation and organizational performance. Journal of Strategic Marketing, 23(5), pp.423–435.</w:t>
      </w:r>
    </w:p>
    <w:p>
      <w:pPr>
        <w:bidi w:val="0"/>
        <w:rPr>
          <w:rFonts w:hint="default" w:ascii="Arial" w:hAnsi="Arial" w:cs="Arial"/>
          <w:sz w:val="24"/>
          <w:szCs w:val="24"/>
        </w:rPr>
      </w:pPr>
    </w:p>
    <w:p>
      <w:pPr>
        <w:bidi w:val="0"/>
        <w:rPr>
          <w:rFonts w:hint="default" w:ascii="Arial" w:hAnsi="Arial" w:cs="Arial"/>
          <w:sz w:val="24"/>
          <w:szCs w:val="24"/>
          <w:lang w:val="en-US"/>
        </w:rPr>
      </w:pPr>
      <w:r>
        <w:rPr>
          <w:rFonts w:hint="default" w:ascii="Arial" w:hAnsi="Arial" w:cs="Arial"/>
          <w:sz w:val="24"/>
          <w:szCs w:val="24"/>
          <w:lang w:val="en-US"/>
        </w:rPr>
        <w:t>Lee, H., Kim, M. and Park, Y. 2012. An analytic network process approach to operationalization of five forces model. Applied Mathematical Modelling, 36(4), pp.1783–1795.</w:t>
      </w:r>
    </w:p>
    <w:p>
      <w:pPr>
        <w:bidi w:val="0"/>
        <w:rPr>
          <w:rFonts w:hint="default" w:ascii="Arial" w:hAnsi="Arial" w:cs="Arial"/>
          <w:sz w:val="24"/>
          <w:szCs w:val="24"/>
          <w:lang w:val="en-US"/>
        </w:rPr>
      </w:pPr>
    </w:p>
    <w:p>
      <w:pPr>
        <w:bidi w:val="0"/>
        <w:rPr>
          <w:rFonts w:hint="default" w:ascii="Arial" w:hAnsi="Arial" w:cs="Arial"/>
          <w:sz w:val="24"/>
          <w:szCs w:val="24"/>
        </w:rPr>
      </w:pPr>
      <w:r>
        <w:rPr>
          <w:rFonts w:hint="default" w:ascii="Arial" w:hAnsi="Arial" w:cs="Arial"/>
          <w:sz w:val="24"/>
          <w:szCs w:val="24"/>
        </w:rPr>
        <w:t xml:space="preserve">Lidl. 2019a. About Lidl [Online], Available from: </w:t>
      </w:r>
      <w:r>
        <w:rPr>
          <w:rFonts w:hint="default" w:ascii="Arial" w:hAnsi="Arial" w:cs="Arial"/>
          <w:sz w:val="24"/>
          <w:szCs w:val="24"/>
        </w:rPr>
        <w:fldChar w:fldCharType="begin"/>
      </w:r>
      <w:r>
        <w:rPr>
          <w:rFonts w:hint="default" w:ascii="Arial" w:hAnsi="Arial" w:cs="Arial"/>
          <w:sz w:val="24"/>
          <w:szCs w:val="24"/>
        </w:rPr>
        <w:instrText xml:space="preserve"> HYPERLINK "https://www.info.lidl/en-gb/" </w:instrText>
      </w:r>
      <w:r>
        <w:rPr>
          <w:rFonts w:hint="default" w:ascii="Arial" w:hAnsi="Arial" w:cs="Arial"/>
          <w:sz w:val="24"/>
          <w:szCs w:val="24"/>
        </w:rPr>
        <w:fldChar w:fldCharType="separate"/>
      </w:r>
      <w:r>
        <w:rPr>
          <w:rStyle w:val="10"/>
          <w:rFonts w:hint="default" w:ascii="Arial" w:hAnsi="Arial" w:cs="Arial"/>
          <w:sz w:val="24"/>
          <w:szCs w:val="24"/>
        </w:rPr>
        <w:t>https://www.info.lidl/en-gb/</w:t>
      </w:r>
      <w:r>
        <w:rPr>
          <w:rStyle w:val="10"/>
          <w:rFonts w:hint="default" w:ascii="Arial" w:hAnsi="Arial" w:cs="Arial"/>
          <w:sz w:val="24"/>
          <w:szCs w:val="24"/>
        </w:rPr>
        <w:fldChar w:fldCharType="end"/>
      </w:r>
      <w:r>
        <w:rPr>
          <w:rFonts w:hint="default" w:ascii="Arial" w:hAnsi="Arial" w:cs="Arial"/>
          <w:sz w:val="24"/>
          <w:szCs w:val="24"/>
        </w:rPr>
        <w:t xml:space="preserve"> [Accessed 2\ November 2019]</w:t>
      </w:r>
    </w:p>
    <w:p>
      <w:pPr>
        <w:bidi w:val="0"/>
        <w:rPr>
          <w:rFonts w:hint="default" w:ascii="Arial" w:hAnsi="Arial" w:cs="Arial"/>
          <w:sz w:val="24"/>
          <w:szCs w:val="24"/>
        </w:rPr>
      </w:pPr>
    </w:p>
    <w:p>
      <w:pPr>
        <w:bidi w:val="0"/>
        <w:rPr>
          <w:rFonts w:hint="default" w:ascii="Arial" w:hAnsi="Arial" w:cs="Arial"/>
          <w:sz w:val="24"/>
          <w:szCs w:val="24"/>
        </w:rPr>
      </w:pPr>
      <w:r>
        <w:rPr>
          <w:rFonts w:hint="default" w:ascii="Arial" w:hAnsi="Arial" w:cs="Arial"/>
          <w:sz w:val="24"/>
          <w:szCs w:val="24"/>
        </w:rPr>
        <w:t xml:space="preserve">Lidl. 2019b. Our History [Online], Available from: </w:t>
      </w:r>
      <w:r>
        <w:rPr>
          <w:rFonts w:hint="default" w:ascii="Arial" w:hAnsi="Arial" w:cs="Arial"/>
          <w:sz w:val="24"/>
          <w:szCs w:val="24"/>
        </w:rPr>
        <w:fldChar w:fldCharType="begin"/>
      </w:r>
      <w:r>
        <w:rPr>
          <w:rFonts w:hint="default" w:ascii="Arial" w:hAnsi="Arial" w:cs="Arial"/>
          <w:sz w:val="24"/>
          <w:szCs w:val="24"/>
        </w:rPr>
        <w:instrText xml:space="preserve"> HYPERLINK "https://www.lidl.co.uk/about-us" </w:instrText>
      </w:r>
      <w:r>
        <w:rPr>
          <w:rFonts w:hint="default" w:ascii="Arial" w:hAnsi="Arial" w:cs="Arial"/>
          <w:sz w:val="24"/>
          <w:szCs w:val="24"/>
        </w:rPr>
        <w:fldChar w:fldCharType="separate"/>
      </w:r>
      <w:r>
        <w:rPr>
          <w:rStyle w:val="10"/>
          <w:rFonts w:hint="default" w:ascii="Arial" w:hAnsi="Arial" w:cs="Arial"/>
          <w:sz w:val="24"/>
          <w:szCs w:val="24"/>
        </w:rPr>
        <w:t>https://www.lidl.co.uk/about-us</w:t>
      </w:r>
      <w:r>
        <w:rPr>
          <w:rStyle w:val="10"/>
          <w:rFonts w:hint="default" w:ascii="Arial" w:hAnsi="Arial" w:cs="Arial"/>
          <w:sz w:val="24"/>
          <w:szCs w:val="24"/>
        </w:rPr>
        <w:fldChar w:fldCharType="end"/>
      </w:r>
      <w:r>
        <w:rPr>
          <w:rFonts w:hint="default" w:ascii="Arial" w:hAnsi="Arial" w:cs="Arial"/>
          <w:sz w:val="24"/>
          <w:szCs w:val="24"/>
        </w:rPr>
        <w:t xml:space="preserve"> [Accessed 7 November 2019]</w:t>
      </w:r>
    </w:p>
    <w:p>
      <w:pPr>
        <w:bidi w:val="0"/>
        <w:rPr>
          <w:rFonts w:hint="default" w:ascii="Arial" w:hAnsi="Arial" w:cs="Arial"/>
          <w:sz w:val="24"/>
          <w:szCs w:val="24"/>
        </w:rPr>
      </w:pPr>
    </w:p>
    <w:p>
      <w:pPr>
        <w:bidi w:val="0"/>
        <w:rPr>
          <w:rFonts w:hint="default" w:ascii="Arial" w:hAnsi="Arial" w:cs="Arial"/>
          <w:sz w:val="24"/>
          <w:szCs w:val="24"/>
        </w:rPr>
      </w:pPr>
      <w:r>
        <w:rPr>
          <w:rFonts w:hint="default" w:ascii="Arial" w:hAnsi="Arial" w:cs="Arial"/>
          <w:sz w:val="24"/>
          <w:szCs w:val="24"/>
        </w:rPr>
        <w:t xml:space="preserve">Lidl. 2019c. About our products </w:t>
      </w:r>
      <w:bookmarkStart w:id="60" w:name="_Hlk25453180"/>
      <w:r>
        <w:rPr>
          <w:rFonts w:hint="default" w:ascii="Arial" w:hAnsi="Arial" w:cs="Arial"/>
          <w:sz w:val="24"/>
          <w:szCs w:val="24"/>
        </w:rPr>
        <w:t>[Online], Available from:</w:t>
      </w:r>
      <w:bookmarkEnd w:id="60"/>
      <w:r>
        <w:rPr>
          <w:rFonts w:hint="default" w:ascii="Arial" w:hAnsi="Arial" w:cs="Arial"/>
          <w:sz w:val="24"/>
          <w:szCs w:val="24"/>
        </w:rPr>
        <w:t xml:space="preserve"> </w:t>
      </w:r>
      <w:r>
        <w:rPr>
          <w:rFonts w:hint="default" w:ascii="Arial" w:hAnsi="Arial" w:cs="Arial"/>
          <w:sz w:val="24"/>
          <w:szCs w:val="24"/>
        </w:rPr>
        <w:fldChar w:fldCharType="begin"/>
      </w:r>
      <w:r>
        <w:rPr>
          <w:rFonts w:hint="default" w:ascii="Arial" w:hAnsi="Arial" w:cs="Arial"/>
          <w:sz w:val="24"/>
          <w:szCs w:val="24"/>
        </w:rPr>
        <w:instrText xml:space="preserve"> HYPERLINK "https://www.lidl.co.uk/our-products" </w:instrText>
      </w:r>
      <w:r>
        <w:rPr>
          <w:rFonts w:hint="default" w:ascii="Arial" w:hAnsi="Arial" w:cs="Arial"/>
          <w:sz w:val="24"/>
          <w:szCs w:val="24"/>
        </w:rPr>
        <w:fldChar w:fldCharType="separate"/>
      </w:r>
      <w:r>
        <w:rPr>
          <w:rStyle w:val="10"/>
          <w:rFonts w:hint="default" w:ascii="Arial" w:hAnsi="Arial" w:cs="Arial"/>
          <w:sz w:val="24"/>
          <w:szCs w:val="24"/>
        </w:rPr>
        <w:t>https://www.lidl.co.uk/our-products</w:t>
      </w:r>
      <w:r>
        <w:rPr>
          <w:rStyle w:val="10"/>
          <w:rFonts w:hint="default" w:ascii="Arial" w:hAnsi="Arial" w:cs="Arial"/>
          <w:sz w:val="24"/>
          <w:szCs w:val="24"/>
        </w:rPr>
        <w:fldChar w:fldCharType="end"/>
      </w:r>
      <w:r>
        <w:rPr>
          <w:rFonts w:hint="default" w:ascii="Arial" w:hAnsi="Arial" w:cs="Arial"/>
          <w:sz w:val="24"/>
          <w:szCs w:val="24"/>
        </w:rPr>
        <w:t xml:space="preserve"> [Accessed 2 November 2019]</w:t>
      </w:r>
    </w:p>
    <w:p>
      <w:pPr>
        <w:bidi w:val="0"/>
        <w:rPr>
          <w:rFonts w:hint="default" w:ascii="Arial" w:hAnsi="Arial" w:cs="Arial"/>
          <w:sz w:val="24"/>
          <w:szCs w:val="24"/>
        </w:rPr>
      </w:pPr>
    </w:p>
    <w:p>
      <w:pPr>
        <w:bidi w:val="0"/>
        <w:rPr>
          <w:rFonts w:hint="default" w:ascii="Arial" w:hAnsi="Arial" w:cs="Arial"/>
          <w:sz w:val="24"/>
          <w:szCs w:val="24"/>
        </w:rPr>
      </w:pPr>
      <w:r>
        <w:rPr>
          <w:rFonts w:hint="default" w:ascii="Arial" w:hAnsi="Arial" w:cs="Arial"/>
          <w:sz w:val="24"/>
          <w:szCs w:val="24"/>
        </w:rPr>
        <w:t xml:space="preserve">Lidl. 2019d Awards [Online], Available from: </w:t>
      </w:r>
      <w:r>
        <w:rPr>
          <w:rFonts w:hint="default" w:ascii="Arial" w:hAnsi="Arial" w:cs="Arial"/>
          <w:sz w:val="24"/>
          <w:szCs w:val="24"/>
        </w:rPr>
        <w:fldChar w:fldCharType="begin"/>
      </w:r>
      <w:r>
        <w:rPr>
          <w:rFonts w:hint="default" w:ascii="Arial" w:hAnsi="Arial" w:cs="Arial"/>
          <w:sz w:val="24"/>
          <w:szCs w:val="24"/>
        </w:rPr>
        <w:instrText xml:space="preserve"> HYPERLINK "https://www.lidl.co.uk/about-us/awards" </w:instrText>
      </w:r>
      <w:r>
        <w:rPr>
          <w:rFonts w:hint="default" w:ascii="Arial" w:hAnsi="Arial" w:cs="Arial"/>
          <w:sz w:val="24"/>
          <w:szCs w:val="24"/>
        </w:rPr>
        <w:fldChar w:fldCharType="separate"/>
      </w:r>
      <w:r>
        <w:rPr>
          <w:rStyle w:val="10"/>
          <w:rFonts w:hint="default" w:ascii="Arial" w:hAnsi="Arial" w:cs="Arial"/>
          <w:sz w:val="24"/>
          <w:szCs w:val="24"/>
        </w:rPr>
        <w:t>https://www.lidl.co.uk/about-us/awards</w:t>
      </w:r>
      <w:r>
        <w:rPr>
          <w:rStyle w:val="10"/>
          <w:rFonts w:hint="default" w:ascii="Arial" w:hAnsi="Arial" w:cs="Arial"/>
          <w:sz w:val="24"/>
          <w:szCs w:val="24"/>
        </w:rPr>
        <w:fldChar w:fldCharType="end"/>
      </w:r>
      <w:r>
        <w:rPr>
          <w:rFonts w:hint="default" w:ascii="Arial" w:hAnsi="Arial" w:cs="Arial"/>
          <w:sz w:val="24"/>
          <w:szCs w:val="24"/>
        </w:rPr>
        <w:t xml:space="preserve"> [Accessed 2 November 2018]</w:t>
      </w:r>
    </w:p>
    <w:p>
      <w:pPr>
        <w:bidi w:val="0"/>
        <w:rPr>
          <w:rFonts w:hint="default" w:ascii="Arial" w:hAnsi="Arial" w:cs="Arial"/>
          <w:sz w:val="24"/>
          <w:szCs w:val="24"/>
        </w:rPr>
      </w:pPr>
    </w:p>
    <w:p>
      <w:pPr>
        <w:bidi w:val="0"/>
        <w:rPr>
          <w:rFonts w:hint="default" w:ascii="Arial" w:hAnsi="Arial" w:cs="Arial"/>
          <w:sz w:val="24"/>
          <w:szCs w:val="24"/>
        </w:rPr>
      </w:pPr>
      <w:r>
        <w:rPr>
          <w:rFonts w:hint="default" w:ascii="Arial" w:hAnsi="Arial" w:cs="Arial"/>
          <w:sz w:val="24"/>
          <w:szCs w:val="24"/>
        </w:rPr>
        <w:t xml:space="preserve">Lidl. 2019e. Vision and Mission Statement [Online], Available from: </w:t>
      </w:r>
      <w:r>
        <w:rPr>
          <w:rFonts w:hint="default" w:ascii="Arial" w:hAnsi="Arial" w:cs="Arial"/>
          <w:sz w:val="24"/>
          <w:szCs w:val="24"/>
        </w:rPr>
        <w:fldChar w:fldCharType="begin"/>
      </w:r>
      <w:r>
        <w:rPr>
          <w:rFonts w:hint="default" w:ascii="Arial" w:hAnsi="Arial" w:cs="Arial"/>
          <w:sz w:val="24"/>
          <w:szCs w:val="24"/>
        </w:rPr>
        <w:instrText xml:space="preserve"> HYPERLINK "https://www.lidl.co.uk/about-us/vision-and-mission-statement" </w:instrText>
      </w:r>
      <w:r>
        <w:rPr>
          <w:rFonts w:hint="default" w:ascii="Arial" w:hAnsi="Arial" w:cs="Arial"/>
          <w:sz w:val="24"/>
          <w:szCs w:val="24"/>
        </w:rPr>
        <w:fldChar w:fldCharType="separate"/>
      </w:r>
      <w:r>
        <w:rPr>
          <w:rStyle w:val="10"/>
          <w:rFonts w:hint="default" w:ascii="Arial" w:hAnsi="Arial" w:cs="Arial"/>
          <w:sz w:val="24"/>
          <w:szCs w:val="24"/>
        </w:rPr>
        <w:t>https://www.lidl.co.uk/about-us/vision-and-mission-statement</w:t>
      </w:r>
      <w:r>
        <w:rPr>
          <w:rStyle w:val="10"/>
          <w:rFonts w:hint="default" w:ascii="Arial" w:hAnsi="Arial" w:cs="Arial"/>
          <w:sz w:val="24"/>
          <w:szCs w:val="24"/>
        </w:rPr>
        <w:fldChar w:fldCharType="end"/>
      </w:r>
      <w:r>
        <w:rPr>
          <w:rFonts w:hint="default" w:ascii="Arial" w:hAnsi="Arial" w:cs="Arial"/>
          <w:sz w:val="24"/>
          <w:szCs w:val="24"/>
        </w:rPr>
        <w:t xml:space="preserve"> </w:t>
      </w:r>
      <w:bookmarkStart w:id="61" w:name="_Hlk25460585"/>
      <w:r>
        <w:rPr>
          <w:rFonts w:hint="default" w:ascii="Arial" w:hAnsi="Arial" w:cs="Arial"/>
          <w:sz w:val="24"/>
          <w:szCs w:val="24"/>
        </w:rPr>
        <w:t>[Accessed 7 November 2019]</w:t>
      </w:r>
    </w:p>
    <w:p>
      <w:pPr>
        <w:bidi w:val="0"/>
        <w:rPr>
          <w:rFonts w:hint="default" w:ascii="Arial" w:hAnsi="Arial" w:cs="Arial"/>
          <w:sz w:val="24"/>
          <w:szCs w:val="24"/>
        </w:rPr>
      </w:pPr>
    </w:p>
    <w:bookmarkEnd w:id="61"/>
    <w:p>
      <w:pPr>
        <w:bidi w:val="0"/>
        <w:rPr>
          <w:rFonts w:hint="default" w:ascii="Arial" w:hAnsi="Arial" w:cs="Arial"/>
          <w:sz w:val="24"/>
          <w:szCs w:val="24"/>
        </w:rPr>
      </w:pPr>
      <w:r>
        <w:rPr>
          <w:rFonts w:hint="default" w:ascii="Arial" w:hAnsi="Arial" w:cs="Arial"/>
          <w:sz w:val="24"/>
          <w:szCs w:val="24"/>
        </w:rPr>
        <w:t xml:space="preserve">Lidl. 2019f. Big on </w:t>
      </w:r>
      <w:bookmarkStart w:id="62" w:name="_Hlk25460572"/>
      <w:r>
        <w:rPr>
          <w:rFonts w:hint="default" w:ascii="Arial" w:hAnsi="Arial" w:cs="Arial"/>
          <w:sz w:val="24"/>
          <w:szCs w:val="24"/>
        </w:rPr>
        <w:t xml:space="preserve">[Online], Available from: </w:t>
      </w:r>
      <w:bookmarkEnd w:id="62"/>
      <w:r>
        <w:rPr>
          <w:rFonts w:hint="default" w:ascii="Arial" w:hAnsi="Arial" w:cs="Arial"/>
          <w:sz w:val="24"/>
          <w:szCs w:val="24"/>
        </w:rPr>
        <w:fldChar w:fldCharType="begin"/>
      </w:r>
      <w:r>
        <w:rPr>
          <w:rFonts w:hint="default" w:ascii="Arial" w:hAnsi="Arial" w:cs="Arial"/>
          <w:sz w:val="24"/>
          <w:szCs w:val="24"/>
        </w:rPr>
        <w:instrText xml:space="preserve"> HYPERLINK "https://www.lidl.co.uk/about-us/big-on" </w:instrText>
      </w:r>
      <w:r>
        <w:rPr>
          <w:rFonts w:hint="default" w:ascii="Arial" w:hAnsi="Arial" w:cs="Arial"/>
          <w:sz w:val="24"/>
          <w:szCs w:val="24"/>
        </w:rPr>
        <w:fldChar w:fldCharType="separate"/>
      </w:r>
      <w:r>
        <w:rPr>
          <w:rStyle w:val="10"/>
          <w:rFonts w:hint="default" w:ascii="Arial" w:hAnsi="Arial" w:cs="Arial"/>
          <w:sz w:val="24"/>
          <w:szCs w:val="24"/>
        </w:rPr>
        <w:t>https://www.lidl.co.uk/about-us/big-on</w:t>
      </w:r>
      <w:r>
        <w:rPr>
          <w:rFonts w:hint="default" w:ascii="Arial" w:hAnsi="Arial" w:cs="Arial"/>
          <w:sz w:val="24"/>
          <w:szCs w:val="24"/>
        </w:rPr>
        <w:fldChar w:fldCharType="end"/>
      </w:r>
      <w:r>
        <w:rPr>
          <w:rFonts w:hint="default" w:ascii="Arial" w:hAnsi="Arial" w:cs="Arial"/>
          <w:sz w:val="24"/>
          <w:szCs w:val="24"/>
        </w:rPr>
        <w:t xml:space="preserve"> [Accessed 7 November 2019]</w:t>
      </w:r>
    </w:p>
    <w:p>
      <w:pPr>
        <w:bidi w:val="0"/>
        <w:rPr>
          <w:rFonts w:hint="default" w:ascii="Arial" w:hAnsi="Arial" w:cs="Arial"/>
          <w:sz w:val="24"/>
          <w:szCs w:val="24"/>
        </w:rPr>
      </w:pPr>
    </w:p>
    <w:p>
      <w:pPr>
        <w:bidi w:val="0"/>
        <w:rPr>
          <w:rFonts w:hint="default" w:ascii="Arial" w:hAnsi="Arial" w:cs="Arial"/>
          <w:sz w:val="24"/>
          <w:szCs w:val="24"/>
        </w:rPr>
      </w:pPr>
      <w:r>
        <w:rPr>
          <w:rFonts w:hint="default" w:ascii="Arial" w:hAnsi="Arial" w:cs="Arial"/>
          <w:sz w:val="24"/>
          <w:szCs w:val="24"/>
        </w:rPr>
        <w:t xml:space="preserve">Lidl. 2019g. Customer Orientated Expansion [Online], Available from: </w:t>
      </w:r>
      <w:r>
        <w:rPr>
          <w:rFonts w:hint="default" w:ascii="Arial" w:hAnsi="Arial" w:cs="Arial"/>
          <w:sz w:val="24"/>
          <w:szCs w:val="24"/>
        </w:rPr>
        <w:fldChar w:fldCharType="begin"/>
      </w:r>
      <w:r>
        <w:rPr>
          <w:rFonts w:hint="default" w:ascii="Arial" w:hAnsi="Arial" w:cs="Arial"/>
          <w:sz w:val="24"/>
          <w:szCs w:val="24"/>
        </w:rPr>
        <w:instrText xml:space="preserve"> HYPERLINK "https://www.businessinsider.com/how-lidl-keeps-its-prices-down-2017-6?r=US&amp;IR=T" </w:instrText>
      </w:r>
      <w:r>
        <w:rPr>
          <w:rFonts w:hint="default" w:ascii="Arial" w:hAnsi="Arial" w:cs="Arial"/>
          <w:sz w:val="24"/>
          <w:szCs w:val="24"/>
        </w:rPr>
        <w:fldChar w:fldCharType="separate"/>
      </w:r>
      <w:r>
        <w:rPr>
          <w:rStyle w:val="10"/>
          <w:rFonts w:hint="default" w:ascii="Arial" w:hAnsi="Arial" w:cs="Arial"/>
          <w:sz w:val="24"/>
          <w:szCs w:val="24"/>
        </w:rPr>
        <w:t>https://www.businessinsider.com/how-lidl-keeps-its-prices-down-2017-6?r=USandIR=T</w:t>
      </w:r>
      <w:r>
        <w:rPr>
          <w:rStyle w:val="10"/>
          <w:rFonts w:hint="default" w:ascii="Arial" w:hAnsi="Arial" w:cs="Arial"/>
          <w:sz w:val="24"/>
          <w:szCs w:val="24"/>
        </w:rPr>
        <w:fldChar w:fldCharType="end"/>
      </w:r>
      <w:r>
        <w:rPr>
          <w:rFonts w:hint="default" w:ascii="Arial" w:hAnsi="Arial" w:cs="Arial"/>
          <w:sz w:val="24"/>
          <w:szCs w:val="24"/>
        </w:rPr>
        <w:t xml:space="preserve"> [Accessed 1 November 2019]</w:t>
      </w:r>
    </w:p>
    <w:p>
      <w:pPr>
        <w:bidi w:val="0"/>
        <w:rPr>
          <w:rFonts w:hint="default" w:ascii="Arial" w:hAnsi="Arial" w:cs="Arial"/>
          <w:sz w:val="24"/>
          <w:szCs w:val="24"/>
        </w:rPr>
      </w:pPr>
    </w:p>
    <w:p>
      <w:pPr>
        <w:bidi w:val="0"/>
        <w:rPr>
          <w:rFonts w:hint="default" w:ascii="Arial" w:hAnsi="Arial" w:cs="Arial"/>
          <w:sz w:val="24"/>
          <w:szCs w:val="24"/>
        </w:rPr>
      </w:pPr>
      <w:r>
        <w:rPr>
          <w:rFonts w:hint="default" w:ascii="Arial" w:hAnsi="Arial" w:cs="Arial"/>
          <w:sz w:val="24"/>
          <w:szCs w:val="24"/>
        </w:rPr>
        <w:t>Martinez-Simarro, D., Devece, C and Llopis-Albert, C. 2015. How information systems strategy moderates the relationship between business strategy and performance. Journal of Business Research, 68(7), pp.1592–1594.</w:t>
      </w:r>
    </w:p>
    <w:p>
      <w:pPr>
        <w:bidi w:val="0"/>
        <w:rPr>
          <w:rFonts w:hint="default" w:ascii="Arial" w:hAnsi="Arial" w:cs="Arial"/>
          <w:sz w:val="24"/>
          <w:szCs w:val="24"/>
        </w:rPr>
      </w:pPr>
    </w:p>
    <w:p>
      <w:pPr>
        <w:bidi w:val="0"/>
        <w:rPr>
          <w:rFonts w:hint="default" w:ascii="Arial" w:hAnsi="Arial" w:cs="Arial"/>
          <w:sz w:val="24"/>
          <w:szCs w:val="24"/>
        </w:rPr>
      </w:pPr>
      <w:r>
        <w:rPr>
          <w:rFonts w:hint="default" w:ascii="Arial" w:hAnsi="Arial" w:cs="Arial"/>
          <w:sz w:val="24"/>
          <w:szCs w:val="24"/>
        </w:rPr>
        <w:t>Mintzberg, H. 1979. The Structuring of Organizations. Englewood Cliffs: Prentice-Hall.</w:t>
      </w:r>
    </w:p>
    <w:p>
      <w:pPr>
        <w:bidi w:val="0"/>
        <w:rPr>
          <w:rFonts w:hint="default" w:ascii="Arial" w:hAnsi="Arial" w:cs="Arial"/>
          <w:sz w:val="24"/>
          <w:szCs w:val="24"/>
        </w:rPr>
      </w:pPr>
    </w:p>
    <w:p>
      <w:pPr>
        <w:bidi w:val="0"/>
        <w:rPr>
          <w:rFonts w:hint="default" w:ascii="Arial" w:hAnsi="Arial" w:cs="Arial"/>
          <w:sz w:val="24"/>
          <w:szCs w:val="24"/>
        </w:rPr>
      </w:pPr>
      <w:r>
        <w:rPr>
          <w:rFonts w:hint="default" w:ascii="Arial" w:hAnsi="Arial" w:cs="Arial"/>
          <w:sz w:val="24"/>
          <w:szCs w:val="24"/>
        </w:rPr>
        <w:t xml:space="preserve">OECD.org. 2019. Long-term interest rates </w:t>
      </w:r>
      <w:bookmarkStart w:id="63" w:name="_Hlk25462684"/>
      <w:r>
        <w:rPr>
          <w:rFonts w:hint="default" w:ascii="Arial" w:hAnsi="Arial" w:cs="Arial"/>
          <w:sz w:val="24"/>
          <w:szCs w:val="24"/>
        </w:rPr>
        <w:t>[Online], Available from:</w:t>
      </w:r>
      <w:bookmarkEnd w:id="63"/>
      <w:r>
        <w:rPr>
          <w:rFonts w:hint="default" w:ascii="Arial" w:hAnsi="Arial" w:cs="Arial"/>
          <w:sz w:val="24"/>
          <w:szCs w:val="24"/>
        </w:rPr>
        <w:t xml:space="preserve">  </w:t>
      </w:r>
      <w:r>
        <w:rPr>
          <w:rFonts w:hint="default" w:ascii="Arial" w:hAnsi="Arial" w:cs="Arial"/>
          <w:sz w:val="24"/>
          <w:szCs w:val="24"/>
        </w:rPr>
        <w:fldChar w:fldCharType="begin"/>
      </w:r>
      <w:r>
        <w:rPr>
          <w:rFonts w:hint="default" w:ascii="Arial" w:hAnsi="Arial" w:cs="Arial"/>
          <w:sz w:val="24"/>
          <w:szCs w:val="24"/>
        </w:rPr>
        <w:instrText xml:space="preserve"> HYPERLINK "https://data.oecd.org/interest/long-term-interest-rates.htm" </w:instrText>
      </w:r>
      <w:r>
        <w:rPr>
          <w:rFonts w:hint="default" w:ascii="Arial" w:hAnsi="Arial" w:cs="Arial"/>
          <w:sz w:val="24"/>
          <w:szCs w:val="24"/>
        </w:rPr>
        <w:fldChar w:fldCharType="separate"/>
      </w:r>
      <w:r>
        <w:rPr>
          <w:rStyle w:val="10"/>
          <w:rFonts w:hint="default" w:ascii="Arial" w:hAnsi="Arial" w:cs="Arial"/>
          <w:sz w:val="24"/>
          <w:szCs w:val="24"/>
        </w:rPr>
        <w:t>https://data.oecd.org/interest/long-term-interest-rates.htm</w:t>
      </w:r>
      <w:r>
        <w:rPr>
          <w:rStyle w:val="10"/>
          <w:rFonts w:hint="default" w:ascii="Arial" w:hAnsi="Arial" w:cs="Arial"/>
          <w:sz w:val="24"/>
          <w:szCs w:val="24"/>
        </w:rPr>
        <w:fldChar w:fldCharType="end"/>
      </w:r>
      <w:r>
        <w:rPr>
          <w:rFonts w:hint="default" w:ascii="Arial" w:hAnsi="Arial" w:cs="Arial"/>
          <w:sz w:val="24"/>
          <w:szCs w:val="24"/>
        </w:rPr>
        <w:t xml:space="preserve"> </w:t>
      </w:r>
      <w:bookmarkStart w:id="64" w:name="_Hlk25462698"/>
      <w:r>
        <w:rPr>
          <w:rFonts w:hint="default" w:ascii="Arial" w:hAnsi="Arial" w:cs="Arial"/>
          <w:sz w:val="24"/>
          <w:szCs w:val="24"/>
        </w:rPr>
        <w:t>[Accessed 1 November 2019]</w:t>
      </w:r>
      <w:bookmarkEnd w:id="64"/>
    </w:p>
    <w:p>
      <w:pPr>
        <w:bidi w:val="0"/>
        <w:rPr>
          <w:rFonts w:hint="default" w:ascii="Arial" w:hAnsi="Arial" w:cs="Arial"/>
          <w:sz w:val="24"/>
          <w:szCs w:val="24"/>
        </w:rPr>
      </w:pPr>
    </w:p>
    <w:p>
      <w:pPr>
        <w:bidi w:val="0"/>
        <w:rPr>
          <w:rFonts w:hint="default" w:ascii="Arial" w:hAnsi="Arial" w:cs="Arial"/>
          <w:sz w:val="24"/>
          <w:szCs w:val="24"/>
          <w:lang w:val="en-US"/>
        </w:rPr>
      </w:pPr>
      <w:r>
        <w:rPr>
          <w:rFonts w:hint="default" w:ascii="Arial" w:hAnsi="Arial" w:cs="Arial"/>
          <w:sz w:val="24"/>
          <w:szCs w:val="24"/>
          <w:lang w:val="en-US"/>
        </w:rPr>
        <w:t xml:space="preserve">ONS. 2018. Family spending in the UK: financial year ending 2017 [Online], Available from: </w:t>
      </w:r>
      <w:r>
        <w:rPr>
          <w:rFonts w:hint="default" w:ascii="Arial" w:hAnsi="Arial" w:cs="Arial"/>
          <w:sz w:val="24"/>
          <w:szCs w:val="24"/>
        </w:rPr>
        <w:fldChar w:fldCharType="begin"/>
      </w:r>
      <w:r>
        <w:rPr>
          <w:rFonts w:hint="default" w:ascii="Arial" w:hAnsi="Arial" w:cs="Arial"/>
          <w:sz w:val="24"/>
          <w:szCs w:val="24"/>
        </w:rPr>
        <w:instrText xml:space="preserve"> HYPERLINK "https://www.ons.gov.uk/peoplepopulationandcommunity/personalandhouseholdfinances/expenditure/bulletins/familyspendingintheuk/financialyearending2017" </w:instrText>
      </w:r>
      <w:r>
        <w:rPr>
          <w:rFonts w:hint="default" w:ascii="Arial" w:hAnsi="Arial" w:cs="Arial"/>
          <w:sz w:val="24"/>
          <w:szCs w:val="24"/>
        </w:rPr>
        <w:fldChar w:fldCharType="separate"/>
      </w:r>
      <w:r>
        <w:rPr>
          <w:rStyle w:val="10"/>
          <w:rFonts w:hint="default" w:ascii="Arial" w:hAnsi="Arial" w:cs="Arial"/>
          <w:sz w:val="24"/>
          <w:szCs w:val="24"/>
          <w:lang w:val="en-US"/>
        </w:rPr>
        <w:t>https://www.ons.gov.uk/peoplepopulationandcommunity/personalandhouseholdfinances/expenditure/bulletins/familyspendingintheuk/financialyearending2017</w:t>
      </w:r>
      <w:r>
        <w:rPr>
          <w:rStyle w:val="10"/>
          <w:rFonts w:hint="default" w:ascii="Arial" w:hAnsi="Arial" w:cs="Arial"/>
          <w:sz w:val="24"/>
          <w:szCs w:val="24"/>
          <w:lang w:val="en-US"/>
        </w:rPr>
        <w:fldChar w:fldCharType="end"/>
      </w:r>
      <w:r>
        <w:rPr>
          <w:rFonts w:hint="default" w:ascii="Arial" w:hAnsi="Arial" w:cs="Arial"/>
          <w:sz w:val="24"/>
          <w:szCs w:val="24"/>
          <w:lang w:val="en-US"/>
        </w:rPr>
        <w:t xml:space="preserve"> [Accessed 1 November 2019]</w:t>
      </w:r>
    </w:p>
    <w:p>
      <w:pPr>
        <w:bidi w:val="0"/>
        <w:rPr>
          <w:rFonts w:hint="default" w:ascii="Arial" w:hAnsi="Arial" w:cs="Arial"/>
          <w:sz w:val="24"/>
          <w:szCs w:val="24"/>
          <w:lang w:val="en-US"/>
        </w:rPr>
      </w:pPr>
    </w:p>
    <w:p>
      <w:pPr>
        <w:bidi w:val="0"/>
        <w:rPr>
          <w:rFonts w:hint="default" w:ascii="Arial" w:hAnsi="Arial" w:cs="Arial"/>
          <w:sz w:val="24"/>
          <w:szCs w:val="24"/>
        </w:rPr>
      </w:pPr>
      <w:r>
        <w:rPr>
          <w:rFonts w:hint="default" w:ascii="Arial" w:hAnsi="Arial" w:cs="Arial"/>
          <w:sz w:val="24"/>
          <w:szCs w:val="24"/>
        </w:rPr>
        <w:t>Parnell, J.A. 2011. Strategic capabilities, competitive strategy, and performance among retailers in Argentina, Peru and the United States. Management Decision, 49(1), pp.139–155.</w:t>
      </w:r>
    </w:p>
    <w:p>
      <w:pPr>
        <w:bidi w:val="0"/>
        <w:rPr>
          <w:rFonts w:hint="default" w:ascii="Arial" w:hAnsi="Arial" w:cs="Arial"/>
          <w:sz w:val="24"/>
          <w:szCs w:val="24"/>
        </w:rPr>
      </w:pPr>
    </w:p>
    <w:p>
      <w:pPr>
        <w:bidi w:val="0"/>
        <w:rPr>
          <w:rFonts w:hint="default" w:ascii="Arial" w:hAnsi="Arial" w:cs="Arial"/>
          <w:sz w:val="24"/>
          <w:szCs w:val="24"/>
        </w:rPr>
      </w:pPr>
      <w:r>
        <w:rPr>
          <w:rFonts w:hint="default" w:ascii="Arial" w:hAnsi="Arial" w:cs="Arial"/>
          <w:sz w:val="24"/>
          <w:szCs w:val="24"/>
        </w:rPr>
        <w:t>Porter, M.E. 1980. Competitive strategy. New York: Free Press.</w:t>
      </w:r>
    </w:p>
    <w:p>
      <w:pPr>
        <w:bidi w:val="0"/>
        <w:rPr>
          <w:rFonts w:hint="default" w:ascii="Arial" w:hAnsi="Arial" w:cs="Arial"/>
          <w:sz w:val="24"/>
          <w:szCs w:val="24"/>
        </w:rPr>
      </w:pPr>
    </w:p>
    <w:p>
      <w:pPr>
        <w:bidi w:val="0"/>
        <w:rPr>
          <w:rFonts w:hint="default" w:ascii="Arial" w:hAnsi="Arial" w:cs="Arial"/>
          <w:sz w:val="24"/>
          <w:szCs w:val="24"/>
        </w:rPr>
      </w:pPr>
      <w:r>
        <w:rPr>
          <w:rFonts w:hint="default" w:ascii="Arial" w:hAnsi="Arial" w:cs="Arial"/>
          <w:sz w:val="24"/>
          <w:szCs w:val="24"/>
        </w:rPr>
        <w:t>Porter, M.E. 1996. What is strategy?. Harvard Business Review, 74(6): 61–78.</w:t>
      </w:r>
    </w:p>
    <w:p>
      <w:pPr>
        <w:bidi w:val="0"/>
        <w:rPr>
          <w:rFonts w:hint="default" w:ascii="Arial" w:hAnsi="Arial" w:cs="Arial"/>
          <w:sz w:val="24"/>
          <w:szCs w:val="24"/>
        </w:rPr>
      </w:pPr>
    </w:p>
    <w:p>
      <w:pPr>
        <w:bidi w:val="0"/>
        <w:rPr>
          <w:rFonts w:hint="default" w:ascii="Arial" w:hAnsi="Arial" w:cs="Arial"/>
          <w:sz w:val="24"/>
          <w:szCs w:val="24"/>
        </w:rPr>
      </w:pPr>
      <w:r>
        <w:rPr>
          <w:rFonts w:hint="default" w:ascii="Arial" w:hAnsi="Arial" w:cs="Arial"/>
          <w:sz w:val="24"/>
          <w:szCs w:val="24"/>
        </w:rPr>
        <w:t>Ramona, P. A. 2018. PEST Analysis Based on Neutrosophic Cognitive Maps: A Case Study for Food Industry. Neutrosophic Sets and Systems, 21, pp.84-92.</w:t>
      </w:r>
    </w:p>
    <w:p>
      <w:pPr>
        <w:bidi w:val="0"/>
        <w:rPr>
          <w:rFonts w:hint="default" w:ascii="Arial" w:hAnsi="Arial" w:cs="Arial"/>
          <w:sz w:val="24"/>
          <w:szCs w:val="24"/>
        </w:rPr>
      </w:pPr>
    </w:p>
    <w:p>
      <w:pPr>
        <w:bidi w:val="0"/>
        <w:rPr>
          <w:rFonts w:hint="default" w:ascii="Arial" w:hAnsi="Arial" w:cs="Arial"/>
          <w:sz w:val="24"/>
          <w:szCs w:val="24"/>
        </w:rPr>
      </w:pPr>
      <w:bookmarkStart w:id="65" w:name="_Hlk24843979"/>
      <w:r>
        <w:rPr>
          <w:rFonts w:hint="default" w:ascii="Arial" w:hAnsi="Arial" w:cs="Arial"/>
          <w:sz w:val="24"/>
          <w:szCs w:val="24"/>
        </w:rPr>
        <w:t>Santos-Vijande</w:t>
      </w:r>
      <w:bookmarkEnd w:id="65"/>
      <w:r>
        <w:rPr>
          <w:rFonts w:hint="default" w:ascii="Arial" w:hAnsi="Arial" w:cs="Arial"/>
          <w:sz w:val="24"/>
          <w:szCs w:val="24"/>
        </w:rPr>
        <w:t>, M.L., López-Sánchez, J.Ángel and Trespalacios, J.A. 2012. How organizational learning affects a firm's flexibility, competitive strategy, and performance. Journal of Business Research, 65(8), pp.1079–1089.</w:t>
      </w:r>
    </w:p>
    <w:p>
      <w:pPr>
        <w:bidi w:val="0"/>
        <w:rPr>
          <w:rFonts w:hint="default" w:ascii="Arial" w:hAnsi="Arial" w:cs="Arial"/>
          <w:sz w:val="24"/>
          <w:szCs w:val="24"/>
        </w:rPr>
      </w:pPr>
    </w:p>
    <w:p>
      <w:pPr>
        <w:bidi w:val="0"/>
        <w:rPr>
          <w:rFonts w:hint="default" w:ascii="Arial" w:hAnsi="Arial" w:cs="Arial"/>
          <w:sz w:val="24"/>
          <w:szCs w:val="24"/>
        </w:rPr>
      </w:pPr>
      <w:r>
        <w:rPr>
          <w:rFonts w:hint="default" w:ascii="Arial" w:hAnsi="Arial" w:cs="Arial"/>
          <w:sz w:val="24"/>
          <w:szCs w:val="24"/>
        </w:rPr>
        <w:t xml:space="preserve">Sorvino, C. 2019. Boxed Partners With Grocery Chain Lidl: Exclusive [Online], Available from: </w:t>
      </w:r>
      <w:r>
        <w:rPr>
          <w:rFonts w:hint="default" w:ascii="Arial" w:hAnsi="Arial" w:cs="Arial"/>
          <w:sz w:val="24"/>
          <w:szCs w:val="24"/>
        </w:rPr>
        <w:fldChar w:fldCharType="begin"/>
      </w:r>
      <w:r>
        <w:rPr>
          <w:rFonts w:hint="default" w:ascii="Arial" w:hAnsi="Arial" w:cs="Arial"/>
          <w:sz w:val="24"/>
          <w:szCs w:val="24"/>
        </w:rPr>
        <w:instrText xml:space="preserve"> HYPERLINK "https://www.forbes.com/sites/chloesorvino/2019/05/15/boxed-partners-with-grocery-chain-lidl-exclusive/" \l "68855d814127" </w:instrText>
      </w:r>
      <w:r>
        <w:rPr>
          <w:rFonts w:hint="default" w:ascii="Arial" w:hAnsi="Arial" w:cs="Arial"/>
          <w:sz w:val="24"/>
          <w:szCs w:val="24"/>
        </w:rPr>
        <w:fldChar w:fldCharType="separate"/>
      </w:r>
      <w:r>
        <w:rPr>
          <w:rStyle w:val="10"/>
          <w:rFonts w:hint="default" w:ascii="Arial" w:hAnsi="Arial" w:cs="Arial"/>
          <w:sz w:val="24"/>
          <w:szCs w:val="24"/>
        </w:rPr>
        <w:t>https://www.forbes.com/sites/chloesorvino/2019/05/15/boxed-partners-with-grocery-chain-lidl-exclusive/#68855d814127</w:t>
      </w:r>
      <w:r>
        <w:rPr>
          <w:rStyle w:val="10"/>
          <w:rFonts w:hint="default" w:ascii="Arial" w:hAnsi="Arial" w:cs="Arial"/>
          <w:sz w:val="24"/>
          <w:szCs w:val="24"/>
        </w:rPr>
        <w:fldChar w:fldCharType="end"/>
      </w:r>
      <w:r>
        <w:rPr>
          <w:rFonts w:hint="default" w:ascii="Arial" w:hAnsi="Arial" w:cs="Arial"/>
          <w:sz w:val="24"/>
          <w:szCs w:val="24"/>
        </w:rPr>
        <w:t xml:space="preserve"> [Accessed 1 November 2019]</w:t>
      </w:r>
    </w:p>
    <w:p>
      <w:pPr>
        <w:bidi w:val="0"/>
        <w:rPr>
          <w:rFonts w:hint="default" w:ascii="Arial" w:hAnsi="Arial" w:cs="Arial"/>
          <w:sz w:val="24"/>
          <w:szCs w:val="24"/>
        </w:rPr>
      </w:pPr>
    </w:p>
    <w:p>
      <w:pPr>
        <w:bidi w:val="0"/>
        <w:rPr>
          <w:rFonts w:hint="default" w:ascii="Arial" w:hAnsi="Arial" w:cs="Arial"/>
          <w:sz w:val="24"/>
          <w:szCs w:val="24"/>
          <w:lang w:val="en-US"/>
        </w:rPr>
      </w:pPr>
      <w:r>
        <w:rPr>
          <w:rFonts w:hint="default" w:ascii="Arial" w:hAnsi="Arial" w:cs="Arial"/>
          <w:sz w:val="24"/>
          <w:szCs w:val="24"/>
          <w:lang w:val="en-US"/>
        </w:rPr>
        <w:t>Spanos, Y.E. and Lioukas, S. 2001. An examination into the causal logic of rent generation: contrasting Porter's competitive strategy framework and the resource‐based perspective. Strategic Management Journal, 22(10), pp.907–934.</w:t>
      </w:r>
    </w:p>
    <w:p>
      <w:pPr>
        <w:bidi w:val="0"/>
        <w:rPr>
          <w:rFonts w:hint="default" w:ascii="Arial" w:hAnsi="Arial" w:cs="Arial"/>
          <w:sz w:val="24"/>
          <w:szCs w:val="24"/>
          <w:lang w:val="en-US"/>
        </w:rPr>
      </w:pPr>
    </w:p>
    <w:p>
      <w:pPr>
        <w:bidi w:val="0"/>
        <w:rPr>
          <w:rFonts w:hint="default" w:ascii="Arial" w:hAnsi="Arial" w:cs="Arial"/>
          <w:sz w:val="24"/>
          <w:szCs w:val="24"/>
        </w:rPr>
      </w:pPr>
      <w:r>
        <w:rPr>
          <w:rFonts w:hint="default" w:ascii="Arial" w:hAnsi="Arial" w:cs="Arial"/>
          <w:sz w:val="24"/>
          <w:szCs w:val="24"/>
        </w:rPr>
        <w:t xml:space="preserve">Statista. 2019. E-commerce share of total global retail sales from 2015 to 2023 </w:t>
      </w:r>
      <w:bookmarkStart w:id="66" w:name="_Hlk25520568"/>
      <w:r>
        <w:rPr>
          <w:rFonts w:hint="default" w:ascii="Arial" w:hAnsi="Arial" w:cs="Arial"/>
          <w:sz w:val="24"/>
          <w:szCs w:val="24"/>
        </w:rPr>
        <w:t xml:space="preserve">[Online], Available from: </w:t>
      </w:r>
      <w:bookmarkEnd w:id="66"/>
      <w:r>
        <w:rPr>
          <w:rFonts w:hint="default" w:ascii="Arial" w:hAnsi="Arial" w:cs="Arial"/>
          <w:sz w:val="24"/>
          <w:szCs w:val="24"/>
        </w:rPr>
        <w:fldChar w:fldCharType="begin"/>
      </w:r>
      <w:r>
        <w:rPr>
          <w:rFonts w:hint="default" w:ascii="Arial" w:hAnsi="Arial" w:cs="Arial"/>
          <w:sz w:val="24"/>
          <w:szCs w:val="24"/>
        </w:rPr>
        <w:instrText xml:space="preserve"> HYPERLINK "https://www.statista.com/statistics/534123/e-commerce-share-of-retail-sales-worldwide/" </w:instrText>
      </w:r>
      <w:r>
        <w:rPr>
          <w:rFonts w:hint="default" w:ascii="Arial" w:hAnsi="Arial" w:cs="Arial"/>
          <w:sz w:val="24"/>
          <w:szCs w:val="24"/>
        </w:rPr>
        <w:fldChar w:fldCharType="separate"/>
      </w:r>
      <w:r>
        <w:rPr>
          <w:rStyle w:val="10"/>
          <w:rFonts w:hint="default" w:ascii="Arial" w:hAnsi="Arial" w:cs="Arial"/>
          <w:sz w:val="24"/>
          <w:szCs w:val="24"/>
        </w:rPr>
        <w:t>https://www.statista.com/statistics/534123/e-commerce-share-of-retail-sales-worldwide/</w:t>
      </w:r>
      <w:r>
        <w:rPr>
          <w:rFonts w:hint="default" w:ascii="Arial" w:hAnsi="Arial" w:cs="Arial"/>
          <w:sz w:val="24"/>
          <w:szCs w:val="24"/>
        </w:rPr>
        <w:fldChar w:fldCharType="end"/>
      </w:r>
      <w:r>
        <w:rPr>
          <w:rFonts w:hint="default" w:ascii="Arial" w:hAnsi="Arial" w:cs="Arial"/>
          <w:sz w:val="24"/>
          <w:szCs w:val="24"/>
        </w:rPr>
        <w:t xml:space="preserve"> [Accessed 1 November 2019]</w:t>
      </w:r>
    </w:p>
    <w:p>
      <w:pPr>
        <w:bidi w:val="0"/>
        <w:rPr>
          <w:rFonts w:hint="default" w:ascii="Arial" w:hAnsi="Arial" w:cs="Arial"/>
          <w:sz w:val="24"/>
          <w:szCs w:val="24"/>
        </w:rPr>
      </w:pPr>
    </w:p>
    <w:p>
      <w:pPr>
        <w:bidi w:val="0"/>
        <w:rPr>
          <w:rFonts w:hint="default" w:ascii="Arial" w:hAnsi="Arial" w:cs="Arial"/>
          <w:sz w:val="24"/>
          <w:szCs w:val="24"/>
        </w:rPr>
      </w:pPr>
      <w:r>
        <w:rPr>
          <w:rFonts w:hint="default" w:ascii="Arial" w:hAnsi="Arial" w:cs="Arial"/>
          <w:sz w:val="24"/>
          <w:szCs w:val="24"/>
        </w:rPr>
        <w:t>Straub, A (2012) Aldi. Einfach billig. Ein ehemaliger Manager packt aus. Reinbek: Rowohlt.</w:t>
      </w:r>
    </w:p>
    <w:p>
      <w:pPr>
        <w:bidi w:val="0"/>
        <w:rPr>
          <w:rFonts w:hint="default" w:ascii="Arial" w:hAnsi="Arial" w:cs="Arial"/>
          <w:sz w:val="24"/>
          <w:szCs w:val="24"/>
        </w:rPr>
      </w:pPr>
    </w:p>
    <w:p>
      <w:pPr>
        <w:bidi w:val="0"/>
        <w:rPr>
          <w:rFonts w:hint="default" w:ascii="Arial" w:hAnsi="Arial" w:cs="Arial"/>
          <w:sz w:val="24"/>
          <w:szCs w:val="24"/>
          <w:lang w:val="en-US"/>
        </w:rPr>
      </w:pPr>
      <w:r>
        <w:rPr>
          <w:rFonts w:hint="default" w:ascii="Arial" w:hAnsi="Arial" w:cs="Arial"/>
          <w:sz w:val="24"/>
          <w:szCs w:val="24"/>
          <w:lang w:val="en-US"/>
        </w:rPr>
        <w:t>Tate, W. and Bals, L., 2018. Achieving Shared Triple Bottom Line (TBL) Value Creation: Toward a Social Resource-Based View (SRBV) of the Firm. Journal of Business Ethics, 152(3), pp.803–826.</w:t>
      </w:r>
    </w:p>
    <w:p>
      <w:pPr>
        <w:bidi w:val="0"/>
        <w:rPr>
          <w:rFonts w:hint="default" w:ascii="Arial" w:hAnsi="Arial" w:cs="Arial"/>
          <w:sz w:val="24"/>
          <w:szCs w:val="24"/>
          <w:lang w:val="en-US"/>
        </w:rPr>
      </w:pPr>
    </w:p>
    <w:p>
      <w:pPr>
        <w:bidi w:val="0"/>
        <w:rPr>
          <w:rFonts w:hint="default" w:ascii="Arial" w:hAnsi="Arial" w:cs="Arial"/>
          <w:sz w:val="24"/>
          <w:szCs w:val="24"/>
          <w:lang w:val="en-US"/>
        </w:rPr>
      </w:pPr>
      <w:r>
        <w:rPr>
          <w:rFonts w:hint="default" w:ascii="Arial" w:hAnsi="Arial" w:cs="Arial"/>
          <w:sz w:val="24"/>
          <w:szCs w:val="24"/>
          <w:lang w:val="en-US"/>
        </w:rPr>
        <w:t>Vanwaterschoot, W. and Vandenbulte, C., 1992. The 4P Classification of the Marketing Mix Revisited. Journal of Marketing, 56(4), pp.83–93.</w:t>
      </w:r>
    </w:p>
    <w:p>
      <w:pPr>
        <w:bidi w:val="0"/>
        <w:rPr>
          <w:rFonts w:hint="default" w:ascii="Arial" w:hAnsi="Arial" w:cs="Arial"/>
          <w:sz w:val="24"/>
          <w:szCs w:val="24"/>
          <w:lang w:val="en-US"/>
        </w:rPr>
      </w:pPr>
    </w:p>
    <w:p>
      <w:pPr>
        <w:bidi w:val="0"/>
        <w:rPr>
          <w:rFonts w:hint="default" w:ascii="Arial" w:hAnsi="Arial" w:cs="Arial"/>
          <w:sz w:val="24"/>
          <w:szCs w:val="24"/>
        </w:rPr>
      </w:pPr>
      <w:r>
        <w:rPr>
          <w:rFonts w:hint="default" w:ascii="Arial" w:hAnsi="Arial" w:cs="Arial"/>
          <w:sz w:val="24"/>
          <w:szCs w:val="24"/>
        </w:rPr>
        <w:t>Wang, L.M., Liu, L.W. and Wang, Y.J. 2007. Capacity decisions and supply price games under flexibility of backward integration. International Journal of Production Economics, 110(1), pp.85–96.</w:t>
      </w:r>
    </w:p>
    <w:p>
      <w:pPr>
        <w:bidi w:val="0"/>
        <w:rPr>
          <w:rFonts w:hint="default" w:ascii="Arial" w:hAnsi="Arial" w:cs="Arial"/>
          <w:sz w:val="24"/>
          <w:szCs w:val="24"/>
        </w:rPr>
      </w:pPr>
    </w:p>
    <w:p>
      <w:pPr>
        <w:bidi w:val="0"/>
        <w:rPr>
          <w:rFonts w:hint="default" w:ascii="Arial" w:hAnsi="Arial" w:cs="Arial"/>
          <w:sz w:val="24"/>
          <w:szCs w:val="24"/>
        </w:rPr>
      </w:pPr>
      <w:r>
        <w:rPr>
          <w:rFonts w:hint="default" w:ascii="Arial" w:hAnsi="Arial" w:cs="Arial"/>
          <w:sz w:val="24"/>
          <w:szCs w:val="24"/>
        </w:rPr>
        <w:t>Yüksel, I. 2012. Developing a multi-criteria decision making model for PESTEL analysis. International Journal of Business and Management, 7(24), p.52.</w:t>
      </w:r>
    </w:p>
    <w:p>
      <w:pPr>
        <w:bidi w:val="0"/>
        <w:rPr>
          <w:rFonts w:hint="default" w:ascii="Arial" w:hAnsi="Arial" w:cs="Arial"/>
          <w:sz w:val="24"/>
          <w:szCs w:val="24"/>
        </w:rPr>
      </w:pPr>
    </w:p>
    <w:p>
      <w:pPr>
        <w:bidi w:val="0"/>
        <w:rPr>
          <w:rFonts w:hint="default" w:ascii="Arial" w:hAnsi="Arial" w:cs="Arial"/>
          <w:sz w:val="24"/>
          <w:szCs w:val="24"/>
        </w:rPr>
      </w:pPr>
    </w:p>
    <w:p>
      <w:pPr>
        <w:bidi w:val="0"/>
        <w:rPr>
          <w:rFonts w:hint="default" w:ascii="Arial" w:hAnsi="Arial" w:cs="Arial"/>
          <w:sz w:val="24"/>
          <w:szCs w:val="24"/>
        </w:rPr>
      </w:pPr>
    </w:p>
    <w:sectPr>
      <w:headerReference r:id="rId12" w:type="first"/>
      <w:headerReference r:id="rId11" w:type="default"/>
      <w:pgSz w:w="11906" w:h="16838"/>
      <w:pgMar w:top="1440" w:right="1800" w:bottom="1440" w:left="1800" w:header="851" w:footer="992" w:gutter="0"/>
      <w:pgNumType w:fmt="decimal"/>
      <w:cols w:space="425" w:num="1"/>
      <w:titlePg/>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0"/>
    <w:family w:val="modern"/>
    <w:pitch w:val="default"/>
    <w:sig w:usb0="E0002EFF" w:usb1="C0007843" w:usb2="00000009" w:usb3="00000000" w:csb0="400001FF" w:csb1="FFFF0000"/>
  </w:font>
  <w:font w:name="Calibri">
    <w:panose1 w:val="020F0502020204030204"/>
    <w:charset w:val="00"/>
    <w:family w:val="swiss"/>
    <w:pitch w:val="default"/>
    <w:sig w:usb0="E4002E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 w:name="等线 Light">
    <w:panose1 w:val="02010600030101010101"/>
    <w:charset w:val="86"/>
    <w:family w:val="auto"/>
    <w:pitch w:val="default"/>
    <w:sig w:usb0="A00002BF" w:usb1="38CF7CFA" w:usb2="00000016" w:usb3="00000000" w:csb0="0004000F" w:csb1="00000000"/>
  </w:font>
  <w:font w:name="Calibri">
    <w:panose1 w:val="020F0502020204030204"/>
    <w:charset w:val="86"/>
    <w:family w:val="swiss"/>
    <w:pitch w:val="default"/>
    <w:sig w:usb0="E4002EFF" w:usb1="C000247B" w:usb2="00000009" w:usb3="00000000" w:csb0="200001FF" w:csb1="00000000"/>
  </w:font>
  <w:font w:name="Verdana">
    <w:panose1 w:val="020B0604030504040204"/>
    <w:charset w:val="00"/>
    <w:family w:val="swiss"/>
    <w:pitch w:val="default"/>
    <w:sig w:usb0="A00006FF" w:usb1="4000205B" w:usb2="00000010" w:usb3="00000000" w:csb0="2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jc w:val="right"/>
      <w:rPr>
        <w:rFonts w:ascii="Arial" w:hAnsi="Arial" w:cs="Arial"/>
        <w:sz w:val="24"/>
        <w:szCs w:val="24"/>
      </w:rPr>
    </w:pPr>
    <w:r>
      <w:rPr>
        <w:sz w:val="24"/>
      </w:rPr>
      <mc:AlternateContent>
        <mc:Choice Requires="wps">
          <w:drawing>
            <wp:anchor distT="0" distB="0" distL="114300" distR="114300" simplePos="0" relativeHeight="251667456" behindDoc="0" locked="0" layoutInCell="1" allowOverlap="1">
              <wp:simplePos x="0" y="0"/>
              <wp:positionH relativeFrom="margin">
                <wp:align>center</wp:align>
              </wp:positionH>
              <wp:positionV relativeFrom="paragraph">
                <wp:posOffset>0</wp:posOffset>
              </wp:positionV>
              <wp:extent cx="1828800" cy="1828800"/>
              <wp:effectExtent l="0" t="0" r="0" b="0"/>
              <wp:wrapNone/>
              <wp:docPr id="10" name="Text Box 10"/>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eastAsia" w:ascii="Arial" w:hAnsi="Arial" w:cs="Arial" w:eastAsiaTheme="minorEastAsia"/>
                              <w:sz w:val="24"/>
                              <w:szCs w:val="24"/>
                              <w:lang w:eastAsia="zh-CN"/>
                            </w:rPr>
                          </w:pPr>
                          <w:r>
                            <w:rPr>
                              <w:rFonts w:hint="eastAsia" w:ascii="Arial" w:hAnsi="Arial" w:cs="Arial"/>
                              <w:sz w:val="24"/>
                              <w:szCs w:val="24"/>
                              <w:lang w:eastAsia="zh-CN"/>
                            </w:rPr>
                            <w:t xml:space="preserve">Page </w:t>
                          </w:r>
                          <w:r>
                            <w:rPr>
                              <w:rFonts w:hint="eastAsia" w:ascii="Arial" w:hAnsi="Arial" w:cs="Arial"/>
                              <w:sz w:val="24"/>
                              <w:szCs w:val="24"/>
                              <w:lang w:eastAsia="zh-CN"/>
                            </w:rPr>
                            <w:fldChar w:fldCharType="begin"/>
                          </w:r>
                          <w:r>
                            <w:rPr>
                              <w:rFonts w:hint="eastAsia" w:ascii="Arial" w:hAnsi="Arial" w:cs="Arial"/>
                              <w:sz w:val="24"/>
                              <w:szCs w:val="24"/>
                              <w:lang w:eastAsia="zh-CN"/>
                            </w:rPr>
                            <w:instrText xml:space="preserve"> PAGE  \* MERGEFORMAT </w:instrText>
                          </w:r>
                          <w:r>
                            <w:rPr>
                              <w:rFonts w:hint="eastAsia" w:ascii="Arial" w:hAnsi="Arial" w:cs="Arial"/>
                              <w:sz w:val="24"/>
                              <w:szCs w:val="24"/>
                              <w:lang w:eastAsia="zh-CN"/>
                            </w:rPr>
                            <w:fldChar w:fldCharType="separate"/>
                          </w:r>
                          <w:r>
                            <w:rPr>
                              <w:rFonts w:hint="eastAsia" w:ascii="Arial" w:hAnsi="Arial" w:cs="Arial"/>
                              <w:sz w:val="24"/>
                              <w:szCs w:val="24"/>
                              <w:lang w:eastAsia="zh-CN"/>
                            </w:rPr>
                            <w:t>2</w:t>
                          </w:r>
                          <w:r>
                            <w:rPr>
                              <w:rFonts w:hint="eastAsia" w:ascii="Arial" w:hAnsi="Arial" w:cs="Arial"/>
                              <w:sz w:val="24"/>
                              <w:szCs w:val="24"/>
                              <w:lang w:eastAsia="zh-CN"/>
                            </w:rPr>
                            <w:fldChar w:fldCharType="end"/>
                          </w:r>
                          <w:r>
                            <w:rPr>
                              <w:rFonts w:hint="eastAsia" w:ascii="Arial" w:hAnsi="Arial" w:cs="Arial"/>
                              <w:sz w:val="24"/>
                              <w:szCs w:val="24"/>
                              <w:lang w:eastAsia="zh-CN"/>
                            </w:rPr>
                            <w:t xml:space="preserve"> of </w:t>
                          </w:r>
                          <w:r>
                            <w:rPr>
                              <w:rFonts w:hint="eastAsia" w:ascii="Arial" w:hAnsi="Arial" w:cs="Arial"/>
                              <w:sz w:val="24"/>
                              <w:szCs w:val="24"/>
                              <w:lang w:eastAsia="zh-CN"/>
                            </w:rPr>
                            <w:fldChar w:fldCharType="begin"/>
                          </w:r>
                          <w:r>
                            <w:rPr>
                              <w:rFonts w:hint="eastAsia" w:ascii="Arial" w:hAnsi="Arial" w:cs="Arial"/>
                              <w:sz w:val="24"/>
                              <w:szCs w:val="24"/>
                              <w:lang w:eastAsia="zh-CN"/>
                            </w:rPr>
                            <w:instrText xml:space="preserve"> NUMPAGES  \* MERGEFORMAT </w:instrText>
                          </w:r>
                          <w:r>
                            <w:rPr>
                              <w:rFonts w:hint="eastAsia" w:ascii="Arial" w:hAnsi="Arial" w:cs="Arial"/>
                              <w:sz w:val="24"/>
                              <w:szCs w:val="24"/>
                              <w:lang w:eastAsia="zh-CN"/>
                            </w:rPr>
                            <w:fldChar w:fldCharType="separate"/>
                          </w:r>
                          <w:r>
                            <w:rPr>
                              <w:rFonts w:hint="eastAsia" w:ascii="Arial" w:hAnsi="Arial" w:cs="Arial"/>
                              <w:sz w:val="24"/>
                              <w:szCs w:val="24"/>
                              <w:lang w:eastAsia="zh-CN"/>
                            </w:rPr>
                            <w:t>15</w:t>
                          </w:r>
                          <w:r>
                            <w:rPr>
                              <w:rFonts w:hint="eastAsia" w:ascii="Arial" w:hAnsi="Arial" w:cs="Arial"/>
                              <w:sz w:val="24"/>
                              <w:szCs w:val="24"/>
                              <w:lang w:eastAsia="zh-C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7456;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A900gcEAgAAFAQAAA4AAABkcnMvZTJvRG9jLnhtbK1TTYvbMBC9F/of&#10;hO6Nk5QuIcRZ0l1SCqG7kC09K7IcGySNkJTY6a/vkxxnl7an0os8no83mjdPq/veaHZWPrRkSz6b&#10;TDlTVlLV2mPJv79sPyw4C1HYSmiyquQXFfj9+v27VeeWak4N6Up5BhAblp0reROjWxZFkI0yIkzI&#10;KYtgTd6IiF9/LCovOqAbXcyn07uiI185T1KFAO/jEOTrjF/XSsanug4qMl1y3C3m0+fzkM5ivRLL&#10;oxeuaeX1GuIfbmFEa9H0BvUoomAn3/4BZVrpKVAdJ5JMQXXdSpVnwDSz6W/T7BvhVJ4F5AR3oyn8&#10;P1j57fzsWVthd6DHCoMdvag+ss/UM7jAT+fCEml7h8TYw4/c0R/gTGP3tTfpi4EY4oC63NhNaDIV&#10;LeaLxRQhidj4A/zitdz5EL8oMiwZJfdYX2ZVnHchDqljSupmadtqnVeoLetKfvfx0zQX3CIA1xY9&#10;0hDDZZMV+0N/nexA1QWDeRqkEZzctmi+EyE+Cw8t4MLQd3zCUWtCE7panDXkf/7Nn/KxIkQ566Ct&#10;kluInzP91WJ1AIyj4UfjMBr2ZB4IYp3h3TiZTRT4qEez9mR+QPSb1AMhYSU6lTyO5kMc9I1HI9Vm&#10;k5NOzrfHZiiA8JyIO7t3MrVJRAa3OUWQmTlOBA2sXHmD9PKWrs8kafvtf856fczrX1BLAwQKAAAA&#10;AACHTuJAAAAAAAAAAAAAAAAABgAAAF9yZWxzL1BLAwQUAAAACACHTuJAihRmPNEAAACUAQAACwAA&#10;AF9yZWxzLy5yZWxzpZDBasMwDIbvg72D0X1xmsMYo04vo9Br6R7A2IpjGltGMtn69vMOg2X0tqN+&#10;oe8T//7wmRa1IkukbGDX9aAwO/IxBwPvl+PTCyipNnu7UEYDNxQ4jI8P+zMutrYjmWMR1ShZDMy1&#10;lletxc2YrHRUMLfNRJxsbSMHXay72oB66Ptnzb8ZMG6Y6uQN8MkPoC630sx/2Ck6JqGpdo6SpmmK&#10;7h5VB7Zlju7INuEbuUazHLAa8CwaB2pZ134EfV+/+6fe00c+47rVfoeM649Xb7ocvwBQSwMEFAAA&#10;AAgAh07iQH7m5SD3AAAA4QEAABMAAABbQ29udGVudF9UeXBlc10ueG1slZFBTsMwEEX3SNzB8hYl&#10;TrtACCXpgrRLQKgcYGRPEotkbHlMaG+Pk7YbRJFY2jP/vye73BzGQUwY2Dqq5CovpEDSzljqKvm+&#10;32UPUnAEMjA4wkoekeWmvr0p90ePLFKauJJ9jP5RKdY9jsC580hp0rowQkzH0CkP+gM6VOuiuFfa&#10;UUSKWZw7ZF022MLnEMX2kK5PJgEHluLptDizKgneD1ZDTKZqIvODkp0JeUouO9xbz3dJQ6pfCfPk&#10;OuCce0lPE6xB8QohPsOYNJQJrIz7ooBT/nfJbDly5trWasybwE2KveF0sbrWjmvXOP3f8u2SunSr&#10;5YPqb1BLAQIUABQAAAAIAIdO4kB+5uUg9wAAAOEBAAATAAAAAAAAAAEAIAAAAG0EAABbQ29udGVu&#10;dF9UeXBlc10ueG1sUEsBAhQACgAAAAAAh07iQAAAAAAAAAAAAAAAAAYAAAAAAAAAAAAQAAAATwMA&#10;AF9yZWxzL1BLAQIUABQAAAAIAIdO4kCKFGY80QAAAJQBAAALAAAAAAAAAAEAIAAAAHMDAABfcmVs&#10;cy8ucmVsc1BLAQIUAAoAAAAAAIdO4kAAAAAAAAAAAAAAAAAEAAAAAAAAAAAAEAAAAAAAAABkcnMv&#10;UEsBAhQAFAAAAAgAh07iQLNJWO7QAAAABQEAAA8AAAAAAAAAAQAgAAAAIgAAAGRycy9kb3ducmV2&#10;LnhtbFBLAQIUABQAAAAIAIdO4kAPdNIHBAIAABQEAAAOAAAAAAAAAAEAIAAAAB8BAABkcnMvZTJv&#10;RG9jLnhtbFBLBQYAAAAABgAGAFkBAACVBQAAAAA=&#10;">
              <v:fill on="f" focussize="0,0"/>
              <v:stroke on="f" weight="0.5pt"/>
              <v:imagedata o:title=""/>
              <o:lock v:ext="edit" aspectratio="f"/>
              <v:textbox inset="0mm,0mm,0mm,0mm" style="mso-fit-shape-to-text:t;">
                <w:txbxContent>
                  <w:p>
                    <w:pPr>
                      <w:rPr>
                        <w:rFonts w:hint="eastAsia" w:ascii="Arial" w:hAnsi="Arial" w:cs="Arial" w:eastAsiaTheme="minorEastAsia"/>
                        <w:sz w:val="24"/>
                        <w:szCs w:val="24"/>
                        <w:lang w:eastAsia="zh-CN"/>
                      </w:rPr>
                    </w:pPr>
                    <w:r>
                      <w:rPr>
                        <w:rFonts w:hint="eastAsia" w:ascii="Arial" w:hAnsi="Arial" w:cs="Arial"/>
                        <w:sz w:val="24"/>
                        <w:szCs w:val="24"/>
                        <w:lang w:eastAsia="zh-CN"/>
                      </w:rPr>
                      <w:t xml:space="preserve">Page </w:t>
                    </w:r>
                    <w:r>
                      <w:rPr>
                        <w:rFonts w:hint="eastAsia" w:ascii="Arial" w:hAnsi="Arial" w:cs="Arial"/>
                        <w:sz w:val="24"/>
                        <w:szCs w:val="24"/>
                        <w:lang w:eastAsia="zh-CN"/>
                      </w:rPr>
                      <w:fldChar w:fldCharType="begin"/>
                    </w:r>
                    <w:r>
                      <w:rPr>
                        <w:rFonts w:hint="eastAsia" w:ascii="Arial" w:hAnsi="Arial" w:cs="Arial"/>
                        <w:sz w:val="24"/>
                        <w:szCs w:val="24"/>
                        <w:lang w:eastAsia="zh-CN"/>
                      </w:rPr>
                      <w:instrText xml:space="preserve"> PAGE  \* MERGEFORMAT </w:instrText>
                    </w:r>
                    <w:r>
                      <w:rPr>
                        <w:rFonts w:hint="eastAsia" w:ascii="Arial" w:hAnsi="Arial" w:cs="Arial"/>
                        <w:sz w:val="24"/>
                        <w:szCs w:val="24"/>
                        <w:lang w:eastAsia="zh-CN"/>
                      </w:rPr>
                      <w:fldChar w:fldCharType="separate"/>
                    </w:r>
                    <w:r>
                      <w:rPr>
                        <w:rFonts w:hint="eastAsia" w:ascii="Arial" w:hAnsi="Arial" w:cs="Arial"/>
                        <w:sz w:val="24"/>
                        <w:szCs w:val="24"/>
                        <w:lang w:eastAsia="zh-CN"/>
                      </w:rPr>
                      <w:t>2</w:t>
                    </w:r>
                    <w:r>
                      <w:rPr>
                        <w:rFonts w:hint="eastAsia" w:ascii="Arial" w:hAnsi="Arial" w:cs="Arial"/>
                        <w:sz w:val="24"/>
                        <w:szCs w:val="24"/>
                        <w:lang w:eastAsia="zh-CN"/>
                      </w:rPr>
                      <w:fldChar w:fldCharType="end"/>
                    </w:r>
                    <w:r>
                      <w:rPr>
                        <w:rFonts w:hint="eastAsia" w:ascii="Arial" w:hAnsi="Arial" w:cs="Arial"/>
                        <w:sz w:val="24"/>
                        <w:szCs w:val="24"/>
                        <w:lang w:eastAsia="zh-CN"/>
                      </w:rPr>
                      <w:t xml:space="preserve"> of </w:t>
                    </w:r>
                    <w:r>
                      <w:rPr>
                        <w:rFonts w:hint="eastAsia" w:ascii="Arial" w:hAnsi="Arial" w:cs="Arial"/>
                        <w:sz w:val="24"/>
                        <w:szCs w:val="24"/>
                        <w:lang w:eastAsia="zh-CN"/>
                      </w:rPr>
                      <w:fldChar w:fldCharType="begin"/>
                    </w:r>
                    <w:r>
                      <w:rPr>
                        <w:rFonts w:hint="eastAsia" w:ascii="Arial" w:hAnsi="Arial" w:cs="Arial"/>
                        <w:sz w:val="24"/>
                        <w:szCs w:val="24"/>
                        <w:lang w:eastAsia="zh-CN"/>
                      </w:rPr>
                      <w:instrText xml:space="preserve"> NUMPAGES  \* MERGEFORMAT </w:instrText>
                    </w:r>
                    <w:r>
                      <w:rPr>
                        <w:rFonts w:hint="eastAsia" w:ascii="Arial" w:hAnsi="Arial" w:cs="Arial"/>
                        <w:sz w:val="24"/>
                        <w:szCs w:val="24"/>
                        <w:lang w:eastAsia="zh-CN"/>
                      </w:rPr>
                      <w:fldChar w:fldCharType="separate"/>
                    </w:r>
                    <w:r>
                      <w:rPr>
                        <w:rFonts w:hint="eastAsia" w:ascii="Arial" w:hAnsi="Arial" w:cs="Arial"/>
                        <w:sz w:val="24"/>
                        <w:szCs w:val="24"/>
                        <w:lang w:eastAsia="zh-CN"/>
                      </w:rPr>
                      <w:t>15</w:t>
                    </w:r>
                    <w:r>
                      <w:rPr>
                        <w:rFonts w:hint="eastAsia" w:ascii="Arial" w:hAnsi="Arial" w:cs="Arial"/>
                        <w:sz w:val="24"/>
                        <w:szCs w:val="24"/>
                        <w:lang w:eastAsia="zh-CN"/>
                      </w:rPr>
                      <w:fldChar w:fldCharType="end"/>
                    </w:r>
                  </w:p>
                </w:txbxContent>
              </v:textbox>
            </v:shape>
          </w:pict>
        </mc:Fallback>
      </mc:AlternateConten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r>
      <w:rPr>
        <w:sz w:val="18"/>
      </w:rPr>
      <mc:AlternateContent>
        <mc:Choice Requires="wps">
          <w:drawing>
            <wp:anchor distT="0" distB="0" distL="114300" distR="114300" simplePos="0" relativeHeight="251674624" behindDoc="0" locked="0" layoutInCell="1" allowOverlap="1">
              <wp:simplePos x="0" y="0"/>
              <wp:positionH relativeFrom="margin">
                <wp:align>center</wp:align>
              </wp:positionH>
              <wp:positionV relativeFrom="paragraph">
                <wp:posOffset>0</wp:posOffset>
              </wp:positionV>
              <wp:extent cx="1828800" cy="1828800"/>
              <wp:effectExtent l="0" t="0" r="0" b="0"/>
              <wp:wrapNone/>
              <wp:docPr id="12" name="Text Box 1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pPr>
                            <w:pStyle w:val="4"/>
                            <w:rPr>
                              <w:rFonts w:hint="eastAsia" w:eastAsiaTheme="minorEastAsia"/>
                              <w:lang w:eastAsia="zh-CN"/>
                            </w:rPr>
                          </w:pPr>
                          <w:r>
                            <w:rPr>
                              <w:rFonts w:hint="eastAsia"/>
                              <w:lang w:eastAsia="zh-CN"/>
                            </w:rPr>
                            <w:t xml:space="preserve">Page </w:t>
                          </w: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r>
                            <w:rPr>
                              <w:rFonts w:hint="eastAsia"/>
                              <w:lang w:eastAsia="zh-CN"/>
                            </w:rPr>
                            <w:t xml:space="preserve"> of </w:t>
                          </w:r>
                          <w:r>
                            <w:rPr>
                              <w:rFonts w:hint="eastAsia"/>
                              <w:lang w:eastAsia="zh-CN"/>
                            </w:rPr>
                            <w:fldChar w:fldCharType="begin"/>
                          </w:r>
                          <w:r>
                            <w:rPr>
                              <w:rFonts w:hint="eastAsia"/>
                              <w:lang w:eastAsia="zh-CN"/>
                            </w:rPr>
                            <w:instrText xml:space="preserve"> NUMPAGES  \* MERGEFORMAT </w:instrText>
                          </w:r>
                          <w:r>
                            <w:rPr>
                              <w:rFonts w:hint="eastAsia"/>
                              <w:lang w:eastAsia="zh-CN"/>
                            </w:rPr>
                            <w:fldChar w:fldCharType="separate"/>
                          </w:r>
                          <w:r>
                            <w:rPr>
                              <w:rFonts w:hint="eastAsia"/>
                              <w:lang w:eastAsia="zh-CN"/>
                            </w:rPr>
                            <w:t>15</w:t>
                          </w:r>
                          <w:r>
                            <w:rPr>
                              <w:rFonts w:hint="eastAsia"/>
                              <w:lang w:eastAsia="zh-C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7462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Ihh6tiyAgAA1wUAAA4AAABkcnMvZTJvRG9jLnhtbK1UbW/bIBD+Pmn/&#10;AfHd9Uvd1InqVGlcT5OitVI77TPBOLaGAQGJ00397ztwnLTdNE3b/AEf3HEvzx3P1fW+42jHtGml&#10;yHF8FmHEBJVVKzY5/vxYBhlGxhJRES4Fy/ETM/h6/v7dVa9mLJGN5BXTCJwIM+tVjhtr1SwMDW1Y&#10;R8yZVEyAspa6Ixa2ehNWmvTgveNhEkWTsJe6UlpSZgycFoMSz73/umbU3tW1YRbxHENu1q/ar2u3&#10;hvMrMttoopqWHtIgf5FFR1oBQY+uCmIJ2ur2J1ddS7U0srZnVHahrOuWMl8DVBNHb6p5aIhivhYA&#10;x6gjTOb/uaWfdvcatRX0LsFIkA569Mj2Ft3IPYIjwKdXZgZmDwoM7R7OwXY8N3Doyt7XunN/KAiB&#10;HpB+OqLrvFF3KUuyLAIVBd24Af/h6brSxn5gskNOyLGG9nlUyW5l7GA6mrhoQpYt576FXKA+x5Pz&#10;i8hfOGrAORfOFrIAHwdpaM33aTS9zW6zNEiTyW2QRkURLMplGkzK+PKiOC+WyyJ+dv7idNa0VcWE&#10;izeOSZz+WRsOAzs0+DgoRvK2cu5cSkZv1kuu0Y7AmJb+cwhD8i/MwtdpeDVU9aakOEmjm2QalJPs&#10;MkjL9CKYXkZZEMXTm+kkSqdpUb4uadUK9u8lvUL/RdJk5hp2rG3NCf3629JcOqfSAIGxcaGbw2He&#10;nGT36z1A5MS1rJ5gNrUcXrdRtGwh6IoYe080PGeYOaAoewdLzSXMiTxIGDVSf/vVubOH9oIWox7o&#10;IccC+Asj/lHA63NMMgp6FNajILbdUkIjY6A+Rb0IF7Tlo1hr2X0B3lq4GKAigkKkHNtRXNqBooD3&#10;KFssvNFW6XbTDBeAOxSxK/GgqAvjR0gtthbeg38mJ1QASrcB9vCgHpjO0dPLvbc68fH8B1BLAwQK&#10;AAAAAACHTuJAAAAAAAAAAAAAAAAABgAAAF9yZWxzL1BLAwQUAAAACACHTuJAihRmPNEAAACUAQAA&#10;CwAAAF9yZWxzLy5yZWxzpZDBasMwDIbvg72D0X1xmsMYo04vo9Br6R7A2IpjGltGMtn69vMOg2X0&#10;tqN+oe8T//7wmRa1IkukbGDX9aAwO/IxBwPvl+PTCyipNnu7UEYDNxQ4jI8P+zMutrYjmWMR1ShZ&#10;DMy1lletxc2YrHRUMLfNRJxsbSMHXay72oB66Ptnzb8ZMG6Y6uQN8MkPoC630sx/2Ck6JqGpdo6S&#10;pmmK7h5VB7Zlju7INuEbuUazHLAa8CwaB2pZ134EfV+/+6fe00c+47rVfoeM649Xb7ocvwBQSwME&#10;FAAAAAgAh07iQH7m5SD3AAAA4QEAABMAAABbQ29udGVudF9UeXBlc10ueG1slZFBTsMwEEX3SNzB&#10;8hYlTrtACCXpgrRLQKgcYGRPEotkbHlMaG+Pk7YbRJFY2jP/vye73BzGQUwY2Dqq5CovpEDSzljq&#10;Kvm+32UPUnAEMjA4wkoekeWmvr0p90ePLFKauJJ9jP5RKdY9jsC580hp0rowQkzH0CkP+gM6VOui&#10;uFfaUUSKWZw7ZF022MLnEMX2kK5PJgEHluLptDizKgneD1ZDTKZqIvODkp0JeUouO9xbz3dJQ6pf&#10;CfPkOuCce0lPE6xB8QohPsOYNJQJrIz7ooBT/nfJbDly5trWasybwE2KveF0sbrWjmvXOP3f8u2S&#10;unSr5YPqb1BLAQIUABQAAAAIAIdO4kB+5uUg9wAAAOEBAAATAAAAAAAAAAEAIAAAABsFAABbQ29u&#10;dGVudF9UeXBlc10ueG1sUEsBAhQACgAAAAAAh07iQAAAAAAAAAAAAAAAAAYAAAAAAAAAAAAQAAAA&#10;/QMAAF9yZWxzL1BLAQIUABQAAAAIAIdO4kCKFGY80QAAAJQBAAALAAAAAAAAAAEAIAAAACEEAABf&#10;cmVscy8ucmVsc1BLAQIUAAoAAAAAAIdO4kAAAAAAAAAAAAAAAAAEAAAAAAAAAAAAEAAAAAAAAABk&#10;cnMvUEsBAhQAFAAAAAgAh07iQLNJWO7QAAAABQEAAA8AAAAAAAAAAQAgAAAAIgAAAGRycy9kb3du&#10;cmV2LnhtbFBLAQIUABQAAAAIAIdO4kCIYerYsgIAANcFAAAOAAAAAAAAAAEAIAAAAB8BAABkcnMv&#10;ZTJvRG9jLnhtbFBLBQYAAAAABgAGAFkBAABDBgAAAAA=&#10;">
              <v:fill on="f" focussize="0,0"/>
              <v:stroke on="f" weight="0.5pt"/>
              <v:imagedata o:title=""/>
              <o:lock v:ext="edit" aspectratio="f"/>
              <v:textbox inset="0mm,0mm,0mm,0mm" style="mso-fit-shape-to-text:t;">
                <w:txbxContent>
                  <w:p>
                    <w:pPr>
                      <w:pStyle w:val="4"/>
                      <w:rPr>
                        <w:rFonts w:hint="eastAsia" w:eastAsiaTheme="minorEastAsia"/>
                        <w:lang w:eastAsia="zh-CN"/>
                      </w:rPr>
                    </w:pPr>
                    <w:r>
                      <w:rPr>
                        <w:rFonts w:hint="eastAsia"/>
                        <w:lang w:eastAsia="zh-CN"/>
                      </w:rPr>
                      <w:t xml:space="preserve">Page </w:t>
                    </w: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r>
                      <w:rPr>
                        <w:rFonts w:hint="eastAsia"/>
                        <w:lang w:eastAsia="zh-CN"/>
                      </w:rPr>
                      <w:t xml:space="preserve"> of </w:t>
                    </w:r>
                    <w:r>
                      <w:rPr>
                        <w:rFonts w:hint="eastAsia"/>
                        <w:lang w:eastAsia="zh-CN"/>
                      </w:rPr>
                      <w:fldChar w:fldCharType="begin"/>
                    </w:r>
                    <w:r>
                      <w:rPr>
                        <w:rFonts w:hint="eastAsia"/>
                        <w:lang w:eastAsia="zh-CN"/>
                      </w:rPr>
                      <w:instrText xml:space="preserve"> NUMPAGES  \* MERGEFORMAT </w:instrText>
                    </w:r>
                    <w:r>
                      <w:rPr>
                        <w:rFonts w:hint="eastAsia"/>
                        <w:lang w:eastAsia="zh-CN"/>
                      </w:rPr>
                      <w:fldChar w:fldCharType="separate"/>
                    </w:r>
                    <w:r>
                      <w:rPr>
                        <w:rFonts w:hint="eastAsia"/>
                        <w:lang w:eastAsia="zh-CN"/>
                      </w:rPr>
                      <w:t>15</w:t>
                    </w:r>
                    <w:r>
                      <w:rPr>
                        <w:rFonts w:hint="eastAsia"/>
                        <w:lang w:eastAsia="zh-CN"/>
                      </w:rPr>
                      <w:fldChar w:fldCharType="end"/>
                    </w:r>
                  </w:p>
                </w:txbxContent>
              </v:textbox>
            </v:shape>
          </w:pict>
        </mc:Fallback>
      </mc:AlternateContent>
    </w:r>
    <w:r>
      <w:rPr>
        <w:sz w:val="18"/>
      </w:rPr>
      <mc:AlternateContent>
        <mc:Choice Requires="wps">
          <w:drawing>
            <wp:anchor distT="0" distB="0" distL="114300" distR="114300" simplePos="0" relativeHeight="251673600" behindDoc="0" locked="0" layoutInCell="1" allowOverlap="1">
              <wp:simplePos x="0" y="0"/>
              <wp:positionH relativeFrom="margin">
                <wp:align>center</wp:align>
              </wp:positionH>
              <wp:positionV relativeFrom="paragraph">
                <wp:posOffset>0</wp:posOffset>
              </wp:positionV>
              <wp:extent cx="1828800" cy="1828800"/>
              <wp:effectExtent l="0" t="0" r="0" b="0"/>
              <wp:wrapNone/>
              <wp:docPr id="11" name="Text Box 1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4"/>
                            <w:rPr>
                              <w:rFonts w:hint="eastAsia" w:eastAsiaTheme="minorEastAsia"/>
                              <w:lang w:eastAsia="zh-CN"/>
                            </w:rPr>
                          </w:pP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73600;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Mp2Rz0DAgAAFAQAAA4AAABkcnMvZTJvRG9jLnhtbK1TTYvbMBC9F/of&#10;hO6Nk5QuIcRZ0l1SCqG7kC09K7IcGySNkJTY6a/vkxxnl7an0os0mu9587S6741mZ+VDS7bks8mU&#10;M2UlVa09lvz7y/bDgrMQha2EJqtKflGB36/fv1t1bqnm1JCulGdIYsOycyVvYnTLogiyUUaECTll&#10;YazJGxHx9Mei8qJDdqOL+XR6V3TkK+dJqhCgfRyMfJ3z17WS8amug4pMlxy9xXz6fB7SWaxXYnn0&#10;wjWtvLYh/qELI1qLordUjyIKdvLtH6lMKz0FquNEkimorlup8gyYZjb9bZp9I5zKswCc4G4whf+X&#10;Vn47P3vWVtjdjDMrDHb0ovrIPlPPoAI+nQtLuO0dHGMPPXxHfYAyjd3X3qQbAzHYgfTlhm7KJlPQ&#10;Yr5YTGGSsI0P5C9ew50P8Ysiw5JQco/1ZVTFeRfi4Dq6pGqWtq3WeYXasq7kdx8/TXPAzYLk2qJG&#10;GmJoNkmxP/TXyQ5UXTCYp4Eawclti+I7EeKz8OACGga/4xOOWhOK0FXirCH/82/65I8VwcpZB26V&#10;3IL8nOmvFqtLNBwFPwqHUbAn80AgK7aBXrKIAB/1KNaezA+QfpNqwCSsRKWSx1F8iAO/8Wmk2myy&#10;08n59tgMASCeE3Fn906mMgnI4DanCDAzxgmgAZUrbqBe3tL1myRuv31nr9fPvP4FUEsDBAoAAAAA&#10;AIdO4kAAAAAAAAAAAAAAAAAGAAAAX3JlbHMvUEsDBBQAAAAIAIdO4kCKFGY80QAAAJQBAAALAAAA&#10;X3JlbHMvLnJlbHOlkMFqwzAMhu+DvYPRfXGawxijTi+j0GvpHsDYimMaW0Yy2fr28w6DZfS2o36h&#10;7xP//vCZFrUiS6RsYNf1oDA78jEHA++X49MLKKk2e7tQRgM3FDiMjw/7My62tiOZYxHVKFkMzLWW&#10;V63FzZisdFQwt81EnGxtIwddrLvagHro+2fNvxkwbpjq5A3wyQ+gLrfSzH/YKTomoal2jpKmaYru&#10;HlUHtmWO7sg24Ru5RrMcsBrwLBoHalnXfgR9X7/7p97TRz7jutV+h4zrj1dvuhy/AFBLAwQUAAAA&#10;CACHTuJAfublIPcAAADhAQAAEwAAAFtDb250ZW50X1R5cGVzXS54bWyVkUFOwzAQRfdI3MHyFiVO&#10;u0AIJemCtEtAqBxgZE8Si2RseUxob4+TthtEkVjaM/+/J7vcHMZBTBjYOqrkKi+kQNLOWOoq+b7f&#10;ZQ9ScAQyMDjCSh6R5aa+vSn3R48sUpq4kn2M/lEp1j2OwLnzSGnSujBCTMfQKQ/6AzpU66K4V9pR&#10;RIpZnDtkXTbYwucQxfaQrk8mAQeW4um0OLMqCd4PVkNMpmoi84OSnQl5Si473FvPd0lDql8J8+Q6&#10;4Jx7SU8TrEHxCiE+w5g0lAmsjPuigFP+d8lsOXLm2tZqzJvATYq94XSxutaOa9c4/d/y7ZK6dKvl&#10;g+pvUEsBAhQAFAAAAAgAh07iQH7m5SD3AAAA4QEAABMAAAAAAAAAAQAgAAAAbAQAAFtDb250ZW50&#10;X1R5cGVzXS54bWxQSwECFAAKAAAAAACHTuJAAAAAAAAAAAAAAAAABgAAAAAAAAAAABAAAABOAwAA&#10;X3JlbHMvUEsBAhQAFAAAAAgAh07iQIoUZjzRAAAAlAEAAAsAAAAAAAAAAQAgAAAAcgMAAF9yZWxz&#10;Ly5yZWxzUEsBAhQACgAAAAAAh07iQAAAAAAAAAAAAAAAAAQAAAAAAAAAAAAQAAAAAAAAAGRycy9Q&#10;SwECFAAUAAAACACHTuJAs0lY7tAAAAAFAQAADwAAAAAAAAABACAAAAAiAAAAZHJzL2Rvd25yZXYu&#10;eG1sUEsBAhQAFAAAAAgAh07iQMp2Rz0DAgAAFAQAAA4AAAAAAAAAAQAgAAAAHwEAAGRycy9lMm9E&#10;b2MueG1sUEsFBgAAAAAGAAYAWQEAAJQFAAAAAA==&#10;">
              <v:fill on="f" focussize="0,0"/>
              <v:stroke on="f" weight="0.5pt"/>
              <v:imagedata o:title=""/>
              <o:lock v:ext="edit" aspectratio="f"/>
              <v:textbox inset="0mm,0mm,0mm,0mm" style="mso-fit-shape-to-text:t;">
                <w:txbxContent>
                  <w:p>
                    <w:pPr>
                      <w:pStyle w:val="4"/>
                      <w:rPr>
                        <w:rFonts w:hint="eastAsia" w:eastAsiaTheme="minorEastAsia"/>
                        <w:lang w:eastAsia="zh-CN"/>
                      </w:rPr>
                    </w:pPr>
                  </w:p>
                </w:txbxContent>
              </v:textbox>
            </v:shape>
          </w:pict>
        </mc:Fallback>
      </mc:AlternateContent>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jc w:val="right"/>
      <w:rPr>
        <w:rFonts w:ascii="Arial" w:hAnsi="Arial" w:cs="Arial"/>
        <w:sz w:val="24"/>
        <w:szCs w:val="24"/>
      </w:rPr>
    </w:pPr>
    <w:r>
      <w:rPr>
        <w:sz w:val="24"/>
      </w:rPr>
      <mc:AlternateContent>
        <mc:Choice Requires="wps">
          <w:drawing>
            <wp:anchor distT="0" distB="0" distL="114300" distR="114300" simplePos="0" relativeHeight="251658240" behindDoc="0" locked="0" layoutInCell="1" allowOverlap="1">
              <wp:simplePos x="0" y="0"/>
              <wp:positionH relativeFrom="margin">
                <wp:align>center</wp:align>
              </wp:positionH>
              <wp:positionV relativeFrom="paragraph">
                <wp:posOffset>0</wp:posOffset>
              </wp:positionV>
              <wp:extent cx="1828800" cy="1828800"/>
              <wp:effectExtent l="0" t="0" r="0" b="0"/>
              <wp:wrapNone/>
              <wp:docPr id="3" name="Text Box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pPr>
                            <w:rPr>
                              <w:rFonts w:hint="eastAsia" w:ascii="Arial" w:hAnsi="Arial" w:cs="Arial" w:eastAsiaTheme="minorEastAsia"/>
                              <w:sz w:val="24"/>
                              <w:szCs w:val="24"/>
                              <w:lang w:eastAsia="zh-CN"/>
                            </w:rPr>
                          </w:pPr>
                          <w:r>
                            <w:rPr>
                              <w:rFonts w:hint="eastAsia" w:ascii="Arial" w:hAnsi="Arial" w:cs="Arial"/>
                              <w:sz w:val="24"/>
                              <w:szCs w:val="24"/>
                              <w:lang w:eastAsia="zh-CN"/>
                            </w:rPr>
                            <w:t xml:space="preserve">Page </w:t>
                          </w:r>
                          <w:r>
                            <w:rPr>
                              <w:rFonts w:hint="eastAsia" w:ascii="Arial" w:hAnsi="Arial" w:cs="Arial"/>
                              <w:sz w:val="24"/>
                              <w:szCs w:val="24"/>
                              <w:lang w:eastAsia="zh-CN"/>
                            </w:rPr>
                            <w:fldChar w:fldCharType="begin"/>
                          </w:r>
                          <w:r>
                            <w:rPr>
                              <w:rFonts w:hint="eastAsia" w:ascii="Arial" w:hAnsi="Arial" w:cs="Arial"/>
                              <w:sz w:val="24"/>
                              <w:szCs w:val="24"/>
                              <w:lang w:eastAsia="zh-CN"/>
                            </w:rPr>
                            <w:instrText xml:space="preserve"> PAGE  \* MERGEFORMAT </w:instrText>
                          </w:r>
                          <w:r>
                            <w:rPr>
                              <w:rFonts w:hint="eastAsia" w:ascii="Arial" w:hAnsi="Arial" w:cs="Arial"/>
                              <w:sz w:val="24"/>
                              <w:szCs w:val="24"/>
                              <w:lang w:eastAsia="zh-CN"/>
                            </w:rPr>
                            <w:fldChar w:fldCharType="separate"/>
                          </w:r>
                          <w:r>
                            <w:rPr>
                              <w:rFonts w:hint="eastAsia" w:ascii="Arial" w:hAnsi="Arial" w:cs="Arial"/>
                              <w:sz w:val="24"/>
                              <w:szCs w:val="24"/>
                              <w:lang w:eastAsia="zh-CN"/>
                            </w:rPr>
                            <w:t>4</w:t>
                          </w:r>
                          <w:r>
                            <w:rPr>
                              <w:rFonts w:hint="eastAsia" w:ascii="Arial" w:hAnsi="Arial" w:cs="Arial"/>
                              <w:sz w:val="24"/>
                              <w:szCs w:val="24"/>
                              <w:lang w:eastAsia="zh-CN"/>
                            </w:rPr>
                            <w:fldChar w:fldCharType="end"/>
                          </w:r>
                          <w:r>
                            <w:rPr>
                              <w:rFonts w:hint="eastAsia" w:ascii="Arial" w:hAnsi="Arial" w:cs="Arial"/>
                              <w:sz w:val="24"/>
                              <w:szCs w:val="24"/>
                              <w:lang w:eastAsia="zh-CN"/>
                            </w:rPr>
                            <w:t xml:space="preserve"> of </w:t>
                          </w:r>
                          <w:r>
                            <w:rPr>
                              <w:rFonts w:hint="eastAsia" w:ascii="Arial" w:hAnsi="Arial" w:cs="Arial"/>
                              <w:sz w:val="24"/>
                              <w:szCs w:val="24"/>
                              <w:lang w:eastAsia="zh-CN"/>
                            </w:rPr>
                            <w:fldChar w:fldCharType="begin"/>
                          </w:r>
                          <w:r>
                            <w:rPr>
                              <w:rFonts w:hint="eastAsia" w:ascii="Arial" w:hAnsi="Arial" w:cs="Arial"/>
                              <w:sz w:val="24"/>
                              <w:szCs w:val="24"/>
                              <w:lang w:eastAsia="zh-CN"/>
                            </w:rPr>
                            <w:instrText xml:space="preserve"> NUMPAGES  \* MERGEFORMAT </w:instrText>
                          </w:r>
                          <w:r>
                            <w:rPr>
                              <w:rFonts w:hint="eastAsia" w:ascii="Arial" w:hAnsi="Arial" w:cs="Arial"/>
                              <w:sz w:val="24"/>
                              <w:szCs w:val="24"/>
                              <w:lang w:eastAsia="zh-CN"/>
                            </w:rPr>
                            <w:fldChar w:fldCharType="separate"/>
                          </w:r>
                          <w:r>
                            <w:rPr>
                              <w:rFonts w:hint="eastAsia" w:ascii="Arial" w:hAnsi="Arial" w:cs="Arial"/>
                              <w:sz w:val="24"/>
                              <w:szCs w:val="24"/>
                              <w:lang w:eastAsia="zh-CN"/>
                            </w:rPr>
                            <w:t>15</w:t>
                          </w:r>
                          <w:r>
                            <w:rPr>
                              <w:rFonts w:hint="eastAsia" w:ascii="Arial" w:hAnsi="Arial" w:cs="Arial"/>
                              <w:sz w:val="24"/>
                              <w:szCs w:val="24"/>
                              <w:lang w:eastAsia="zh-C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8240;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MU4s52yAgAA1QUAAA4AAABkcnMvZTJvRG9jLnhtbK1U32+bMBB+n7T/&#10;wfI7BRKaElQypaFMk6K1Ujvt2TEmoBnbsp2Ebtr/vrMJSdtN07SNB3P2ne/Hd+fv+l3fcbRn2rRS&#10;5Di+iDBigsqqFdscf3osgxQjY4moCJeC5fiJGfxu8fbN9UFlbCIbySumETgRJjuoHDfWqiwMDW1Y&#10;R8yFVEyAspa6Ixa2ehtWmhzAe8fDSRTNwoPUldKSMmPgtBiUeOH91zWj9q6uDbOI5xhys37Vft24&#10;NVxck2yriWpaekyD/EUWHWkFBD25KoglaKfbn1x1LdXSyNpeUNmFsq5bynwNUE0cvarmoSGK+VoA&#10;HKNOMJn/55Z+3N9r1FY5nmIkSActemS9RTeyR1OHzkGZDIweFJjZHo6hy+O5gUNXdF/rzv2hHAR6&#10;wPnphK1zRt2ldJKmEago6MYN+A/P15U29j2THXJCjjU0z2NK9mtjB9PRxEUTsmw59w3kAh1yPJte&#10;Rv7CSQPOuXC2kAX4OEpDY77No/ltepsmQTKZ3QZJVBTBslwlwayMry6LabFaFfF35y9OsqatKiZc&#10;vHFI4uTPmnAc16G9pzExkreVc+dSMnq7WXGN9gSGtPSfQxiSf2YWvkzDq6GqVyXFkyS6mcyDcpZe&#10;BUmZXAbzqygNonh+M59FyTwpypclrVvB/r2kF+g/S5pkrmGn2jac0C+/Lc2lcy4NEBgbF7o5HObN&#10;Sbbf9ACREzeyeoLZ1HJ420bRsoWga2LsPdHwmGHmgKDsHSw1lzAn8ihh1Ej99Vfnzh7aC1qMDkAO&#10;ORbAXhjxDwLenuORUdCjsBkFsetWEhoZA/Ep6kW4oC0fxVrL7jOw1tLFABURFCLl2I7iyg4EBaxH&#10;2XLpjXZKt9tmuADMoYhdiwdFXRg/Qmq5s/Ae/DM5owJQug1whwf1yHOOnJ7vvdWZjRc/AFBLAwQK&#10;AAAAAACHTuJAAAAAAAAAAAAAAAAABgAAAF9yZWxzL1BLAwQUAAAACACHTuJAihRmPNEAAACUAQAA&#10;CwAAAF9yZWxzLy5yZWxzpZDBasMwDIbvg72D0X1xmsMYo04vo9Br6R7A2IpjGltGMtn69vMOg2X0&#10;tqN+oe8T//7wmRa1IkukbGDX9aAwO/IxBwPvl+PTCyipNnu7UEYDNxQ4jI8P+zMutrYjmWMR1ShZ&#10;DMy1lletxc2YrHRUMLfNRJxsbSMHXay72oB66Ptnzb8ZMG6Y6uQN8MkPoC630sx/2Ck6JqGpdo6S&#10;pmmK7h5VB7Zlju7INuEbuUazHLAa8CwaB2pZ134EfV+/+6fe00c+47rVfoeM649Xb7ocvwBQSwME&#10;FAAAAAgAh07iQH7m5SD3AAAA4QEAABMAAABbQ29udGVudF9UeXBlc10ueG1slZFBTsMwEEX3SNzB&#10;8hYlTrtACCXpgrRLQKgcYGRPEotkbHlMaG+Pk7YbRJFY2jP/vye73BzGQUwY2Dqq5CovpEDSzljq&#10;Kvm+32UPUnAEMjA4wkoekeWmvr0p90ePLFKauJJ9jP5RKdY9jsC580hp0rowQkzH0CkP+gM6VOui&#10;uFfaUUSKWZw7ZF022MLnEMX2kK5PJgEHluLptDizKgneD1ZDTKZqIvODkp0JeUouO9xbz3dJQ6pf&#10;CfPkOuCce0lPE6xB8QohPsOYNJQJrIz7ooBT/nfJbDly5trWasybwE2KveF0sbrWjmvXOP3f8u2S&#10;unSr5YPqb1BLAQIUABQAAAAIAIdO4kB+5uUg9wAAAOEBAAATAAAAAAAAAAEAIAAAABsFAABbQ29u&#10;dGVudF9UeXBlc10ueG1sUEsBAhQACgAAAAAAh07iQAAAAAAAAAAAAAAAAAYAAAAAAAAAAAAQAAAA&#10;/QMAAF9yZWxzL1BLAQIUABQAAAAIAIdO4kCKFGY80QAAAJQBAAALAAAAAAAAAAEAIAAAACEEAABf&#10;cmVscy8ucmVsc1BLAQIUAAoAAAAAAIdO4kAAAAAAAAAAAAAAAAAEAAAAAAAAAAAAEAAAAAAAAABk&#10;cnMvUEsBAhQAFAAAAAgAh07iQLNJWO7QAAAABQEAAA8AAAAAAAAAAQAgAAAAIgAAAGRycy9kb3du&#10;cmV2LnhtbFBLAQIUABQAAAAIAIdO4kDFOLOdsgIAANUFAAAOAAAAAAAAAAEAIAAAAB8BAABkcnMv&#10;ZTJvRG9jLnhtbFBLBQYAAAAABgAGAFkBAABDBgAAAAA=&#10;">
              <v:fill on="f" focussize="0,0"/>
              <v:stroke on="f" weight="0.5pt"/>
              <v:imagedata o:title=""/>
              <o:lock v:ext="edit" aspectratio="f"/>
              <v:textbox inset="0mm,0mm,0mm,0mm" style="mso-fit-shape-to-text:t;">
                <w:txbxContent>
                  <w:p>
                    <w:pPr>
                      <w:rPr>
                        <w:rFonts w:hint="eastAsia" w:ascii="Arial" w:hAnsi="Arial" w:cs="Arial" w:eastAsiaTheme="minorEastAsia"/>
                        <w:sz w:val="24"/>
                        <w:szCs w:val="24"/>
                        <w:lang w:eastAsia="zh-CN"/>
                      </w:rPr>
                    </w:pPr>
                    <w:r>
                      <w:rPr>
                        <w:rFonts w:hint="eastAsia" w:ascii="Arial" w:hAnsi="Arial" w:cs="Arial"/>
                        <w:sz w:val="24"/>
                        <w:szCs w:val="24"/>
                        <w:lang w:eastAsia="zh-CN"/>
                      </w:rPr>
                      <w:t xml:space="preserve">Page </w:t>
                    </w:r>
                    <w:r>
                      <w:rPr>
                        <w:rFonts w:hint="eastAsia" w:ascii="Arial" w:hAnsi="Arial" w:cs="Arial"/>
                        <w:sz w:val="24"/>
                        <w:szCs w:val="24"/>
                        <w:lang w:eastAsia="zh-CN"/>
                      </w:rPr>
                      <w:fldChar w:fldCharType="begin"/>
                    </w:r>
                    <w:r>
                      <w:rPr>
                        <w:rFonts w:hint="eastAsia" w:ascii="Arial" w:hAnsi="Arial" w:cs="Arial"/>
                        <w:sz w:val="24"/>
                        <w:szCs w:val="24"/>
                        <w:lang w:eastAsia="zh-CN"/>
                      </w:rPr>
                      <w:instrText xml:space="preserve"> PAGE  \* MERGEFORMAT </w:instrText>
                    </w:r>
                    <w:r>
                      <w:rPr>
                        <w:rFonts w:hint="eastAsia" w:ascii="Arial" w:hAnsi="Arial" w:cs="Arial"/>
                        <w:sz w:val="24"/>
                        <w:szCs w:val="24"/>
                        <w:lang w:eastAsia="zh-CN"/>
                      </w:rPr>
                      <w:fldChar w:fldCharType="separate"/>
                    </w:r>
                    <w:r>
                      <w:rPr>
                        <w:rFonts w:hint="eastAsia" w:ascii="Arial" w:hAnsi="Arial" w:cs="Arial"/>
                        <w:sz w:val="24"/>
                        <w:szCs w:val="24"/>
                        <w:lang w:eastAsia="zh-CN"/>
                      </w:rPr>
                      <w:t>4</w:t>
                    </w:r>
                    <w:r>
                      <w:rPr>
                        <w:rFonts w:hint="eastAsia" w:ascii="Arial" w:hAnsi="Arial" w:cs="Arial"/>
                        <w:sz w:val="24"/>
                        <w:szCs w:val="24"/>
                        <w:lang w:eastAsia="zh-CN"/>
                      </w:rPr>
                      <w:fldChar w:fldCharType="end"/>
                    </w:r>
                    <w:r>
                      <w:rPr>
                        <w:rFonts w:hint="eastAsia" w:ascii="Arial" w:hAnsi="Arial" w:cs="Arial"/>
                        <w:sz w:val="24"/>
                        <w:szCs w:val="24"/>
                        <w:lang w:eastAsia="zh-CN"/>
                      </w:rPr>
                      <w:t xml:space="preserve"> of </w:t>
                    </w:r>
                    <w:r>
                      <w:rPr>
                        <w:rFonts w:hint="eastAsia" w:ascii="Arial" w:hAnsi="Arial" w:cs="Arial"/>
                        <w:sz w:val="24"/>
                        <w:szCs w:val="24"/>
                        <w:lang w:eastAsia="zh-CN"/>
                      </w:rPr>
                      <w:fldChar w:fldCharType="begin"/>
                    </w:r>
                    <w:r>
                      <w:rPr>
                        <w:rFonts w:hint="eastAsia" w:ascii="Arial" w:hAnsi="Arial" w:cs="Arial"/>
                        <w:sz w:val="24"/>
                        <w:szCs w:val="24"/>
                        <w:lang w:eastAsia="zh-CN"/>
                      </w:rPr>
                      <w:instrText xml:space="preserve"> NUMPAGES  \* MERGEFORMAT </w:instrText>
                    </w:r>
                    <w:r>
                      <w:rPr>
                        <w:rFonts w:hint="eastAsia" w:ascii="Arial" w:hAnsi="Arial" w:cs="Arial"/>
                        <w:sz w:val="24"/>
                        <w:szCs w:val="24"/>
                        <w:lang w:eastAsia="zh-CN"/>
                      </w:rPr>
                      <w:fldChar w:fldCharType="separate"/>
                    </w:r>
                    <w:r>
                      <w:rPr>
                        <w:rFonts w:hint="eastAsia" w:ascii="Arial" w:hAnsi="Arial" w:cs="Arial"/>
                        <w:sz w:val="24"/>
                        <w:szCs w:val="24"/>
                        <w:lang w:eastAsia="zh-CN"/>
                      </w:rPr>
                      <w:t>15</w:t>
                    </w:r>
                    <w:r>
                      <w:rPr>
                        <w:rFonts w:hint="eastAsia" w:ascii="Arial" w:hAnsi="Arial" w:cs="Arial"/>
                        <w:sz w:val="24"/>
                        <w:szCs w:val="24"/>
                        <w:lang w:eastAsia="zh-CN"/>
                      </w:rPr>
                      <w:fldChar w:fldCharType="end"/>
                    </w:r>
                  </w:p>
                </w:txbxContent>
              </v:textbox>
            </v:shape>
          </w:pict>
        </mc:Fallback>
      </mc:AlternateContent>
    </w: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r>
      <w:rPr>
        <w:sz w:val="18"/>
      </w:rPr>
      <mc:AlternateContent>
        <mc:Choice Requires="wps">
          <w:drawing>
            <wp:anchor distT="0" distB="0" distL="114300" distR="114300" simplePos="0" relativeHeight="251660288" behindDoc="0" locked="0" layoutInCell="1" allowOverlap="1">
              <wp:simplePos x="0" y="0"/>
              <wp:positionH relativeFrom="margin">
                <wp:align>center</wp:align>
              </wp:positionH>
              <wp:positionV relativeFrom="paragraph">
                <wp:posOffset>0</wp:posOffset>
              </wp:positionV>
              <wp:extent cx="1828800" cy="1828800"/>
              <wp:effectExtent l="0" t="0" r="0" b="0"/>
              <wp:wrapNone/>
              <wp:docPr id="5" name="Text Box 5"/>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pPr>
                            <w:pStyle w:val="4"/>
                            <w:rPr>
                              <w:rFonts w:hint="eastAsia" w:eastAsiaTheme="minorEastAsia"/>
                              <w:lang w:eastAsia="zh-CN"/>
                            </w:rPr>
                          </w:pPr>
                          <w:r>
                            <w:rPr>
                              <w:rFonts w:hint="eastAsia"/>
                              <w:lang w:eastAsia="zh-CN"/>
                            </w:rPr>
                            <w:t xml:space="preserve">Page </w:t>
                          </w: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3</w:t>
                          </w:r>
                          <w:r>
                            <w:rPr>
                              <w:rFonts w:hint="eastAsia"/>
                              <w:lang w:eastAsia="zh-CN"/>
                            </w:rPr>
                            <w:fldChar w:fldCharType="end"/>
                          </w:r>
                          <w:r>
                            <w:rPr>
                              <w:rFonts w:hint="eastAsia"/>
                              <w:lang w:eastAsia="zh-CN"/>
                            </w:rPr>
                            <w:t xml:space="preserve"> of </w:t>
                          </w:r>
                          <w:r>
                            <w:rPr>
                              <w:rFonts w:hint="eastAsia"/>
                              <w:lang w:eastAsia="zh-CN"/>
                            </w:rPr>
                            <w:fldChar w:fldCharType="begin"/>
                          </w:r>
                          <w:r>
                            <w:rPr>
                              <w:rFonts w:hint="eastAsia"/>
                              <w:lang w:eastAsia="zh-CN"/>
                            </w:rPr>
                            <w:instrText xml:space="preserve"> NUMPAGES  \* MERGEFORMAT </w:instrText>
                          </w:r>
                          <w:r>
                            <w:rPr>
                              <w:rFonts w:hint="eastAsia"/>
                              <w:lang w:eastAsia="zh-CN"/>
                            </w:rPr>
                            <w:fldChar w:fldCharType="separate"/>
                          </w:r>
                          <w:r>
                            <w:rPr>
                              <w:rFonts w:hint="eastAsia"/>
                              <w:lang w:eastAsia="zh-CN"/>
                            </w:rPr>
                            <w:t>15</w:t>
                          </w:r>
                          <w:r>
                            <w:rPr>
                              <w:rFonts w:hint="eastAsia"/>
                              <w:lang w:eastAsia="zh-C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0288;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I2wos+xAgAA1QUAAA4AAABkcnMvZTJvRG9jLnhtbK1U32+bMBB+n7T/&#10;wfI7BTKSkqikSkOZJkVrpXbas2NMQDO2ZTuBbtr/vrMJSdtN07SNB3P2ne/Hd+fv6rpvOTowbRop&#10;MhxfRBgxQWXZiF2GPz0WQYqRsUSUhEvBMvzEDL5evn1z1akFm8ha8pJpBE6EWXQqw7W1ahGGhtas&#10;JeZCKiZAWUndEgtbvQtLTTrw3vJwEkWzsJO6VFpSZgyc5oMSL73/qmLU3lWVYRbxDENu1q/ar1u3&#10;hssrsthpouqGHtMgf5FFSxoBQU+ucmIJ2uvmJ1dtQ7U0srIXVLahrKqGMl8DVBNHr6p5qIlivhYA&#10;x6gTTOb/uaUfD/caNWWGpxgJ0kKLHllv0Y3s0dSh0ymzAKMHBWa2h2Po8nhu4NAV3Ve6dX8oB4Ee&#10;cH46YeucUXcpnaRpBCoKunED/sPzdaWNfc9ki5yQYQ3N85iSw8bYwXQ0cdGELBrOfQO5QF2GZ++m&#10;kb9w0oBzLpwtZAE+jtLQmG/zaH6b3qZJkExmt0ES5XmwKtZJMCviy2n+Ll+v8/i78xcni7opSyZc&#10;vHFI4uTPmnAc16G9pzExkjelc+dSMnq3XXONDgSGtPCfQxiSf2YWvkzDq6GqVyXFkyS6mcyDYpZe&#10;BkmRTIP5ZZQGUTy/mc+iZJ7kxcuSNo1g/17SC/SfJU0WrmGn2rac0C+/Lc2lcy4NEBgbF7o5HObN&#10;Sbbf9gCRE7eyfILZ1HJ420bRooGgG2LsPdHwmGHmgKDsHSwVlzAn8ihhVEv99Vfnzh7aC1qMOiCH&#10;DAtgL4z4BwFvz/HIKOhR2I6C2LdrCY2MgfgU9SJc0JaPYqVl+xlYa+VigIoICpEybEdxbQeCAtaj&#10;bLXyRnulm109XADmUMRuxIOiLowfIbXaW3gP/pmcUQEo3Qa4w4N65DlHTs/33urMxssfUEsDBAoA&#10;AAAAAIdO4kAAAAAAAAAAAAAAAAAGAAAAX3JlbHMvUEsDBBQAAAAIAIdO4kCKFGY80QAAAJQBAAAL&#10;AAAAX3JlbHMvLnJlbHOlkMFqwzAMhu+DvYPRfXGawxijTi+j0GvpHsDYimMaW0Yy2fr28w6DZfS2&#10;o36h7xP//vCZFrUiS6RsYNf1oDA78jEHA++X49MLKKk2e7tQRgM3FDiMjw/7My62tiOZYxHVKFkM&#10;zLWWV63FzZisdFQwt81EnGxtIwddrLvagHro+2fNvxkwbpjq5A3wyQ+gLrfSzH/YKTomoal2jpKm&#10;aYruHlUHtmWO7sg24Ru5RrMcsBrwLBoHalnXfgR9X7/7p97TRz7jutV+h4zrj1dvuhy/AFBLAwQU&#10;AAAACACHTuJAfublIPcAAADhAQAAEwAAAFtDb250ZW50X1R5cGVzXS54bWyVkUFOwzAQRfdI3MHy&#10;FiVOu0AIJemCtEtAqBxgZE8Si2RseUxob4+TthtEkVjaM/+/J7vcHMZBTBjYOqrkKi+kQNLOWOoq&#10;+b7fZQ9ScAQyMDjCSh6R5aa+vSn3R48sUpq4kn2M/lEp1j2OwLnzSGnSujBCTMfQKQ/6AzpU66K4&#10;V9pRRIpZnDtkXTbYwucQxfaQrk8mAQeW4um0OLMqCd4PVkNMpmoi84OSnQl5Si473FvPd0lDql8J&#10;8+Q64Jx7SU8TrEHxCiE+w5g0lAmsjPuigFP+d8lsOXLm2tZqzJvATYq94XSxutaOa9c4/d/y7ZK6&#10;dKvlg+pvUEsBAhQAFAAAAAgAh07iQH7m5SD3AAAA4QEAABMAAAAAAAAAAQAgAAAAGgUAAFtDb250&#10;ZW50X1R5cGVzXS54bWxQSwECFAAKAAAAAACHTuJAAAAAAAAAAAAAAAAABgAAAAAAAAAAABAAAAD8&#10;AwAAX3JlbHMvUEsBAhQAFAAAAAgAh07iQIoUZjzRAAAAlAEAAAsAAAAAAAAAAQAgAAAAIAQAAF9y&#10;ZWxzLy5yZWxzUEsBAhQACgAAAAAAh07iQAAAAAAAAAAAAAAAAAQAAAAAAAAAAAAQAAAAAAAAAGRy&#10;cy9QSwECFAAUAAAACACHTuJAs0lY7tAAAAAFAQAADwAAAAAAAAABACAAAAAiAAAAZHJzL2Rvd25y&#10;ZXYueG1sUEsBAhQAFAAAAAgAh07iQI2wos+xAgAA1QUAAA4AAAAAAAAAAQAgAAAAHwEAAGRycy9l&#10;Mm9Eb2MueG1sUEsFBgAAAAAGAAYAWQEAAEIGAAAAAA==&#10;">
              <v:fill on="f" focussize="0,0"/>
              <v:stroke on="f" weight="0.5pt"/>
              <v:imagedata o:title=""/>
              <o:lock v:ext="edit" aspectratio="f"/>
              <v:textbox inset="0mm,0mm,0mm,0mm" style="mso-fit-shape-to-text:t;">
                <w:txbxContent>
                  <w:p>
                    <w:pPr>
                      <w:pStyle w:val="4"/>
                      <w:rPr>
                        <w:rFonts w:hint="eastAsia" w:eastAsiaTheme="minorEastAsia"/>
                        <w:lang w:eastAsia="zh-CN"/>
                      </w:rPr>
                    </w:pPr>
                    <w:r>
                      <w:rPr>
                        <w:rFonts w:hint="eastAsia"/>
                        <w:lang w:eastAsia="zh-CN"/>
                      </w:rPr>
                      <w:t xml:space="preserve">Page </w:t>
                    </w: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3</w:t>
                    </w:r>
                    <w:r>
                      <w:rPr>
                        <w:rFonts w:hint="eastAsia"/>
                        <w:lang w:eastAsia="zh-CN"/>
                      </w:rPr>
                      <w:fldChar w:fldCharType="end"/>
                    </w:r>
                    <w:r>
                      <w:rPr>
                        <w:rFonts w:hint="eastAsia"/>
                        <w:lang w:eastAsia="zh-CN"/>
                      </w:rPr>
                      <w:t xml:space="preserve"> of </w:t>
                    </w:r>
                    <w:r>
                      <w:rPr>
                        <w:rFonts w:hint="eastAsia"/>
                        <w:lang w:eastAsia="zh-CN"/>
                      </w:rPr>
                      <w:fldChar w:fldCharType="begin"/>
                    </w:r>
                    <w:r>
                      <w:rPr>
                        <w:rFonts w:hint="eastAsia"/>
                        <w:lang w:eastAsia="zh-CN"/>
                      </w:rPr>
                      <w:instrText xml:space="preserve"> NUMPAGES  \* MERGEFORMAT </w:instrText>
                    </w:r>
                    <w:r>
                      <w:rPr>
                        <w:rFonts w:hint="eastAsia"/>
                        <w:lang w:eastAsia="zh-CN"/>
                      </w:rPr>
                      <w:fldChar w:fldCharType="separate"/>
                    </w:r>
                    <w:r>
                      <w:rPr>
                        <w:rFonts w:hint="eastAsia"/>
                        <w:lang w:eastAsia="zh-CN"/>
                      </w:rPr>
                      <w:t>15</w:t>
                    </w:r>
                    <w:r>
                      <w:rPr>
                        <w:rFonts w:hint="eastAsia"/>
                        <w:lang w:eastAsia="zh-CN"/>
                      </w:rPr>
                      <w:fldChar w:fldCharType="end"/>
                    </w:r>
                  </w:p>
                </w:txbxContent>
              </v:textbox>
            </v:shape>
          </w:pict>
        </mc:Fallback>
      </mc:AlternateConten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rPr>
        <w:rFonts w:hint="default"/>
        <w:lang w:val="en-US"/>
      </w:rPr>
    </w:pPr>
    <w:r>
      <w:rPr>
        <w:rFonts w:hint="eastAsia"/>
      </w:rPr>
      <w:t>Strategic Management &amp; Sustainability (M3X9111)</w:t>
    </w:r>
    <w:r>
      <w:rPr>
        <w:rFonts w:hint="eastAsia"/>
        <w:lang w:val="en-US" w:eastAsia="zh-CN"/>
      </w:rPr>
      <w:t>·Jiankai gao·Contents</w: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rPr>
        <w:rFonts w:hint="eastAsia" w:eastAsiaTheme="minorEastAsia"/>
        <w:lang w:val="en-US" w:eastAsia="zh-CN"/>
      </w:rPr>
    </w:pPr>
    <w:r>
      <w:rPr>
        <w:rFonts w:hint="eastAsia" w:eastAsiaTheme="minorEastAsia"/>
        <w:lang w:val="en-US" w:eastAsia="zh-CN"/>
      </w:rPr>
      <w:t>Strategic Management &amp; Sustainability (M3X9111)·Jiankai gao·Executive</w:t>
    </w:r>
    <w:r>
      <w:rPr>
        <w:rFonts w:hint="eastAsia"/>
        <w:lang w:val="en-US" w:eastAsia="zh-CN"/>
      </w:rPr>
      <w:t xml:space="preserve"> </w:t>
    </w:r>
    <w:r>
      <w:rPr>
        <w:rFonts w:hint="eastAsia" w:eastAsiaTheme="minorEastAsia"/>
        <w:lang w:val="en-US" w:eastAsia="zh-CN"/>
      </w:rPr>
      <w:t>Summary</w:t>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rPr>
        <w:rFonts w:hint="default" w:eastAsiaTheme="minorEastAsia"/>
        <w:lang w:val="en-US" w:eastAsia="zh-CN"/>
      </w:rPr>
    </w:pPr>
    <w:r>
      <w:rPr>
        <w:rFonts w:hint="eastAsia"/>
      </w:rPr>
      <w:t>Strategic Management &amp; Sustainability (M3X9111)</w:t>
    </w:r>
    <w:r>
      <w:rPr>
        <w:rFonts w:hint="eastAsia"/>
        <w:lang w:val="en-US" w:eastAsia="zh-CN"/>
      </w:rPr>
      <w:t>·Jiankai gao·Main Body</w:t>
    </w:r>
  </w:p>
</w:hdr>
</file>

<file path=word/header4.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rPr>
        <w:rFonts w:hint="default" w:eastAsiaTheme="minorEastAsia"/>
        <w:lang w:val="en-US" w:eastAsia="zh-CN"/>
      </w:rPr>
    </w:pPr>
    <w:r>
      <w:rPr>
        <w:rFonts w:hint="eastAsia"/>
      </w:rPr>
      <w:t>Strategic Management &amp; Sustainability (M3X9111)</w:t>
    </w:r>
    <w:r>
      <w:rPr>
        <w:rFonts w:hint="eastAsia"/>
        <w:lang w:val="en-US" w:eastAsia="zh-CN"/>
      </w:rPr>
      <w:t>·Jiankai gao·Conclusion</w:t>
    </w:r>
  </w:p>
</w:hdr>
</file>

<file path=word/header5.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rPr>
        <w:rFonts w:hint="eastAsia"/>
      </w:rPr>
    </w:pPr>
    <w:r>
      <w:rPr>
        <w:rFonts w:hint="eastAsia"/>
      </w:rPr>
      <w:t>Strategic Management &amp; Sustainability (M3X9111)·Jiankai gao·</w:t>
    </w:r>
    <w:r>
      <w:rPr>
        <w:rFonts w:hint="eastAsia"/>
        <w:lang w:val="en-US" w:eastAsia="zh-CN"/>
      </w:rPr>
      <w:t>R</w:t>
    </w:r>
    <w:r>
      <w:rPr>
        <w:rFonts w:hint="eastAsia"/>
      </w:rPr>
      <w:t>eferences</w:t>
    </w:r>
  </w:p>
</w:hdr>
</file>

<file path=word/header6.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rPr>
        <w:rFonts w:hint="default"/>
        <w:lang w:val="en-US" w:eastAsia="zh-CN"/>
      </w:rPr>
    </w:pPr>
    <w:r>
      <w:rPr>
        <w:rFonts w:hint="eastAsia"/>
        <w:lang w:val="en-US" w:eastAsia="zh-CN"/>
      </w:rPr>
      <w:t>Strategic Management &amp; Sustainability (M3X9111)·Jiankai gao·References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bordersDoNotSurroundHeader w:val="1"/>
  <w:bordersDoNotSurroundFooter w:val="1"/>
  <w:documentProtection w:enforcement="0"/>
  <w:defaultTabStop w:val="420"/>
  <w:drawingGridHorizontalSpacing w:val="105"/>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62DD3"/>
    <w:rsid w:val="00015FDD"/>
    <w:rsid w:val="000331C4"/>
    <w:rsid w:val="00035438"/>
    <w:rsid w:val="00063E49"/>
    <w:rsid w:val="000656B0"/>
    <w:rsid w:val="00070F95"/>
    <w:rsid w:val="00094D7C"/>
    <w:rsid w:val="000D1B77"/>
    <w:rsid w:val="000E4B98"/>
    <w:rsid w:val="0014414D"/>
    <w:rsid w:val="00147918"/>
    <w:rsid w:val="00151F06"/>
    <w:rsid w:val="001559FA"/>
    <w:rsid w:val="001A4D07"/>
    <w:rsid w:val="001B1C1A"/>
    <w:rsid w:val="001B5F02"/>
    <w:rsid w:val="001C2F1B"/>
    <w:rsid w:val="00204DDF"/>
    <w:rsid w:val="002129FE"/>
    <w:rsid w:val="00216935"/>
    <w:rsid w:val="00225632"/>
    <w:rsid w:val="00226480"/>
    <w:rsid w:val="0024136B"/>
    <w:rsid w:val="0024585E"/>
    <w:rsid w:val="002903B0"/>
    <w:rsid w:val="002A6360"/>
    <w:rsid w:val="002C0B2D"/>
    <w:rsid w:val="002C1902"/>
    <w:rsid w:val="002C5643"/>
    <w:rsid w:val="002E0D1D"/>
    <w:rsid w:val="002E1342"/>
    <w:rsid w:val="002E6896"/>
    <w:rsid w:val="002E7F54"/>
    <w:rsid w:val="00330384"/>
    <w:rsid w:val="00342051"/>
    <w:rsid w:val="00357646"/>
    <w:rsid w:val="00377FB7"/>
    <w:rsid w:val="003A7A31"/>
    <w:rsid w:val="003B172C"/>
    <w:rsid w:val="003C5778"/>
    <w:rsid w:val="003D7A91"/>
    <w:rsid w:val="003E0BFB"/>
    <w:rsid w:val="003E5655"/>
    <w:rsid w:val="00434F73"/>
    <w:rsid w:val="00437A14"/>
    <w:rsid w:val="004409E6"/>
    <w:rsid w:val="00446FCF"/>
    <w:rsid w:val="0047026E"/>
    <w:rsid w:val="0047559A"/>
    <w:rsid w:val="00482517"/>
    <w:rsid w:val="00483D6F"/>
    <w:rsid w:val="004A14FB"/>
    <w:rsid w:val="004D4CB7"/>
    <w:rsid w:val="004D7597"/>
    <w:rsid w:val="00524D1B"/>
    <w:rsid w:val="00562DD3"/>
    <w:rsid w:val="00582D22"/>
    <w:rsid w:val="005A3C0E"/>
    <w:rsid w:val="005A4740"/>
    <w:rsid w:val="005D4F26"/>
    <w:rsid w:val="005D7E7F"/>
    <w:rsid w:val="005E5250"/>
    <w:rsid w:val="005F74A0"/>
    <w:rsid w:val="00600FD9"/>
    <w:rsid w:val="00661E6F"/>
    <w:rsid w:val="006660EC"/>
    <w:rsid w:val="00673C73"/>
    <w:rsid w:val="006B1AC2"/>
    <w:rsid w:val="006D677C"/>
    <w:rsid w:val="006D6A80"/>
    <w:rsid w:val="006D716A"/>
    <w:rsid w:val="006E186F"/>
    <w:rsid w:val="00711D6D"/>
    <w:rsid w:val="0071381D"/>
    <w:rsid w:val="007247CD"/>
    <w:rsid w:val="00742EF7"/>
    <w:rsid w:val="00762AA4"/>
    <w:rsid w:val="00762E82"/>
    <w:rsid w:val="00773F0C"/>
    <w:rsid w:val="00790A22"/>
    <w:rsid w:val="007A5FD3"/>
    <w:rsid w:val="0081186E"/>
    <w:rsid w:val="00816D85"/>
    <w:rsid w:val="00843B18"/>
    <w:rsid w:val="00843C10"/>
    <w:rsid w:val="00847CDD"/>
    <w:rsid w:val="00856F42"/>
    <w:rsid w:val="00860089"/>
    <w:rsid w:val="0087714F"/>
    <w:rsid w:val="0088565A"/>
    <w:rsid w:val="008904FC"/>
    <w:rsid w:val="00892EC4"/>
    <w:rsid w:val="0089453C"/>
    <w:rsid w:val="00896CEC"/>
    <w:rsid w:val="008C1023"/>
    <w:rsid w:val="008D11C7"/>
    <w:rsid w:val="008D5BCD"/>
    <w:rsid w:val="008E1C9A"/>
    <w:rsid w:val="008F1261"/>
    <w:rsid w:val="008F3F30"/>
    <w:rsid w:val="00944A63"/>
    <w:rsid w:val="0094625E"/>
    <w:rsid w:val="009464DC"/>
    <w:rsid w:val="0094678D"/>
    <w:rsid w:val="00955214"/>
    <w:rsid w:val="00957742"/>
    <w:rsid w:val="00960443"/>
    <w:rsid w:val="0096299C"/>
    <w:rsid w:val="0096433A"/>
    <w:rsid w:val="009B75CA"/>
    <w:rsid w:val="009C620A"/>
    <w:rsid w:val="009E08D8"/>
    <w:rsid w:val="009E4326"/>
    <w:rsid w:val="009E6500"/>
    <w:rsid w:val="009F030A"/>
    <w:rsid w:val="00A263C1"/>
    <w:rsid w:val="00A41D48"/>
    <w:rsid w:val="00A71927"/>
    <w:rsid w:val="00A71A19"/>
    <w:rsid w:val="00A767AB"/>
    <w:rsid w:val="00A93095"/>
    <w:rsid w:val="00AB274A"/>
    <w:rsid w:val="00AE33A5"/>
    <w:rsid w:val="00AF3671"/>
    <w:rsid w:val="00AF5976"/>
    <w:rsid w:val="00AF74B4"/>
    <w:rsid w:val="00B034AE"/>
    <w:rsid w:val="00B21044"/>
    <w:rsid w:val="00B2653D"/>
    <w:rsid w:val="00B33D81"/>
    <w:rsid w:val="00B626F9"/>
    <w:rsid w:val="00B741DE"/>
    <w:rsid w:val="00B820E3"/>
    <w:rsid w:val="00B943CD"/>
    <w:rsid w:val="00BA5CB8"/>
    <w:rsid w:val="00BC0803"/>
    <w:rsid w:val="00BF3E10"/>
    <w:rsid w:val="00C036A2"/>
    <w:rsid w:val="00C334A3"/>
    <w:rsid w:val="00C41FC7"/>
    <w:rsid w:val="00C5365F"/>
    <w:rsid w:val="00C536EA"/>
    <w:rsid w:val="00C54768"/>
    <w:rsid w:val="00C85322"/>
    <w:rsid w:val="00C904B0"/>
    <w:rsid w:val="00CA31F9"/>
    <w:rsid w:val="00CA4754"/>
    <w:rsid w:val="00CB1A3F"/>
    <w:rsid w:val="00CF63C1"/>
    <w:rsid w:val="00D73D08"/>
    <w:rsid w:val="00D90E7B"/>
    <w:rsid w:val="00DA68C3"/>
    <w:rsid w:val="00DB4EA9"/>
    <w:rsid w:val="00E01F3E"/>
    <w:rsid w:val="00E037D2"/>
    <w:rsid w:val="00E14260"/>
    <w:rsid w:val="00E20C59"/>
    <w:rsid w:val="00E70677"/>
    <w:rsid w:val="00E717ED"/>
    <w:rsid w:val="00E72068"/>
    <w:rsid w:val="00E93599"/>
    <w:rsid w:val="00EA4F61"/>
    <w:rsid w:val="00EC7E5C"/>
    <w:rsid w:val="00EE3AE0"/>
    <w:rsid w:val="00EF40BA"/>
    <w:rsid w:val="00F0349F"/>
    <w:rsid w:val="00F2142C"/>
    <w:rsid w:val="00F545AA"/>
    <w:rsid w:val="00F5553C"/>
    <w:rsid w:val="00F63A3B"/>
    <w:rsid w:val="00F66D98"/>
    <w:rsid w:val="00F67AA0"/>
    <w:rsid w:val="00F96B95"/>
    <w:rsid w:val="00FB2E53"/>
    <w:rsid w:val="00FC4AB3"/>
    <w:rsid w:val="1DEA7A51"/>
    <w:rsid w:val="3FF220D6"/>
    <w:rsid w:val="6E4D6A96"/>
    <w:rsid w:val="784A3F4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HAnsi"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qFormat="1"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2"/>
      <w:lang w:val="en-GB" w:eastAsia="zh-CN" w:bidi="ar-SA"/>
    </w:rPr>
  </w:style>
  <w:style w:type="paragraph" w:styleId="2">
    <w:name w:val="heading 1"/>
    <w:basedOn w:val="1"/>
    <w:next w:val="1"/>
    <w:link w:val="16"/>
    <w:qFormat/>
    <w:uiPriority w:val="9"/>
    <w:pPr>
      <w:keepNext/>
      <w:keepLines/>
      <w:spacing w:before="340" w:after="330" w:line="578" w:lineRule="auto"/>
      <w:outlineLvl w:val="0"/>
    </w:pPr>
    <w:rPr>
      <w:b/>
      <w:bCs/>
      <w:kern w:val="44"/>
      <w:sz w:val="44"/>
      <w:szCs w:val="44"/>
    </w:rPr>
  </w:style>
  <w:style w:type="paragraph" w:styleId="3">
    <w:name w:val="heading 2"/>
    <w:basedOn w:val="1"/>
    <w:next w:val="1"/>
    <w:link w:val="17"/>
    <w:semiHidden/>
    <w:unhideWhenUsed/>
    <w:qFormat/>
    <w:uiPriority w:val="9"/>
    <w:pPr>
      <w:keepNext/>
      <w:keepLines/>
      <w:spacing w:before="260" w:after="260" w:line="416" w:lineRule="auto"/>
      <w:outlineLvl w:val="1"/>
    </w:pPr>
    <w:rPr>
      <w:rFonts w:asciiTheme="majorHAnsi" w:hAnsiTheme="majorHAnsi" w:eastAsiaTheme="majorEastAsia" w:cstheme="majorBidi"/>
      <w:b/>
      <w:bCs/>
      <w:sz w:val="32"/>
      <w:szCs w:val="32"/>
    </w:rPr>
  </w:style>
  <w:style w:type="character" w:default="1" w:styleId="8">
    <w:name w:val="Default Paragraph Font"/>
    <w:unhideWhenUsed/>
    <w:qFormat/>
    <w:uiPriority w:val="1"/>
  </w:style>
  <w:style w:type="table" w:default="1" w:styleId="11">
    <w:name w:val="Normal Table"/>
    <w:semiHidden/>
    <w:unhideWhenUsed/>
    <w:uiPriority w:val="99"/>
    <w:tblPr>
      <w:tblLayout w:type="fixed"/>
      <w:tblCellMar>
        <w:top w:w="0" w:type="dxa"/>
        <w:left w:w="108" w:type="dxa"/>
        <w:bottom w:w="0" w:type="dxa"/>
        <w:right w:w="108" w:type="dxa"/>
      </w:tblCellMar>
    </w:tblPr>
  </w:style>
  <w:style w:type="paragraph" w:styleId="4">
    <w:name w:val="footer"/>
    <w:basedOn w:val="1"/>
    <w:link w:val="13"/>
    <w:unhideWhenUsed/>
    <w:uiPriority w:val="99"/>
    <w:pPr>
      <w:tabs>
        <w:tab w:val="center" w:pos="4153"/>
        <w:tab w:val="right" w:pos="8306"/>
      </w:tabs>
      <w:snapToGrid w:val="0"/>
      <w:jc w:val="left"/>
    </w:pPr>
    <w:rPr>
      <w:sz w:val="18"/>
      <w:szCs w:val="18"/>
    </w:rPr>
  </w:style>
  <w:style w:type="paragraph" w:styleId="5">
    <w:name w:val="header"/>
    <w:basedOn w:val="1"/>
    <w:link w:val="12"/>
    <w:unhideWhenUsed/>
    <w:qFormat/>
    <w:uiPriority w:val="99"/>
    <w:pPr>
      <w:pBdr>
        <w:bottom w:val="single" w:color="auto" w:sz="6" w:space="1"/>
      </w:pBdr>
      <w:tabs>
        <w:tab w:val="center" w:pos="4153"/>
        <w:tab w:val="right" w:pos="8306"/>
      </w:tabs>
      <w:snapToGrid w:val="0"/>
      <w:jc w:val="center"/>
    </w:pPr>
    <w:rPr>
      <w:sz w:val="18"/>
      <w:szCs w:val="18"/>
    </w:rPr>
  </w:style>
  <w:style w:type="paragraph" w:styleId="6">
    <w:name w:val="toc 1"/>
    <w:basedOn w:val="1"/>
    <w:next w:val="1"/>
    <w:unhideWhenUsed/>
    <w:qFormat/>
    <w:uiPriority w:val="39"/>
  </w:style>
  <w:style w:type="paragraph" w:styleId="7">
    <w:name w:val="toc 2"/>
    <w:basedOn w:val="1"/>
    <w:next w:val="1"/>
    <w:unhideWhenUsed/>
    <w:uiPriority w:val="39"/>
    <w:pPr>
      <w:ind w:left="420" w:leftChars="200"/>
    </w:pPr>
  </w:style>
  <w:style w:type="character" w:styleId="9">
    <w:name w:val="FollowedHyperlink"/>
    <w:basedOn w:val="8"/>
    <w:semiHidden/>
    <w:unhideWhenUsed/>
    <w:qFormat/>
    <w:uiPriority w:val="99"/>
    <w:rPr>
      <w:color w:val="954F72" w:themeColor="followedHyperlink"/>
      <w:u w:val="single"/>
      <w14:textFill>
        <w14:solidFill>
          <w14:schemeClr w14:val="folHlink"/>
        </w14:solidFill>
      </w14:textFill>
    </w:rPr>
  </w:style>
  <w:style w:type="character" w:styleId="10">
    <w:name w:val="Hyperlink"/>
    <w:basedOn w:val="8"/>
    <w:unhideWhenUsed/>
    <w:qFormat/>
    <w:uiPriority w:val="99"/>
    <w:rPr>
      <w:color w:val="0563C1" w:themeColor="hyperlink"/>
      <w:u w:val="single"/>
      <w14:textFill>
        <w14:solidFill>
          <w14:schemeClr w14:val="hlink"/>
        </w14:solidFill>
      </w14:textFill>
    </w:rPr>
  </w:style>
  <w:style w:type="character" w:customStyle="1" w:styleId="12">
    <w:name w:val="页眉 字符"/>
    <w:basedOn w:val="8"/>
    <w:link w:val="5"/>
    <w:uiPriority w:val="99"/>
    <w:rPr>
      <w:sz w:val="18"/>
      <w:szCs w:val="18"/>
      <w:lang w:val="en-GB"/>
    </w:rPr>
  </w:style>
  <w:style w:type="character" w:customStyle="1" w:styleId="13">
    <w:name w:val="页脚 字符"/>
    <w:basedOn w:val="8"/>
    <w:link w:val="4"/>
    <w:uiPriority w:val="99"/>
    <w:rPr>
      <w:sz w:val="18"/>
      <w:szCs w:val="18"/>
      <w:lang w:val="en-GB"/>
    </w:rPr>
  </w:style>
  <w:style w:type="character" w:customStyle="1" w:styleId="14">
    <w:name w:val="Unresolved Mention"/>
    <w:basedOn w:val="8"/>
    <w:semiHidden/>
    <w:unhideWhenUsed/>
    <w:uiPriority w:val="99"/>
    <w:rPr>
      <w:color w:val="605E5C"/>
      <w:shd w:val="clear" w:color="auto" w:fill="E1DFDD"/>
    </w:rPr>
  </w:style>
  <w:style w:type="paragraph" w:styleId="15">
    <w:name w:val="List Paragraph"/>
    <w:basedOn w:val="1"/>
    <w:qFormat/>
    <w:uiPriority w:val="34"/>
    <w:pPr>
      <w:ind w:firstLine="420" w:firstLineChars="200"/>
    </w:pPr>
  </w:style>
  <w:style w:type="character" w:customStyle="1" w:styleId="16">
    <w:name w:val="标题 1 字符"/>
    <w:basedOn w:val="8"/>
    <w:link w:val="2"/>
    <w:uiPriority w:val="9"/>
    <w:rPr>
      <w:b/>
      <w:bCs/>
      <w:kern w:val="44"/>
      <w:sz w:val="44"/>
      <w:szCs w:val="44"/>
      <w:lang w:val="en-GB"/>
    </w:rPr>
  </w:style>
  <w:style w:type="character" w:customStyle="1" w:styleId="17">
    <w:name w:val="标题 2 字符"/>
    <w:basedOn w:val="8"/>
    <w:link w:val="3"/>
    <w:semiHidden/>
    <w:qFormat/>
    <w:uiPriority w:val="9"/>
    <w:rPr>
      <w:rFonts w:asciiTheme="majorHAnsi" w:hAnsiTheme="majorHAnsi" w:eastAsiaTheme="majorEastAsia" w:cstheme="majorBidi"/>
      <w:b/>
      <w:bCs/>
      <w:sz w:val="32"/>
      <w:szCs w:val="32"/>
      <w:lang w:val="en-GB"/>
    </w:rPr>
  </w:style>
  <w:style w:type="paragraph" w:customStyle="1" w:styleId="18">
    <w:name w:val="TOC Heading"/>
    <w:basedOn w:val="2"/>
    <w:next w:val="1"/>
    <w:unhideWhenUsed/>
    <w:qFormat/>
    <w:uiPriority w:val="39"/>
    <w:pPr>
      <w:widowControl/>
      <w:spacing w:before="240" w:after="0" w:line="259" w:lineRule="auto"/>
      <w:jc w:val="left"/>
      <w:outlineLvl w:val="9"/>
    </w:pPr>
    <w:rPr>
      <w:rFonts w:asciiTheme="majorHAnsi" w:hAnsiTheme="majorHAnsi" w:eastAsiaTheme="majorEastAsia" w:cstheme="majorBidi"/>
      <w:b w:val="0"/>
      <w:bCs w:val="0"/>
      <w:color w:val="2F5597" w:themeColor="accent1" w:themeShade="BF"/>
      <w:kern w:val="0"/>
      <w:sz w:val="32"/>
      <w:szCs w:val="32"/>
      <w:lang w:val="en-US"/>
    </w:rPr>
  </w:style>
  <w:style w:type="paragraph" w:styleId="19">
    <w:name w:val="No Spacing"/>
    <w:link w:val="20"/>
    <w:qFormat/>
    <w:uiPriority w:val="1"/>
    <w:rPr>
      <w:rFonts w:asciiTheme="minorHAnsi" w:hAnsiTheme="minorHAnsi" w:eastAsiaTheme="minorEastAsia" w:cstheme="minorBidi"/>
      <w:kern w:val="0"/>
      <w:sz w:val="22"/>
      <w:szCs w:val="22"/>
      <w:lang w:val="en-US" w:eastAsia="zh-CN" w:bidi="ar-SA"/>
    </w:rPr>
  </w:style>
  <w:style w:type="character" w:customStyle="1" w:styleId="20">
    <w:name w:val="无间隔 字符"/>
    <w:basedOn w:val="8"/>
    <w:link w:val="19"/>
    <w:uiPriority w:val="1"/>
    <w:rPr>
      <w:kern w:val="0"/>
      <w:sz w:val="22"/>
    </w:rPr>
  </w:style>
  <w:style w:type="paragraph" w:customStyle="1" w:styleId="21">
    <w:name w:val="WPSOffice Manual Table 1"/>
    <w:uiPriority w:val="0"/>
    <w:pPr>
      <w:ind w:leftChars="0"/>
    </w:pPr>
    <w:rPr>
      <w:sz w:val="20"/>
      <w:szCs w:val="20"/>
    </w:rPr>
  </w:style>
  <w:style w:type="paragraph" w:customStyle="1" w:styleId="22">
    <w:name w:val="WPSOffice Manual Table 2"/>
    <w:uiPriority w:val="0"/>
    <w:pPr>
      <w:ind w:leftChars="200"/>
    </w:pPr>
    <w:rPr>
      <w:sz w:val="20"/>
      <w:szCs w:val="20"/>
    </w:rPr>
  </w:style>
</w:styles>
</file>

<file path=word/_rels/document.xml.rels><?xml version="1.0" encoding="UTF-8" standalone="yes"?>
<Relationships xmlns="http://schemas.openxmlformats.org/package/2006/relationships"><Relationship Id="rId9" Type="http://schemas.openxmlformats.org/officeDocument/2006/relationships/footer" Target="footer4.xml"/><Relationship Id="rId8" Type="http://schemas.openxmlformats.org/officeDocument/2006/relationships/footer" Target="footer3.xml"/><Relationship Id="rId7" Type="http://schemas.openxmlformats.org/officeDocument/2006/relationships/header" Target="header3.xml"/><Relationship Id="rId6" Type="http://schemas.openxmlformats.org/officeDocument/2006/relationships/header" Target="header2.xml"/><Relationship Id="rId5" Type="http://schemas.openxmlformats.org/officeDocument/2006/relationships/footer" Target="footer2.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7" Type="http://schemas.openxmlformats.org/officeDocument/2006/relationships/fontTable" Target="fontTable.xml"/><Relationship Id="rId16" Type="http://schemas.openxmlformats.org/officeDocument/2006/relationships/customXml" Target="../customXml/item2.xml"/><Relationship Id="rId15" Type="http://schemas.openxmlformats.org/officeDocument/2006/relationships/customXml" Target="../customXml/item1.xml"/><Relationship Id="rId14" Type="http://schemas.openxmlformats.org/officeDocument/2006/relationships/image" Target="media/image1.png"/><Relationship Id="rId13" Type="http://schemas.openxmlformats.org/officeDocument/2006/relationships/theme" Target="theme/theme1.xml"/><Relationship Id="rId12" Type="http://schemas.openxmlformats.org/officeDocument/2006/relationships/header" Target="header6.xml"/><Relationship Id="rId11" Type="http://schemas.openxmlformats.org/officeDocument/2006/relationships/header" Target="header5.xml"/><Relationship Id="rId10" Type="http://schemas.openxmlformats.org/officeDocument/2006/relationships/header" Target="header4.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
    <customSectPr/>
    <customSectPr/>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35A6707E-971D-41A8-A792-EAA999172D28}">
  <ds:schemaRefs/>
</ds:datastoreItem>
</file>

<file path=docProps/app.xml><?xml version="1.0" encoding="utf-8"?>
<Properties xmlns="http://schemas.openxmlformats.org/officeDocument/2006/extended-properties" xmlns:vt="http://schemas.openxmlformats.org/officeDocument/2006/docPropsVTypes">
  <Template>Normal.dotm</Template>
  <Pages>14</Pages>
  <Words>4062</Words>
  <Characters>23154</Characters>
  <Lines>192</Lines>
  <Paragraphs>54</Paragraphs>
  <TotalTime>15</TotalTime>
  <ScaleCrop>false</ScaleCrop>
  <LinksUpToDate>false</LinksUpToDate>
  <CharactersWithSpaces>27162</CharactersWithSpaces>
  <Application>WPS Office_11.2.0.8341_F1E327BC-269C-435d-A152-05C5408002CA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2019-11-22T08:17:00Z</dcterms:created>
  <dc:creator>厚霖 吕</dc:creator>
  <cp:lastModifiedBy>11707</cp:lastModifiedBy>
  <dcterms:modified xsi:type="dcterms:W3CDTF">2019-11-26T15:05:26Z</dcterms:modified>
  <cp:revision>51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1033-11.2.0.8341</vt:lpwstr>
  </property>
</Properties>
</file>