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4EE" w:rsidRPr="00B154EE" w:rsidRDefault="00B154EE" w:rsidP="00636C0F">
      <w:pPr>
        <w:pStyle w:val="Normal1"/>
        <w:spacing w:line="360" w:lineRule="auto"/>
        <w:jc w:val="both"/>
        <w:rPr>
          <w:rFonts w:ascii="Times New Roman" w:hAnsi="Times New Roman" w:cs="Times New Roman"/>
          <w:b/>
          <w:sz w:val="24"/>
          <w:szCs w:val="24"/>
        </w:rPr>
      </w:pPr>
      <w:bookmarkStart w:id="0" w:name="_GoBack"/>
    </w:p>
    <w:p w:rsidR="004F558F" w:rsidRDefault="004F558F" w:rsidP="00636C0F">
      <w:pPr>
        <w:spacing w:line="360" w:lineRule="auto"/>
        <w:jc w:val="center"/>
        <w:rPr>
          <w:rFonts w:ascii="Times New Roman" w:hAnsi="Times New Roman" w:cs="Times New Roman"/>
          <w:b/>
          <w:sz w:val="32"/>
          <w:szCs w:val="32"/>
        </w:rPr>
      </w:pPr>
    </w:p>
    <w:p w:rsidR="004F558F" w:rsidRDefault="004F558F" w:rsidP="00636C0F">
      <w:pPr>
        <w:spacing w:line="360" w:lineRule="auto"/>
        <w:jc w:val="center"/>
        <w:rPr>
          <w:rFonts w:ascii="Times New Roman" w:hAnsi="Times New Roman" w:cs="Times New Roman"/>
          <w:b/>
          <w:sz w:val="32"/>
          <w:szCs w:val="32"/>
        </w:rPr>
      </w:pPr>
    </w:p>
    <w:p w:rsidR="004F558F" w:rsidRDefault="004F558F" w:rsidP="00636C0F">
      <w:pPr>
        <w:spacing w:line="360" w:lineRule="auto"/>
        <w:jc w:val="center"/>
        <w:rPr>
          <w:rFonts w:ascii="Times New Roman" w:hAnsi="Times New Roman" w:cs="Times New Roman"/>
          <w:b/>
          <w:sz w:val="32"/>
          <w:szCs w:val="32"/>
        </w:rPr>
      </w:pPr>
    </w:p>
    <w:p w:rsidR="004F558F" w:rsidRDefault="004F558F" w:rsidP="00636C0F">
      <w:pPr>
        <w:spacing w:line="360" w:lineRule="auto"/>
        <w:jc w:val="center"/>
        <w:rPr>
          <w:rFonts w:ascii="Times New Roman" w:hAnsi="Times New Roman" w:cs="Times New Roman"/>
          <w:b/>
          <w:sz w:val="32"/>
          <w:szCs w:val="32"/>
        </w:rPr>
      </w:pPr>
    </w:p>
    <w:p w:rsidR="004F558F" w:rsidRDefault="004F558F" w:rsidP="00636C0F">
      <w:pPr>
        <w:spacing w:line="360" w:lineRule="auto"/>
        <w:jc w:val="center"/>
        <w:rPr>
          <w:rFonts w:ascii="Times New Roman" w:hAnsi="Times New Roman" w:cs="Times New Roman"/>
          <w:b/>
          <w:sz w:val="32"/>
          <w:szCs w:val="32"/>
        </w:rPr>
      </w:pPr>
    </w:p>
    <w:p w:rsidR="004F558F" w:rsidRDefault="004F558F" w:rsidP="00636C0F">
      <w:pPr>
        <w:spacing w:line="360" w:lineRule="auto"/>
        <w:jc w:val="center"/>
        <w:rPr>
          <w:rFonts w:ascii="Times New Roman" w:hAnsi="Times New Roman" w:cs="Times New Roman"/>
          <w:b/>
          <w:sz w:val="32"/>
          <w:szCs w:val="32"/>
        </w:rPr>
      </w:pPr>
    </w:p>
    <w:p w:rsidR="004F558F" w:rsidRDefault="004F558F" w:rsidP="00636C0F">
      <w:pPr>
        <w:spacing w:line="360" w:lineRule="auto"/>
        <w:jc w:val="center"/>
        <w:rPr>
          <w:rFonts w:ascii="Times New Roman" w:hAnsi="Times New Roman" w:cs="Times New Roman"/>
          <w:b/>
          <w:sz w:val="32"/>
          <w:szCs w:val="32"/>
        </w:rPr>
      </w:pPr>
    </w:p>
    <w:p w:rsidR="004F558F" w:rsidRDefault="004F558F" w:rsidP="00636C0F">
      <w:pPr>
        <w:spacing w:line="360" w:lineRule="auto"/>
        <w:jc w:val="center"/>
        <w:rPr>
          <w:rFonts w:ascii="Times New Roman" w:hAnsi="Times New Roman" w:cs="Times New Roman"/>
          <w:b/>
          <w:sz w:val="32"/>
          <w:szCs w:val="32"/>
        </w:rPr>
      </w:pPr>
    </w:p>
    <w:p w:rsidR="004F558F" w:rsidRDefault="00582FC5" w:rsidP="00636C0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Code:LCBB5005</w:t>
      </w:r>
      <w:r>
        <w:rPr>
          <w:rFonts w:ascii="Times New Roman" w:hAnsi="Times New Roman" w:cs="Times New Roman"/>
          <w:b/>
          <w:sz w:val="32"/>
          <w:szCs w:val="32"/>
        </w:rPr>
        <w:tab/>
      </w:r>
    </w:p>
    <w:p w:rsidR="00582FC5" w:rsidRDefault="00582FC5" w:rsidP="00636C0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Name:Project Management</w:t>
      </w:r>
    </w:p>
    <w:p w:rsidR="00582FC5" w:rsidRDefault="00582FC5" w:rsidP="00636C0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Tutor:Sadeque Imam Shaikh</w:t>
      </w:r>
    </w:p>
    <w:p w:rsidR="00582FC5" w:rsidRDefault="00582FC5" w:rsidP="00636C0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Title:Component: Essay 1</w:t>
      </w:r>
    </w:p>
    <w:p w:rsidR="00582FC5" w:rsidRDefault="00582FC5" w:rsidP="00636C0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Name:Angel Angelov</w:t>
      </w:r>
    </w:p>
    <w:p w:rsidR="00582FC5" w:rsidRDefault="00582FC5" w:rsidP="00636C0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Number:2120247</w:t>
      </w:r>
    </w:p>
    <w:p w:rsidR="00582FC5" w:rsidRPr="004F558F" w:rsidRDefault="00582FC5" w:rsidP="00636C0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University of Wales Trinity Saint David</w:t>
      </w:r>
    </w:p>
    <w:p w:rsidR="00B154EE" w:rsidRDefault="004F558F" w:rsidP="00636C0F">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sdt>
      <w:sdtPr>
        <w:rPr>
          <w:rFonts w:ascii="Arial" w:eastAsia="Arial" w:hAnsi="Arial" w:cs="Arial"/>
          <w:b w:val="0"/>
          <w:bCs w:val="0"/>
          <w:color w:val="auto"/>
          <w:sz w:val="22"/>
          <w:szCs w:val="22"/>
        </w:rPr>
        <w:id w:val="1814026206"/>
        <w:docPartObj>
          <w:docPartGallery w:val="Table of Contents"/>
          <w:docPartUnique/>
        </w:docPartObj>
      </w:sdtPr>
      <w:sdtContent>
        <w:p w:rsidR="00575674" w:rsidRDefault="00575674" w:rsidP="00636C0F">
          <w:pPr>
            <w:pStyle w:val="a9"/>
            <w:spacing w:line="360" w:lineRule="auto"/>
            <w:jc w:val="center"/>
          </w:pPr>
          <w:r w:rsidRPr="00575674">
            <w:rPr>
              <w:rFonts w:ascii="Times New Roman" w:hAnsi="Times New Roman" w:cs="Times New Roman"/>
              <w:color w:val="auto"/>
            </w:rPr>
            <w:t>Table of Contents</w:t>
          </w:r>
        </w:p>
        <w:p w:rsidR="00575674" w:rsidRPr="00575674" w:rsidRDefault="006049F4" w:rsidP="00636C0F">
          <w:pPr>
            <w:pStyle w:val="10"/>
            <w:tabs>
              <w:tab w:val="right" w:leader="dot" w:pos="9350"/>
            </w:tabs>
            <w:spacing w:line="360" w:lineRule="auto"/>
            <w:rPr>
              <w:rFonts w:ascii="Times New Roman" w:hAnsi="Times New Roman" w:cs="Times New Roman"/>
              <w:noProof/>
              <w:sz w:val="24"/>
              <w:szCs w:val="24"/>
            </w:rPr>
          </w:pPr>
          <w:r>
            <w:fldChar w:fldCharType="begin"/>
          </w:r>
          <w:r w:rsidR="00575674">
            <w:instrText xml:space="preserve"> TOC \o "1-3" \h \z \u </w:instrText>
          </w:r>
          <w:r>
            <w:fldChar w:fldCharType="separate"/>
          </w:r>
          <w:hyperlink w:anchor="_Toc151242053" w:history="1">
            <w:r w:rsidR="00575674" w:rsidRPr="00575674">
              <w:rPr>
                <w:rStyle w:val="aa"/>
                <w:rFonts w:ascii="Times New Roman" w:hAnsi="Times New Roman" w:cs="Times New Roman"/>
                <w:noProof/>
                <w:sz w:val="24"/>
                <w:szCs w:val="24"/>
              </w:rPr>
              <w:t>Introduction</w:t>
            </w:r>
            <w:r w:rsidR="00575674" w:rsidRPr="00575674">
              <w:rPr>
                <w:rFonts w:ascii="Times New Roman" w:hAnsi="Times New Roman" w:cs="Times New Roman"/>
                <w:noProof/>
                <w:webHidden/>
                <w:sz w:val="24"/>
                <w:szCs w:val="24"/>
              </w:rPr>
              <w:tab/>
            </w:r>
            <w:r w:rsidRPr="00575674">
              <w:rPr>
                <w:rFonts w:ascii="Times New Roman" w:hAnsi="Times New Roman" w:cs="Times New Roman"/>
                <w:noProof/>
                <w:webHidden/>
                <w:sz w:val="24"/>
                <w:szCs w:val="24"/>
              </w:rPr>
              <w:fldChar w:fldCharType="begin"/>
            </w:r>
            <w:r w:rsidR="00575674" w:rsidRPr="00575674">
              <w:rPr>
                <w:rFonts w:ascii="Times New Roman" w:hAnsi="Times New Roman" w:cs="Times New Roman"/>
                <w:noProof/>
                <w:webHidden/>
                <w:sz w:val="24"/>
                <w:szCs w:val="24"/>
              </w:rPr>
              <w:instrText xml:space="preserve"> PAGEREF _Toc151242053 \h </w:instrText>
            </w:r>
            <w:r w:rsidRPr="00575674">
              <w:rPr>
                <w:rFonts w:ascii="Times New Roman" w:hAnsi="Times New Roman" w:cs="Times New Roman"/>
                <w:noProof/>
                <w:webHidden/>
                <w:sz w:val="24"/>
                <w:szCs w:val="24"/>
              </w:rPr>
            </w:r>
            <w:r w:rsidRPr="00575674">
              <w:rPr>
                <w:rFonts w:ascii="Times New Roman" w:hAnsi="Times New Roman" w:cs="Times New Roman"/>
                <w:noProof/>
                <w:webHidden/>
                <w:sz w:val="24"/>
                <w:szCs w:val="24"/>
              </w:rPr>
              <w:fldChar w:fldCharType="separate"/>
            </w:r>
            <w:r w:rsidR="00575674" w:rsidRPr="00575674">
              <w:rPr>
                <w:rFonts w:ascii="Times New Roman" w:hAnsi="Times New Roman" w:cs="Times New Roman"/>
                <w:noProof/>
                <w:webHidden/>
                <w:sz w:val="24"/>
                <w:szCs w:val="24"/>
              </w:rPr>
              <w:t>2</w:t>
            </w:r>
            <w:r w:rsidRPr="00575674">
              <w:rPr>
                <w:rFonts w:ascii="Times New Roman" w:hAnsi="Times New Roman" w:cs="Times New Roman"/>
                <w:noProof/>
                <w:webHidden/>
                <w:sz w:val="24"/>
                <w:szCs w:val="24"/>
              </w:rPr>
              <w:fldChar w:fldCharType="end"/>
            </w:r>
          </w:hyperlink>
        </w:p>
        <w:p w:rsidR="00575674" w:rsidRPr="00575674" w:rsidRDefault="006049F4" w:rsidP="00636C0F">
          <w:pPr>
            <w:pStyle w:val="10"/>
            <w:tabs>
              <w:tab w:val="right" w:leader="dot" w:pos="9350"/>
            </w:tabs>
            <w:spacing w:line="360" w:lineRule="auto"/>
            <w:rPr>
              <w:rFonts w:ascii="Times New Roman" w:hAnsi="Times New Roman" w:cs="Times New Roman"/>
              <w:noProof/>
              <w:sz w:val="24"/>
              <w:szCs w:val="24"/>
            </w:rPr>
          </w:pPr>
          <w:hyperlink w:anchor="_Toc151242054" w:history="1">
            <w:r w:rsidR="00575674" w:rsidRPr="00575674">
              <w:rPr>
                <w:rStyle w:val="aa"/>
                <w:rFonts w:ascii="Times New Roman" w:hAnsi="Times New Roman" w:cs="Times New Roman"/>
                <w:noProof/>
                <w:sz w:val="24"/>
                <w:szCs w:val="24"/>
              </w:rPr>
              <w:t>Main body</w:t>
            </w:r>
            <w:r w:rsidR="00575674" w:rsidRPr="00575674">
              <w:rPr>
                <w:rFonts w:ascii="Times New Roman" w:hAnsi="Times New Roman" w:cs="Times New Roman"/>
                <w:noProof/>
                <w:webHidden/>
                <w:sz w:val="24"/>
                <w:szCs w:val="24"/>
              </w:rPr>
              <w:tab/>
            </w:r>
            <w:r w:rsidRPr="00575674">
              <w:rPr>
                <w:rFonts w:ascii="Times New Roman" w:hAnsi="Times New Roman" w:cs="Times New Roman"/>
                <w:noProof/>
                <w:webHidden/>
                <w:sz w:val="24"/>
                <w:szCs w:val="24"/>
              </w:rPr>
              <w:fldChar w:fldCharType="begin"/>
            </w:r>
            <w:r w:rsidR="00575674" w:rsidRPr="00575674">
              <w:rPr>
                <w:rFonts w:ascii="Times New Roman" w:hAnsi="Times New Roman" w:cs="Times New Roman"/>
                <w:noProof/>
                <w:webHidden/>
                <w:sz w:val="24"/>
                <w:szCs w:val="24"/>
              </w:rPr>
              <w:instrText xml:space="preserve"> PAGEREF _Toc151242054 \h </w:instrText>
            </w:r>
            <w:r w:rsidRPr="00575674">
              <w:rPr>
                <w:rFonts w:ascii="Times New Roman" w:hAnsi="Times New Roman" w:cs="Times New Roman"/>
                <w:noProof/>
                <w:webHidden/>
                <w:sz w:val="24"/>
                <w:szCs w:val="24"/>
              </w:rPr>
            </w:r>
            <w:r w:rsidRPr="00575674">
              <w:rPr>
                <w:rFonts w:ascii="Times New Roman" w:hAnsi="Times New Roman" w:cs="Times New Roman"/>
                <w:noProof/>
                <w:webHidden/>
                <w:sz w:val="24"/>
                <w:szCs w:val="24"/>
              </w:rPr>
              <w:fldChar w:fldCharType="separate"/>
            </w:r>
            <w:r w:rsidR="00575674" w:rsidRPr="00575674">
              <w:rPr>
                <w:rFonts w:ascii="Times New Roman" w:hAnsi="Times New Roman" w:cs="Times New Roman"/>
                <w:noProof/>
                <w:webHidden/>
                <w:sz w:val="24"/>
                <w:szCs w:val="24"/>
              </w:rPr>
              <w:t>2</w:t>
            </w:r>
            <w:r w:rsidRPr="00575674">
              <w:rPr>
                <w:rFonts w:ascii="Times New Roman" w:hAnsi="Times New Roman" w:cs="Times New Roman"/>
                <w:noProof/>
                <w:webHidden/>
                <w:sz w:val="24"/>
                <w:szCs w:val="24"/>
              </w:rPr>
              <w:fldChar w:fldCharType="end"/>
            </w:r>
          </w:hyperlink>
        </w:p>
        <w:p w:rsidR="00575674" w:rsidRPr="00575674" w:rsidRDefault="006049F4" w:rsidP="00636C0F">
          <w:pPr>
            <w:pStyle w:val="10"/>
            <w:tabs>
              <w:tab w:val="right" w:leader="dot" w:pos="9350"/>
            </w:tabs>
            <w:spacing w:line="360" w:lineRule="auto"/>
            <w:rPr>
              <w:rFonts w:ascii="Times New Roman" w:hAnsi="Times New Roman" w:cs="Times New Roman"/>
              <w:noProof/>
              <w:sz w:val="24"/>
              <w:szCs w:val="24"/>
            </w:rPr>
          </w:pPr>
          <w:hyperlink w:anchor="_Toc151242055" w:history="1">
            <w:r w:rsidR="00575674" w:rsidRPr="00575674">
              <w:rPr>
                <w:rStyle w:val="aa"/>
                <w:rFonts w:ascii="Times New Roman" w:hAnsi="Times New Roman" w:cs="Times New Roman"/>
                <w:noProof/>
                <w:sz w:val="24"/>
                <w:szCs w:val="24"/>
              </w:rPr>
              <w:t>Conclusion</w:t>
            </w:r>
            <w:r w:rsidR="00575674" w:rsidRPr="00575674">
              <w:rPr>
                <w:rFonts w:ascii="Times New Roman" w:hAnsi="Times New Roman" w:cs="Times New Roman"/>
                <w:noProof/>
                <w:webHidden/>
                <w:sz w:val="24"/>
                <w:szCs w:val="24"/>
              </w:rPr>
              <w:tab/>
            </w:r>
            <w:r w:rsidRPr="00575674">
              <w:rPr>
                <w:rFonts w:ascii="Times New Roman" w:hAnsi="Times New Roman" w:cs="Times New Roman"/>
                <w:noProof/>
                <w:webHidden/>
                <w:sz w:val="24"/>
                <w:szCs w:val="24"/>
              </w:rPr>
              <w:fldChar w:fldCharType="begin"/>
            </w:r>
            <w:r w:rsidR="00575674" w:rsidRPr="00575674">
              <w:rPr>
                <w:rFonts w:ascii="Times New Roman" w:hAnsi="Times New Roman" w:cs="Times New Roman"/>
                <w:noProof/>
                <w:webHidden/>
                <w:sz w:val="24"/>
                <w:szCs w:val="24"/>
              </w:rPr>
              <w:instrText xml:space="preserve"> PAGEREF _Toc151242055 \h </w:instrText>
            </w:r>
            <w:r w:rsidRPr="00575674">
              <w:rPr>
                <w:rFonts w:ascii="Times New Roman" w:hAnsi="Times New Roman" w:cs="Times New Roman"/>
                <w:noProof/>
                <w:webHidden/>
                <w:sz w:val="24"/>
                <w:szCs w:val="24"/>
              </w:rPr>
            </w:r>
            <w:r w:rsidRPr="00575674">
              <w:rPr>
                <w:rFonts w:ascii="Times New Roman" w:hAnsi="Times New Roman" w:cs="Times New Roman"/>
                <w:noProof/>
                <w:webHidden/>
                <w:sz w:val="24"/>
                <w:szCs w:val="24"/>
              </w:rPr>
              <w:fldChar w:fldCharType="separate"/>
            </w:r>
            <w:r w:rsidR="00575674" w:rsidRPr="00575674">
              <w:rPr>
                <w:rFonts w:ascii="Times New Roman" w:hAnsi="Times New Roman" w:cs="Times New Roman"/>
                <w:noProof/>
                <w:webHidden/>
                <w:sz w:val="24"/>
                <w:szCs w:val="24"/>
              </w:rPr>
              <w:t>8</w:t>
            </w:r>
            <w:r w:rsidRPr="00575674">
              <w:rPr>
                <w:rFonts w:ascii="Times New Roman" w:hAnsi="Times New Roman" w:cs="Times New Roman"/>
                <w:noProof/>
                <w:webHidden/>
                <w:sz w:val="24"/>
                <w:szCs w:val="24"/>
              </w:rPr>
              <w:fldChar w:fldCharType="end"/>
            </w:r>
          </w:hyperlink>
        </w:p>
        <w:p w:rsidR="00575674" w:rsidRDefault="006049F4" w:rsidP="00636C0F">
          <w:pPr>
            <w:pStyle w:val="10"/>
            <w:tabs>
              <w:tab w:val="right" w:leader="dot" w:pos="9350"/>
            </w:tabs>
            <w:spacing w:line="360" w:lineRule="auto"/>
            <w:rPr>
              <w:noProof/>
            </w:rPr>
          </w:pPr>
          <w:hyperlink w:anchor="_Toc151242056" w:history="1">
            <w:r w:rsidR="00575674" w:rsidRPr="00575674">
              <w:rPr>
                <w:rStyle w:val="aa"/>
                <w:rFonts w:ascii="Times New Roman" w:hAnsi="Times New Roman" w:cs="Times New Roman"/>
                <w:noProof/>
                <w:sz w:val="24"/>
                <w:szCs w:val="24"/>
              </w:rPr>
              <w:t>References</w:t>
            </w:r>
            <w:r w:rsidR="00575674" w:rsidRPr="00575674">
              <w:rPr>
                <w:rFonts w:ascii="Times New Roman" w:hAnsi="Times New Roman" w:cs="Times New Roman"/>
                <w:noProof/>
                <w:webHidden/>
                <w:sz w:val="24"/>
                <w:szCs w:val="24"/>
              </w:rPr>
              <w:tab/>
            </w:r>
            <w:r w:rsidRPr="00575674">
              <w:rPr>
                <w:rFonts w:ascii="Times New Roman" w:hAnsi="Times New Roman" w:cs="Times New Roman"/>
                <w:noProof/>
                <w:webHidden/>
                <w:sz w:val="24"/>
                <w:szCs w:val="24"/>
              </w:rPr>
              <w:fldChar w:fldCharType="begin"/>
            </w:r>
            <w:r w:rsidR="00575674" w:rsidRPr="00575674">
              <w:rPr>
                <w:rFonts w:ascii="Times New Roman" w:hAnsi="Times New Roman" w:cs="Times New Roman"/>
                <w:noProof/>
                <w:webHidden/>
                <w:sz w:val="24"/>
                <w:szCs w:val="24"/>
              </w:rPr>
              <w:instrText xml:space="preserve"> PAGEREF _Toc151242056 \h </w:instrText>
            </w:r>
            <w:r w:rsidRPr="00575674">
              <w:rPr>
                <w:rFonts w:ascii="Times New Roman" w:hAnsi="Times New Roman" w:cs="Times New Roman"/>
                <w:noProof/>
                <w:webHidden/>
                <w:sz w:val="24"/>
                <w:szCs w:val="24"/>
              </w:rPr>
            </w:r>
            <w:r w:rsidRPr="00575674">
              <w:rPr>
                <w:rFonts w:ascii="Times New Roman" w:hAnsi="Times New Roman" w:cs="Times New Roman"/>
                <w:noProof/>
                <w:webHidden/>
                <w:sz w:val="24"/>
                <w:szCs w:val="24"/>
              </w:rPr>
              <w:fldChar w:fldCharType="separate"/>
            </w:r>
            <w:r w:rsidR="00575674" w:rsidRPr="00575674">
              <w:rPr>
                <w:rFonts w:ascii="Times New Roman" w:hAnsi="Times New Roman" w:cs="Times New Roman"/>
                <w:noProof/>
                <w:webHidden/>
                <w:sz w:val="24"/>
                <w:szCs w:val="24"/>
              </w:rPr>
              <w:t>9</w:t>
            </w:r>
            <w:r w:rsidRPr="00575674">
              <w:rPr>
                <w:rFonts w:ascii="Times New Roman" w:hAnsi="Times New Roman" w:cs="Times New Roman"/>
                <w:noProof/>
                <w:webHidden/>
                <w:sz w:val="24"/>
                <w:szCs w:val="24"/>
              </w:rPr>
              <w:fldChar w:fldCharType="end"/>
            </w:r>
          </w:hyperlink>
        </w:p>
        <w:p w:rsidR="00575674" w:rsidRDefault="006049F4" w:rsidP="00636C0F">
          <w:pPr>
            <w:spacing w:line="360" w:lineRule="auto"/>
          </w:pPr>
          <w:r>
            <w:fldChar w:fldCharType="end"/>
          </w:r>
        </w:p>
      </w:sdtContent>
    </w:sdt>
    <w:p w:rsidR="00575674" w:rsidRDefault="00575674" w:rsidP="00636C0F">
      <w:pPr>
        <w:pStyle w:val="1"/>
        <w:spacing w:line="360" w:lineRule="auto"/>
      </w:pPr>
    </w:p>
    <w:p w:rsidR="00575674" w:rsidRDefault="00575674" w:rsidP="00636C0F">
      <w:pPr>
        <w:spacing w:line="360" w:lineRule="auto"/>
        <w:rPr>
          <w:rFonts w:ascii="Times New Roman" w:hAnsi="Times New Roman"/>
          <w:b/>
          <w:sz w:val="28"/>
          <w:szCs w:val="40"/>
        </w:rPr>
      </w:pPr>
      <w:bookmarkStart w:id="1" w:name="_Toc151242053"/>
      <w:r>
        <w:br w:type="page"/>
      </w:r>
    </w:p>
    <w:p w:rsidR="00F14388" w:rsidRPr="00B154EE" w:rsidRDefault="00ED6DB2" w:rsidP="00636C0F">
      <w:pPr>
        <w:pStyle w:val="1"/>
        <w:spacing w:line="360" w:lineRule="auto"/>
      </w:pPr>
      <w:r w:rsidRPr="00B154EE">
        <w:lastRenderedPageBreak/>
        <w:t>Introduction</w:t>
      </w:r>
      <w:bookmarkEnd w:id="1"/>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The Google expansion project at King's Cross, London, stands as a transformative venture, symbolizing Google's commitment to innovation and growth. Envisioned as a cutting-edge headquarters, the project, estimated at one billion pounds, extends beyond traditional office spaces to incorporate diverse amenities and contribute to the local knowledge-based economy. This endeavor aligns with Google's strategic vision for a modern workplace, emphasizing collaboration, sustainability, and architectural excellence. However, recent challenges, including workforce dissatisfaction and legal concerns, underscore the complexity of such undertakings. Transparent communication, engagement with stakeholders, and a collaborative approach to address concerns become pivotal to ensuring the project's success and upholding Google's corporate values in the vibrant landscape of King's Cross.</w:t>
      </w:r>
    </w:p>
    <w:p w:rsidR="00F14388" w:rsidRPr="00B154EE" w:rsidRDefault="00ED6DB2" w:rsidP="00636C0F">
      <w:pPr>
        <w:pStyle w:val="1"/>
        <w:spacing w:line="360" w:lineRule="auto"/>
      </w:pPr>
      <w:bookmarkStart w:id="2" w:name="_Toc151242054"/>
      <w:r w:rsidRPr="00B154EE">
        <w:t>Main body</w:t>
      </w:r>
      <w:bookmarkEnd w:id="2"/>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 xml:space="preserve">The article discusses the delay in the construction of Google's proposed £650 million UK headquarters at King's Cross. The delay is attributed to Google's decision to scrap the original design and undergo a review of its planned large-scale developments worldwide. The main contractor, Bam Construction, was appointed in March 2013 for the £300 million project. The delay is expected to be "at least" three years, pushing the construction start date to 2017, three years later than the initially planned early start in 2014. The design is being reworked by architect </w:t>
      </w:r>
      <w:r w:rsidR="00B154EE" w:rsidRPr="00B154EE">
        <w:rPr>
          <w:rFonts w:ascii="Times New Roman" w:hAnsi="Times New Roman" w:cs="Times New Roman"/>
          <w:sz w:val="24"/>
          <w:szCs w:val="24"/>
        </w:rPr>
        <w:t>Alford</w:t>
      </w:r>
      <w:r w:rsidRPr="00B154EE">
        <w:rPr>
          <w:rFonts w:ascii="Times New Roman" w:hAnsi="Times New Roman" w:cs="Times New Roman"/>
          <w:sz w:val="24"/>
          <w:szCs w:val="24"/>
        </w:rPr>
        <w:t xml:space="preserve"> Hall Monaghan Morris, with cost consultant Gardiner &amp;</w:t>
      </w:r>
      <w:r w:rsidR="00B154EE" w:rsidRPr="00B154EE">
        <w:rPr>
          <w:rFonts w:ascii="Times New Roman" w:hAnsi="Times New Roman" w:cs="Times New Roman"/>
          <w:sz w:val="24"/>
          <w:szCs w:val="24"/>
        </w:rPr>
        <w:t>Theo bald</w:t>
      </w:r>
      <w:r w:rsidRPr="00B154EE">
        <w:rPr>
          <w:rFonts w:ascii="Times New Roman" w:hAnsi="Times New Roman" w:cs="Times New Roman"/>
          <w:sz w:val="24"/>
          <w:szCs w:val="24"/>
        </w:rPr>
        <w:t xml:space="preserve"> and engineer Waterman retaining their roles in the project</w:t>
      </w:r>
      <w:r w:rsidR="002505DD">
        <w:rPr>
          <w:rFonts w:ascii="Times New Roman" w:hAnsi="Times New Roman" w:cs="Times New Roman"/>
          <w:sz w:val="24"/>
          <w:szCs w:val="24"/>
        </w:rPr>
        <w:t xml:space="preserve"> (</w:t>
      </w:r>
      <w:r w:rsidR="002505DD" w:rsidRPr="00DB0ECA">
        <w:rPr>
          <w:rFonts w:ascii="Times New Roman" w:hAnsi="Times New Roman" w:cs="Times New Roman"/>
          <w:sz w:val="24"/>
          <w:szCs w:val="24"/>
        </w:rPr>
        <w:t>Karner</w:t>
      </w:r>
      <w:r w:rsidR="002505DD">
        <w:rPr>
          <w:rFonts w:ascii="Times New Roman" w:hAnsi="Times New Roman" w:cs="Times New Roman"/>
          <w:i/>
          <w:sz w:val="24"/>
          <w:szCs w:val="24"/>
        </w:rPr>
        <w:t>et al.</w:t>
      </w:r>
      <w:r w:rsidR="002505DD">
        <w:rPr>
          <w:rFonts w:ascii="Times New Roman" w:hAnsi="Times New Roman" w:cs="Times New Roman"/>
          <w:sz w:val="24"/>
          <w:szCs w:val="24"/>
        </w:rPr>
        <w:t xml:space="preserve"> 2020)</w:t>
      </w:r>
      <w:r w:rsidRPr="00B154EE">
        <w:rPr>
          <w:rFonts w:ascii="Times New Roman" w:hAnsi="Times New Roman" w:cs="Times New Roman"/>
          <w:sz w:val="24"/>
          <w:szCs w:val="24"/>
        </w:rPr>
        <w:t>.</w:t>
      </w:r>
    </w:p>
    <w:p w:rsidR="00F14388" w:rsidRPr="002505DD"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 xml:space="preserve">Bam Construction expressed disappointment in the delay but mentioned that it is still providing sustainability consultancy to Google as the tech giant redefines the sustainability vision for the new headquarters. However, despite the ongoing consultancy, </w:t>
      </w:r>
      <w:r w:rsidR="002505DD" w:rsidRPr="00B154EE">
        <w:rPr>
          <w:rFonts w:ascii="Times New Roman" w:hAnsi="Times New Roman" w:cs="Times New Roman"/>
          <w:sz w:val="24"/>
          <w:szCs w:val="24"/>
        </w:rPr>
        <w:t>bam</w:t>
      </w:r>
      <w:r w:rsidRPr="00B154EE">
        <w:rPr>
          <w:rFonts w:ascii="Times New Roman" w:hAnsi="Times New Roman" w:cs="Times New Roman"/>
          <w:sz w:val="24"/>
          <w:szCs w:val="24"/>
        </w:rPr>
        <w:t xml:space="preserve"> no longer considers the project part of its pipeline, and there are expectations that the project might ultimately be put back out to tender. In addition to the project delay, the article briefly touches on Bam Construction's financial performance for the year ending December 31, 2013. The company reported a 36% fall in profit, with revenue dropping 7% to £783 million</w:t>
      </w:r>
      <w:r w:rsidR="002505DD">
        <w:rPr>
          <w:rFonts w:ascii="Times New Roman" w:hAnsi="Times New Roman" w:cs="Times New Roman"/>
          <w:sz w:val="24"/>
          <w:szCs w:val="24"/>
        </w:rPr>
        <w:t xml:space="preserve"> (</w:t>
      </w:r>
      <w:r w:rsidR="002505DD" w:rsidRPr="00DB0ECA">
        <w:rPr>
          <w:rFonts w:ascii="Times New Roman" w:hAnsi="Times New Roman" w:cs="Times New Roman"/>
          <w:sz w:val="24"/>
          <w:szCs w:val="24"/>
        </w:rPr>
        <w:t>Rhie</w:t>
      </w:r>
      <w:r w:rsidR="002505DD">
        <w:rPr>
          <w:rFonts w:ascii="Times New Roman" w:hAnsi="Times New Roman" w:cs="Times New Roman"/>
          <w:i/>
          <w:sz w:val="24"/>
          <w:szCs w:val="24"/>
        </w:rPr>
        <w:t>et al.</w:t>
      </w:r>
      <w:r w:rsidR="002505DD">
        <w:rPr>
          <w:rFonts w:ascii="Times New Roman" w:hAnsi="Times New Roman" w:cs="Times New Roman"/>
          <w:sz w:val="24"/>
          <w:szCs w:val="24"/>
        </w:rPr>
        <w:t xml:space="preserve"> 2021)</w:t>
      </w:r>
      <w:r w:rsidRPr="00B154EE">
        <w:rPr>
          <w:rFonts w:ascii="Times New Roman" w:hAnsi="Times New Roman" w:cs="Times New Roman"/>
          <w:sz w:val="24"/>
          <w:szCs w:val="24"/>
        </w:rPr>
        <w:t xml:space="preserve">. The wider Bam Construct UK group, including facilities management and property businesses, experienced a 9.7% fall in revenue to £828 million. The group's pre-tax profit also declined 22%, </w:t>
      </w:r>
      <w:r w:rsidRPr="00B154EE">
        <w:rPr>
          <w:rFonts w:ascii="Times New Roman" w:hAnsi="Times New Roman" w:cs="Times New Roman"/>
          <w:sz w:val="24"/>
          <w:szCs w:val="24"/>
        </w:rPr>
        <w:lastRenderedPageBreak/>
        <w:t>from £13.9 million in 2012 to £10.9 million in 2013. Despite the challenging industry conditions, the CEO of Bam Construct UK, Graham Cash, expressed that the company had withstood the effects of four years of recession reasonably well and highlighted the prolonged nature of recovery in the construction and property development sector.</w:t>
      </w:r>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Google's London Kings Cross headquarters expansion project has experienced delays since its announcement in 2013, with the completion originally targeted for 2016. However, due to various setbacks, construction officially commenced in 2018. The latest details about the project were shared by Google's UK and Ireland VP, Ronan Harris, in a blog post</w:t>
      </w:r>
      <w:r w:rsidR="002505DD">
        <w:rPr>
          <w:rFonts w:ascii="Times New Roman" w:hAnsi="Times New Roman" w:cs="Times New Roman"/>
          <w:sz w:val="24"/>
          <w:szCs w:val="24"/>
        </w:rPr>
        <w:t xml:space="preserve"> (</w:t>
      </w:r>
      <w:r w:rsidR="002505DD" w:rsidRPr="00DB0ECA">
        <w:rPr>
          <w:rFonts w:ascii="Times New Roman" w:hAnsi="Times New Roman" w:cs="Times New Roman"/>
          <w:sz w:val="24"/>
          <w:szCs w:val="24"/>
        </w:rPr>
        <w:t>Chen</w:t>
      </w:r>
      <w:r w:rsidR="002505DD">
        <w:rPr>
          <w:rFonts w:ascii="Times New Roman" w:hAnsi="Times New Roman" w:cs="Times New Roman"/>
          <w:i/>
          <w:sz w:val="24"/>
          <w:szCs w:val="24"/>
        </w:rPr>
        <w:t>et al.</w:t>
      </w:r>
      <w:r w:rsidR="002505DD">
        <w:rPr>
          <w:rFonts w:ascii="Times New Roman" w:hAnsi="Times New Roman" w:cs="Times New Roman"/>
          <w:sz w:val="24"/>
          <w:szCs w:val="24"/>
        </w:rPr>
        <w:t xml:space="preserve"> 2020)</w:t>
      </w:r>
      <w:r w:rsidRPr="00B154EE">
        <w:rPr>
          <w:rFonts w:ascii="Times New Roman" w:hAnsi="Times New Roman" w:cs="Times New Roman"/>
          <w:sz w:val="24"/>
          <w:szCs w:val="24"/>
        </w:rPr>
        <w:t>. The Kings Cross headquarters project aims to transform the area into more than just an office space. The plans include 250 meters of ground-floor retail space and flexible event areas, deviating from the conventional office block design. Google envisions this space not only for its employees ("Googlers") but also for the broader London community. The project is expected to encompass over one million square feet of office and retail space.</w:t>
      </w:r>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Google's innovative approach extends to small businesses, offering customizable "tilting timber portals" and varied shop fronts for future tenants. The ground-floor retail space will be open to a mix of both established and growing brands. Additionally, a market hall will serve as a launchpad for small businesses, emphasizing support for entrepreneurship and local vibrancy. Flexibility is a key theme, as Google plans to implement a flexible hybrid working model for its employees at the Kings Cross location</w:t>
      </w:r>
      <w:r w:rsidR="002505DD">
        <w:rPr>
          <w:rFonts w:ascii="Times New Roman" w:hAnsi="Times New Roman" w:cs="Times New Roman"/>
          <w:sz w:val="24"/>
          <w:szCs w:val="24"/>
        </w:rPr>
        <w:t xml:space="preserve"> (Bibri and Krogstie, </w:t>
      </w:r>
      <w:r w:rsidR="002505DD" w:rsidRPr="00DB0ECA">
        <w:rPr>
          <w:rFonts w:ascii="Times New Roman" w:hAnsi="Times New Roman" w:cs="Times New Roman"/>
          <w:sz w:val="24"/>
          <w:szCs w:val="24"/>
        </w:rPr>
        <w:t>2020</w:t>
      </w:r>
      <w:r w:rsidR="002505DD">
        <w:rPr>
          <w:rFonts w:ascii="Times New Roman" w:hAnsi="Times New Roman" w:cs="Times New Roman"/>
          <w:sz w:val="24"/>
          <w:szCs w:val="24"/>
        </w:rPr>
        <w:t>)</w:t>
      </w:r>
      <w:r w:rsidRPr="00B154EE">
        <w:rPr>
          <w:rFonts w:ascii="Times New Roman" w:hAnsi="Times New Roman" w:cs="Times New Roman"/>
          <w:sz w:val="24"/>
          <w:szCs w:val="24"/>
        </w:rPr>
        <w:t>. The company reiterates its commitment to sustainability and environmental efforts, aiming to make the site all-electric. Real-time feedback on hourly energy usage will be provided to enhance daily efficiency. Solar shading will replace traditional central heating methods for temperature regulation, and low-carbon local materials will be sourced for internal construction and office furnishings, aiming to reduce the carbon impact by up to 20%. While the completion date remains uncertain, a report from The Telegraph suggests that Google's Kings Cross headquarters is anticipated to be finished sometime in 2024</w:t>
      </w:r>
      <w:r w:rsidR="002505DD">
        <w:rPr>
          <w:rFonts w:ascii="Times New Roman" w:hAnsi="Times New Roman" w:cs="Times New Roman"/>
          <w:sz w:val="24"/>
          <w:szCs w:val="24"/>
        </w:rPr>
        <w:t xml:space="preserve"> (Kyere and Ausloos, </w:t>
      </w:r>
      <w:r w:rsidR="002505DD" w:rsidRPr="00DB0ECA">
        <w:rPr>
          <w:rFonts w:ascii="Times New Roman" w:hAnsi="Times New Roman" w:cs="Times New Roman"/>
          <w:sz w:val="24"/>
          <w:szCs w:val="24"/>
        </w:rPr>
        <w:t>2021</w:t>
      </w:r>
      <w:r w:rsidR="002505DD">
        <w:rPr>
          <w:rFonts w:ascii="Times New Roman" w:hAnsi="Times New Roman" w:cs="Times New Roman"/>
          <w:sz w:val="24"/>
          <w:szCs w:val="24"/>
        </w:rPr>
        <w:t>)</w:t>
      </w:r>
      <w:r w:rsidRPr="00B154EE">
        <w:rPr>
          <w:rFonts w:ascii="Times New Roman" w:hAnsi="Times New Roman" w:cs="Times New Roman"/>
          <w:sz w:val="24"/>
          <w:szCs w:val="24"/>
        </w:rPr>
        <w:t>. The project signifies Google's intention not only to expand its physical footprint but also to create a multifaceted space that contributes to the local community, fosters entrepreneurship, and aligns with sustainable and environmental principles.</w:t>
      </w:r>
    </w:p>
    <w:p w:rsidR="00D829BB"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 xml:space="preserve">The Google expansion project at King's Cross, London, stands as a transformative initiative with a multitude of stakeholders, each contributing to its success and impact. At the forefront of this </w:t>
      </w:r>
      <w:r w:rsidRPr="00B154EE">
        <w:rPr>
          <w:rFonts w:ascii="Times New Roman" w:hAnsi="Times New Roman" w:cs="Times New Roman"/>
          <w:sz w:val="24"/>
          <w:szCs w:val="24"/>
        </w:rPr>
        <w:lastRenderedPageBreak/>
        <w:t>venture is Google itself, the primary stakeholder, investing a staggering one billion pounds. This substantial financial commitment underscores Google's strategic vision for growth and innovation, emphasizing its dedication to expanding its physical footprint beyond the United States. A pivotal aspect of this project is the provision of increased operational space through the construction of a new headquarters</w:t>
      </w:r>
      <w:r w:rsidR="002505DD">
        <w:rPr>
          <w:rFonts w:ascii="Times New Roman" w:hAnsi="Times New Roman" w:cs="Times New Roman"/>
          <w:sz w:val="24"/>
          <w:szCs w:val="24"/>
        </w:rPr>
        <w:t xml:space="preserve"> (</w:t>
      </w:r>
      <w:r w:rsidR="002505DD" w:rsidRPr="00DB0ECA">
        <w:rPr>
          <w:rFonts w:ascii="Times New Roman" w:hAnsi="Times New Roman" w:cs="Times New Roman"/>
          <w:sz w:val="24"/>
          <w:szCs w:val="24"/>
        </w:rPr>
        <w:t>Hua</w:t>
      </w:r>
      <w:r w:rsidR="002505DD">
        <w:rPr>
          <w:rFonts w:ascii="Times New Roman" w:hAnsi="Times New Roman" w:cs="Times New Roman"/>
          <w:i/>
          <w:sz w:val="24"/>
          <w:szCs w:val="24"/>
        </w:rPr>
        <w:t>et al.</w:t>
      </w:r>
      <w:r w:rsidR="002505DD">
        <w:rPr>
          <w:rFonts w:ascii="Times New Roman" w:hAnsi="Times New Roman" w:cs="Times New Roman"/>
          <w:sz w:val="24"/>
          <w:szCs w:val="24"/>
        </w:rPr>
        <w:t xml:space="preserve"> 2019)</w:t>
      </w:r>
      <w:r w:rsidRPr="00B154EE">
        <w:rPr>
          <w:rFonts w:ascii="Times New Roman" w:hAnsi="Times New Roman" w:cs="Times New Roman"/>
          <w:sz w:val="24"/>
          <w:szCs w:val="24"/>
        </w:rPr>
        <w:t xml:space="preserve">. This expansion allows Google to accommodate up to 4,500 employees, addressing the company's evolving needs for workspace and fostering an environment conducive to collaboration and productivity. </w:t>
      </w:r>
      <w:r w:rsidR="00D829BB" w:rsidRPr="00B154EE">
        <w:rPr>
          <w:rFonts w:ascii="Times New Roman" w:hAnsi="Times New Roman" w:cs="Times New Roman"/>
          <w:sz w:val="24"/>
          <w:szCs w:val="24"/>
        </w:rPr>
        <w:t>A gym, coffee shops, and sports venues are examples of ancillary spaces that enrich the workplace and add to the general well-being and joy of staff members.</w:t>
      </w:r>
    </w:p>
    <w:p w:rsidR="00F14388" w:rsidRPr="00B154EE" w:rsidRDefault="00D829BB"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Moreover, the importance of this growth goes beyond area alone. The recently completed structure marks Google's first foray into the ownership and aesthetic of a project located outside of the US. The design of this element emphasizes how Google wants to create a space that can be iconic and useful beyond only meeting operational needs.</w:t>
      </w:r>
      <w:r w:rsidR="00ED6DB2" w:rsidRPr="00B154EE">
        <w:rPr>
          <w:rFonts w:ascii="Times New Roman" w:hAnsi="Times New Roman" w:cs="Times New Roman"/>
          <w:sz w:val="24"/>
          <w:szCs w:val="24"/>
        </w:rPr>
        <w:t xml:space="preserve"> It serves as a manifestation of Google's corporate identity and values, reflecting the company's commitment to innovation, excellence, and a distinctive architectural footprint</w:t>
      </w:r>
      <w:r w:rsidR="002505DD">
        <w:rPr>
          <w:rFonts w:ascii="Times New Roman" w:hAnsi="Times New Roman" w:cs="Times New Roman"/>
          <w:sz w:val="24"/>
          <w:szCs w:val="24"/>
        </w:rPr>
        <w:t xml:space="preserve"> (</w:t>
      </w:r>
      <w:r w:rsidR="002505DD" w:rsidRPr="00DB0ECA">
        <w:rPr>
          <w:rFonts w:ascii="Times New Roman" w:hAnsi="Times New Roman" w:cs="Times New Roman"/>
          <w:sz w:val="24"/>
          <w:szCs w:val="24"/>
        </w:rPr>
        <w:t>Anguelovski</w:t>
      </w:r>
      <w:r w:rsidR="002505DD">
        <w:rPr>
          <w:rFonts w:ascii="Times New Roman" w:hAnsi="Times New Roman" w:cs="Times New Roman"/>
          <w:i/>
          <w:sz w:val="24"/>
          <w:szCs w:val="24"/>
        </w:rPr>
        <w:t>et al.</w:t>
      </w:r>
      <w:r w:rsidR="002505DD">
        <w:rPr>
          <w:rFonts w:ascii="Times New Roman" w:hAnsi="Times New Roman" w:cs="Times New Roman"/>
          <w:sz w:val="24"/>
          <w:szCs w:val="24"/>
        </w:rPr>
        <w:t xml:space="preserve"> 2020)</w:t>
      </w:r>
      <w:r w:rsidR="00ED6DB2" w:rsidRPr="00B154EE">
        <w:rPr>
          <w:rFonts w:ascii="Times New Roman" w:hAnsi="Times New Roman" w:cs="Times New Roman"/>
          <w:sz w:val="24"/>
          <w:szCs w:val="24"/>
        </w:rPr>
        <w:t>. In essence, the Google expansion project at King's Cross is not just a construction endeavor; it is a strategic investment that aligns with the company's overarching goals while contributing to the broader landscape of the local community and the business ecosystem.</w:t>
      </w:r>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Work Environment: Employees are key stakeholders, benefiting from a modern and well-designed workplace. The inclusion of amenities like a gym, cafes, and recreational spaces enhances the work environment and contributes to employee satisfaction and retention. Capacity: The expansion allows for potential growth in the number of employees, creating more job opportunities within Google</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Riess</w:t>
      </w:r>
      <w:r w:rsidR="002505DD">
        <w:rPr>
          <w:rFonts w:ascii="Times New Roman" w:hAnsi="Times New Roman" w:cs="Times New Roman"/>
          <w:color w:val="000000" w:themeColor="text1"/>
          <w:sz w:val="24"/>
          <w:szCs w:val="24"/>
          <w:shd w:val="clear" w:color="auto" w:fill="FFFFFF"/>
        </w:rPr>
        <w:t>, 2020)</w:t>
      </w:r>
      <w:r w:rsidRPr="00B154EE">
        <w:rPr>
          <w:rFonts w:ascii="Times New Roman" w:hAnsi="Times New Roman" w:cs="Times New Roman"/>
          <w:sz w:val="24"/>
          <w:szCs w:val="24"/>
        </w:rPr>
        <w:t>. Economic Impact: The project contributes to the local economy by providing job opportunities during construction and potential employment opportunities for local residents once the headquarters is operational. Knowledge-Based Economy: Google's presence in the Knowledge Quarter and King's Cross contributes to the growth of the knowledge-based economy, attracting other businesses and fostering innovation in the area</w:t>
      </w:r>
      <w:r w:rsidR="002505DD">
        <w:rPr>
          <w:rFonts w:ascii="Times New Roman" w:hAnsi="Times New Roman" w:cs="Times New Roman"/>
          <w:sz w:val="24"/>
          <w:szCs w:val="24"/>
        </w:rPr>
        <w:t xml:space="preserve"> (</w:t>
      </w:r>
      <w:r w:rsidR="002505DD" w:rsidRPr="00DB0ECA">
        <w:rPr>
          <w:rFonts w:ascii="Times New Roman" w:hAnsi="Times New Roman" w:cs="Times New Roman"/>
          <w:color w:val="222222"/>
          <w:sz w:val="24"/>
          <w:szCs w:val="24"/>
          <w:shd w:val="clear" w:color="auto" w:fill="FFFFFF"/>
        </w:rPr>
        <w:t>Nolden</w:t>
      </w:r>
      <w:r w:rsidR="002505DD">
        <w:rPr>
          <w:rFonts w:ascii="Times New Roman" w:hAnsi="Times New Roman" w:cs="Times New Roman"/>
          <w:i/>
          <w:color w:val="222222"/>
          <w:sz w:val="24"/>
          <w:szCs w:val="24"/>
          <w:shd w:val="clear" w:color="auto" w:fill="FFFFFF"/>
        </w:rPr>
        <w:t>et al.</w:t>
      </w:r>
      <w:r w:rsidR="002505DD">
        <w:rPr>
          <w:rFonts w:ascii="Times New Roman" w:hAnsi="Times New Roman" w:cs="Times New Roman"/>
          <w:color w:val="222222"/>
          <w:sz w:val="24"/>
          <w:szCs w:val="24"/>
          <w:shd w:val="clear" w:color="auto" w:fill="FFFFFF"/>
        </w:rPr>
        <w:t xml:space="preserve"> 2020)</w:t>
      </w:r>
      <w:r w:rsidRPr="00B154EE">
        <w:rPr>
          <w:rFonts w:ascii="Times New Roman" w:hAnsi="Times New Roman" w:cs="Times New Roman"/>
          <w:sz w:val="24"/>
          <w:szCs w:val="24"/>
        </w:rPr>
        <w:t xml:space="preserve">. Business Opportunities: Construction firms, architects, and engineers involved in the project are stakeholders benefiting from business opportunities and contracts. The success of the project reflects on their reputation and future prospects. Job </w:t>
      </w:r>
      <w:r w:rsidRPr="00B154EE">
        <w:rPr>
          <w:rFonts w:ascii="Times New Roman" w:hAnsi="Times New Roman" w:cs="Times New Roman"/>
          <w:sz w:val="24"/>
          <w:szCs w:val="24"/>
        </w:rPr>
        <w:lastRenderedPageBreak/>
        <w:t>Creation: The construction phase generates jobs in the local construction industry, contributing to economic activity in the short term.</w:t>
      </w:r>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Regulatory Compliance: Local authorities are stakeholders overseeing regulatory compliance and ensuring that the project aligns with city planning regulations. Infrastructure: The project may necessitate improvements to local infrastructure, impacting traffic flow and public services, requiring collaboration between Google and local authorities</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Kamat</w:t>
      </w:r>
      <w:r w:rsidR="002505DD">
        <w:rPr>
          <w:rFonts w:ascii="Times New Roman" w:hAnsi="Times New Roman" w:cs="Times New Roman"/>
          <w:i/>
          <w:color w:val="000000" w:themeColor="text1"/>
          <w:sz w:val="24"/>
          <w:szCs w:val="24"/>
          <w:shd w:val="clear" w:color="auto" w:fill="FFFFFF"/>
        </w:rPr>
        <w:t>et al.</w:t>
      </w:r>
      <w:r w:rsidR="002505DD">
        <w:rPr>
          <w:rFonts w:ascii="Times New Roman" w:hAnsi="Times New Roman" w:cs="Times New Roman"/>
          <w:color w:val="000000" w:themeColor="text1"/>
          <w:sz w:val="24"/>
          <w:szCs w:val="24"/>
          <w:shd w:val="clear" w:color="auto" w:fill="FFFFFF"/>
        </w:rPr>
        <w:t xml:space="preserve"> 2019)</w:t>
      </w:r>
      <w:r w:rsidRPr="00B154EE">
        <w:rPr>
          <w:rFonts w:ascii="Times New Roman" w:hAnsi="Times New Roman" w:cs="Times New Roman"/>
          <w:sz w:val="24"/>
          <w:szCs w:val="24"/>
        </w:rPr>
        <w:t xml:space="preserve">. Economic Spillover: The project's retail spaces and events center may benefit nearby businesses, attracting increased foot traffic and potential customers. Collaboration Opportunities: The project could create collaboration opportunities between Google and neighboring businesses, fostering a sense of community. Sustainability: The project's commitment to sustainability, including an all-electric site and the use of low-carbon materials, addresses environmental concerns. It showcases corporate responsibility and aligns with growing environmental </w:t>
      </w:r>
      <w:r w:rsidR="002505DD">
        <w:rPr>
          <w:rFonts w:ascii="Times New Roman" w:hAnsi="Times New Roman" w:cs="Times New Roman"/>
          <w:sz w:val="24"/>
          <w:szCs w:val="24"/>
        </w:rPr>
        <w:t>awareness. T</w:t>
      </w:r>
      <w:r w:rsidRPr="00B154EE">
        <w:rPr>
          <w:rFonts w:ascii="Times New Roman" w:hAnsi="Times New Roman" w:cs="Times New Roman"/>
          <w:sz w:val="24"/>
          <w:szCs w:val="24"/>
        </w:rPr>
        <w:t>he Google expansion project at King's Cross involves a diverse set of stakeholders with varying interests. While Google focuses on its growth and operational needs, the project's impact extends to employees, the local community, construction entities, local authorities, neighboring businesses, and the environment</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Chen</w:t>
      </w:r>
      <w:r w:rsidR="002505DD">
        <w:rPr>
          <w:rFonts w:ascii="Times New Roman" w:hAnsi="Times New Roman" w:cs="Times New Roman"/>
          <w:i/>
          <w:color w:val="000000" w:themeColor="text1"/>
          <w:sz w:val="24"/>
          <w:szCs w:val="24"/>
          <w:shd w:val="clear" w:color="auto" w:fill="FFFFFF"/>
        </w:rPr>
        <w:t>et al.</w:t>
      </w:r>
      <w:r w:rsidR="002505DD">
        <w:rPr>
          <w:rFonts w:ascii="Times New Roman" w:hAnsi="Times New Roman" w:cs="Times New Roman"/>
          <w:color w:val="000000" w:themeColor="text1"/>
          <w:sz w:val="24"/>
          <w:szCs w:val="24"/>
          <w:shd w:val="clear" w:color="auto" w:fill="FFFFFF"/>
        </w:rPr>
        <w:t xml:space="preserve"> 2020)</w:t>
      </w:r>
      <w:r w:rsidRPr="00B154EE">
        <w:rPr>
          <w:rFonts w:ascii="Times New Roman" w:hAnsi="Times New Roman" w:cs="Times New Roman"/>
          <w:sz w:val="24"/>
          <w:szCs w:val="24"/>
        </w:rPr>
        <w:t>. Effective stakeholder management is crucial for the project's success, ensuring positive outcomes for all involved parties.</w:t>
      </w:r>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The Google expansion project at King's Cross, London, despite its promising prospects, carries inherent risks and challenges that need careful consideration throughout its development. Several factors contribute to the complexity of the project, and effective risk management is crucial for successful execution</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Hamilton</w:t>
      </w:r>
      <w:r w:rsidR="002505DD">
        <w:rPr>
          <w:rFonts w:ascii="Times New Roman" w:hAnsi="Times New Roman" w:cs="Times New Roman"/>
          <w:i/>
          <w:color w:val="000000" w:themeColor="text1"/>
          <w:sz w:val="24"/>
          <w:szCs w:val="24"/>
          <w:shd w:val="clear" w:color="auto" w:fill="FFFFFF"/>
        </w:rPr>
        <w:t>et al.</w:t>
      </w:r>
      <w:r w:rsidR="002505DD">
        <w:rPr>
          <w:rFonts w:ascii="Times New Roman" w:hAnsi="Times New Roman" w:cs="Times New Roman"/>
          <w:color w:val="000000" w:themeColor="text1"/>
          <w:sz w:val="24"/>
          <w:szCs w:val="24"/>
          <w:shd w:val="clear" w:color="auto" w:fill="FFFFFF"/>
        </w:rPr>
        <w:t xml:space="preserve"> 2019)</w:t>
      </w:r>
      <w:r w:rsidRPr="00B154EE">
        <w:rPr>
          <w:rFonts w:ascii="Times New Roman" w:hAnsi="Times New Roman" w:cs="Times New Roman"/>
          <w:sz w:val="24"/>
          <w:szCs w:val="24"/>
        </w:rPr>
        <w:t xml:space="preserve">. </w:t>
      </w:r>
      <w:r w:rsidR="00D829BB" w:rsidRPr="00B154EE">
        <w:rPr>
          <w:rFonts w:ascii="Times New Roman" w:hAnsi="Times New Roman" w:cs="Times New Roman"/>
          <w:sz w:val="24"/>
          <w:szCs w:val="24"/>
        </w:rPr>
        <w:t>Scale and Complexity: Building holds up pose a serious concern due to the project's substantial scale, which includes many structures and cutting-edge architectural elements. City Planning and Regulations: Adherence to local and national building codes, along with the intricacy of coordinating multiple aspects, can result in unforeseen obstacles, particularly in a project this size. Budget Overruns: Permit delays or problems that impact project timelines and elevate expenses. Owing to unexpected occurrences, design modifications, or construction-related challenges large-scale projects are frequently at danger of budget overruns</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McNair</w:t>
      </w:r>
      <w:r w:rsidR="002505DD">
        <w:rPr>
          <w:rFonts w:ascii="Times New Roman" w:hAnsi="Times New Roman" w:cs="Times New Roman"/>
          <w:i/>
          <w:color w:val="000000" w:themeColor="text1"/>
          <w:sz w:val="24"/>
          <w:szCs w:val="24"/>
          <w:shd w:val="clear" w:color="auto" w:fill="FFFFFF"/>
        </w:rPr>
        <w:t>et al.</w:t>
      </w:r>
      <w:r w:rsidR="002505DD">
        <w:rPr>
          <w:rFonts w:ascii="Times New Roman" w:hAnsi="Times New Roman" w:cs="Times New Roman"/>
          <w:color w:val="000000" w:themeColor="text1"/>
          <w:sz w:val="24"/>
          <w:szCs w:val="24"/>
          <w:shd w:val="clear" w:color="auto" w:fill="FFFFFF"/>
        </w:rPr>
        <w:t xml:space="preserve"> 2020)</w:t>
      </w:r>
      <w:r w:rsidR="00D829BB" w:rsidRPr="00B154EE">
        <w:rPr>
          <w:rFonts w:ascii="Times New Roman" w:hAnsi="Times New Roman" w:cs="Times New Roman"/>
          <w:sz w:val="24"/>
          <w:szCs w:val="24"/>
        </w:rPr>
        <w:t>. To avoid putting the undertaking's finances at risk, cost tracking and administration are essential.</w:t>
      </w:r>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 xml:space="preserve">Implementation Challenges: The incorporation of innovative features, such as the use of Building Information Modeling (BIM) for building services design, introduces a technology risk. </w:t>
      </w:r>
      <w:r w:rsidRPr="00B154EE">
        <w:rPr>
          <w:rFonts w:ascii="Times New Roman" w:hAnsi="Times New Roman" w:cs="Times New Roman"/>
          <w:sz w:val="24"/>
          <w:szCs w:val="24"/>
        </w:rPr>
        <w:lastRenderedPageBreak/>
        <w:t>Ensuring the seamless integration of such technologies and addressing potential implementation challenges is essential</w:t>
      </w:r>
      <w:r w:rsidR="002505DD">
        <w:rPr>
          <w:rFonts w:ascii="Times New Roman" w:hAnsi="Times New Roman" w:cs="Times New Roman"/>
          <w:sz w:val="24"/>
          <w:szCs w:val="24"/>
        </w:rPr>
        <w:t xml:space="preserve"> (</w:t>
      </w:r>
      <w:r w:rsidR="002505DD">
        <w:rPr>
          <w:rFonts w:ascii="Times New Roman" w:hAnsi="Times New Roman" w:cs="Times New Roman"/>
          <w:color w:val="000000" w:themeColor="text1"/>
          <w:sz w:val="24"/>
          <w:szCs w:val="24"/>
          <w:shd w:val="clear" w:color="auto" w:fill="FFFFFF"/>
        </w:rPr>
        <w:t xml:space="preserve">Kyere and Ausloos, </w:t>
      </w:r>
      <w:r w:rsidR="002505DD" w:rsidRPr="00DB0ECA">
        <w:rPr>
          <w:rFonts w:ascii="Times New Roman" w:hAnsi="Times New Roman" w:cs="Times New Roman"/>
          <w:color w:val="000000" w:themeColor="text1"/>
          <w:sz w:val="24"/>
          <w:szCs w:val="24"/>
          <w:shd w:val="clear" w:color="auto" w:fill="FFFFFF"/>
        </w:rPr>
        <w:t>2021</w:t>
      </w:r>
      <w:r w:rsidR="002505DD">
        <w:rPr>
          <w:rFonts w:ascii="Times New Roman" w:hAnsi="Times New Roman" w:cs="Times New Roman"/>
          <w:color w:val="000000" w:themeColor="text1"/>
          <w:sz w:val="24"/>
          <w:szCs w:val="24"/>
          <w:shd w:val="clear" w:color="auto" w:fill="FFFFFF"/>
        </w:rPr>
        <w:t>)</w:t>
      </w:r>
      <w:r w:rsidRPr="00B154EE">
        <w:rPr>
          <w:rFonts w:ascii="Times New Roman" w:hAnsi="Times New Roman" w:cs="Times New Roman"/>
          <w:sz w:val="24"/>
          <w:szCs w:val="24"/>
        </w:rPr>
        <w:t>. Market and Economic Factors: Economic Downturn: Economic fluctuations or downturns can impact the demand for office space and affect the overall success of the project. The project's long timeline exposes it to potential economic uncertainties. Sustainability Targets: Google's commitment to sustainability introduces a risk related to achieving environmental goals. The use of low-carbon materials and an all-electric site may face challenges, and failure to meet sustainability targets could have reputational and operational consequences. Employee Transition: Moving thousands of employees to a new workspace involves operational challenges, including potential disruptions to productivity during the transition</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Feldstein</w:t>
      </w:r>
      <w:r w:rsidR="002505DD">
        <w:rPr>
          <w:rFonts w:ascii="Times New Roman" w:hAnsi="Times New Roman" w:cs="Times New Roman"/>
          <w:color w:val="000000" w:themeColor="text1"/>
          <w:sz w:val="24"/>
          <w:szCs w:val="24"/>
          <w:shd w:val="clear" w:color="auto" w:fill="FFFFFF"/>
        </w:rPr>
        <w:t>, 2019)</w:t>
      </w:r>
      <w:r w:rsidRPr="00B154EE">
        <w:rPr>
          <w:rFonts w:ascii="Times New Roman" w:hAnsi="Times New Roman" w:cs="Times New Roman"/>
          <w:sz w:val="24"/>
          <w:szCs w:val="24"/>
        </w:rPr>
        <w:t>. Effective change management is crucial to mitigate these risks. Dependency on Local Infrastructure: The project's success is contingent on the reliability and adequacy of local infrastructure, including utilities and transportation. Any issues with these elements can impact the functionality of the new headquarters. Local Community Impact: Construction projects can disrupt local communities. Maintaining positive relations with residents and businesses in the vicinity is essential to mitigate any negative impacts and potential opposition.</w:t>
      </w:r>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Construction Site Safety: Large-scale construction involves inherent risks to worker safety. Ensuring strict adherence to health and safety protocols is crucial to prevent accidents and regulatory issues. Political Instability: Considering that the project is an international endeavor, geopolitical risks and global events can impact the project's progress. Political instability or changes in international relations may pose challenges. while the Google expansion project presents exciting opportunities, its success hinges on effective risk management</w:t>
      </w:r>
      <w:r w:rsidR="002505DD">
        <w:rPr>
          <w:rFonts w:ascii="Times New Roman" w:hAnsi="Times New Roman" w:cs="Times New Roman"/>
          <w:sz w:val="24"/>
          <w:szCs w:val="24"/>
        </w:rPr>
        <w:t xml:space="preserve"> (</w:t>
      </w:r>
      <w:r w:rsidR="002505DD">
        <w:rPr>
          <w:rFonts w:ascii="Times New Roman" w:hAnsi="Times New Roman" w:cs="Times New Roman"/>
          <w:color w:val="000000" w:themeColor="text1"/>
          <w:sz w:val="24"/>
          <w:szCs w:val="24"/>
          <w:shd w:val="clear" w:color="auto" w:fill="FFFFFF"/>
        </w:rPr>
        <w:t xml:space="preserve">Nicholas and Steyn, </w:t>
      </w:r>
      <w:r w:rsidR="002505DD" w:rsidRPr="00DB0ECA">
        <w:rPr>
          <w:rFonts w:ascii="Times New Roman" w:hAnsi="Times New Roman" w:cs="Times New Roman"/>
          <w:color w:val="000000" w:themeColor="text1"/>
          <w:sz w:val="24"/>
          <w:szCs w:val="24"/>
          <w:shd w:val="clear" w:color="auto" w:fill="FFFFFF"/>
        </w:rPr>
        <w:t>2020</w:t>
      </w:r>
      <w:r w:rsidR="002505DD">
        <w:rPr>
          <w:rFonts w:ascii="Times New Roman" w:hAnsi="Times New Roman" w:cs="Times New Roman"/>
          <w:color w:val="000000" w:themeColor="text1"/>
          <w:sz w:val="24"/>
          <w:szCs w:val="24"/>
          <w:shd w:val="clear" w:color="auto" w:fill="FFFFFF"/>
        </w:rPr>
        <w:t>)</w:t>
      </w:r>
      <w:r w:rsidRPr="00B154EE">
        <w:rPr>
          <w:rFonts w:ascii="Times New Roman" w:hAnsi="Times New Roman" w:cs="Times New Roman"/>
          <w:sz w:val="24"/>
          <w:szCs w:val="24"/>
        </w:rPr>
        <w:t>. Proactive identification, assessment, and mitigation of these risks are vital to ensure the project's timely completion, financial viability, and alignment with sustainability and innovation goals. A comprehensive risk management plan will help Google navigate challenges and deliver a successful, landmark project in King's Cross.</w:t>
      </w:r>
    </w:p>
    <w:p w:rsidR="006F0185"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 xml:space="preserve">The Google expansion project at King's Cross, London, is a monumental endeavor that encompasses the construction of a cutting-edge headquarters, the first wholly owned and designed Google building outside the United States. </w:t>
      </w:r>
      <w:r w:rsidR="006F0185" w:rsidRPr="00B154EE">
        <w:rPr>
          <w:rFonts w:ascii="Times New Roman" w:hAnsi="Times New Roman" w:cs="Times New Roman"/>
          <w:sz w:val="24"/>
          <w:szCs w:val="24"/>
        </w:rPr>
        <w:t xml:space="preserve">An estimated one billion pounds will be invested in this project, which would develop a large plot of ground next to Kings Cross Station </w:t>
      </w:r>
      <w:r w:rsidR="006F0185" w:rsidRPr="00B154EE">
        <w:rPr>
          <w:rFonts w:ascii="Times New Roman" w:hAnsi="Times New Roman" w:cs="Times New Roman"/>
          <w:sz w:val="24"/>
          <w:szCs w:val="24"/>
        </w:rPr>
        <w:lastRenderedPageBreak/>
        <w:t xml:space="preserve">and help turn the King's Cross </w:t>
      </w:r>
      <w:r w:rsidR="002505DD" w:rsidRPr="00B154EE">
        <w:rPr>
          <w:rFonts w:ascii="Times New Roman" w:hAnsi="Times New Roman" w:cs="Times New Roman"/>
          <w:sz w:val="24"/>
          <w:szCs w:val="24"/>
        </w:rPr>
        <w:t>neighborhood</w:t>
      </w:r>
      <w:r w:rsidR="006F0185" w:rsidRPr="00B154EE">
        <w:rPr>
          <w:rFonts w:ascii="Times New Roman" w:hAnsi="Times New Roman" w:cs="Times New Roman"/>
          <w:sz w:val="24"/>
          <w:szCs w:val="24"/>
        </w:rPr>
        <w:t xml:space="preserve"> into a vibrant knowledge-based economy</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Helm</w:t>
      </w:r>
      <w:r w:rsidR="002505DD">
        <w:rPr>
          <w:rFonts w:ascii="Times New Roman" w:hAnsi="Times New Roman" w:cs="Times New Roman"/>
          <w:i/>
          <w:color w:val="000000" w:themeColor="text1"/>
          <w:sz w:val="24"/>
          <w:szCs w:val="24"/>
          <w:shd w:val="clear" w:color="auto" w:fill="FFFFFF"/>
        </w:rPr>
        <w:t>et al.</w:t>
      </w:r>
      <w:r w:rsidR="002505DD">
        <w:rPr>
          <w:rFonts w:ascii="Times New Roman" w:hAnsi="Times New Roman" w:cs="Times New Roman"/>
          <w:color w:val="000000" w:themeColor="text1"/>
          <w:sz w:val="24"/>
          <w:szCs w:val="24"/>
          <w:shd w:val="clear" w:color="auto" w:fill="FFFFFF"/>
        </w:rPr>
        <w:t xml:space="preserve"> 2023)</w:t>
      </w:r>
      <w:r w:rsidR="006F0185" w:rsidRPr="00B154EE">
        <w:rPr>
          <w:rFonts w:ascii="Times New Roman" w:hAnsi="Times New Roman" w:cs="Times New Roman"/>
          <w:sz w:val="24"/>
          <w:szCs w:val="24"/>
        </w:rPr>
        <w:t>.</w:t>
      </w:r>
    </w:p>
    <w:p w:rsidR="00F14388" w:rsidRPr="00B154EE" w:rsidRDefault="006F0185"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The project entails creating a third structure as well as a new headquarters to complement the two already-existing structures at 6 Station Square. This group creates a Google complex that can fit up to 7,000 workers. A training facility, ground-floor retail, and prime office space are all integrated into the new, eleven-story, 60,400-square-meter a framework. It includes a range of services to support the entertainment and well-being of employees, such as cafes, a gym, a multi-use games area (MUGA), swimming pools, and manicured terraces with a running track.This rise is in line with Google's strategic objectives for innovation and growth, establishing a central core that improves production and cooperation. The project is strategically located in King's Cross, supporting the Knowledge Quarter and the region's knowledge-based economy. With its innovative facilities and commitment to the local community, the Google estate is positioned as a landmark in London when it is finished. Google's devotion to establishing a modern and inspiring workplace is demonstrated by this project, which mixes technology, sustainability, and innovative construction. But there are difficulties regarding the project</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Wijesooriya</w:t>
      </w:r>
      <w:r w:rsidR="002505DD">
        <w:rPr>
          <w:rFonts w:ascii="Times New Roman" w:hAnsi="Times New Roman" w:cs="Times New Roman"/>
          <w:i/>
          <w:color w:val="000000" w:themeColor="text1"/>
          <w:sz w:val="24"/>
          <w:szCs w:val="24"/>
          <w:shd w:val="clear" w:color="auto" w:fill="FFFFFF"/>
        </w:rPr>
        <w:t>et al.</w:t>
      </w:r>
      <w:r w:rsidR="002505DD">
        <w:rPr>
          <w:rFonts w:ascii="Times New Roman" w:hAnsi="Times New Roman" w:cs="Times New Roman"/>
          <w:color w:val="000000" w:themeColor="text1"/>
          <w:sz w:val="24"/>
          <w:szCs w:val="24"/>
          <w:shd w:val="clear" w:color="auto" w:fill="FFFFFF"/>
        </w:rPr>
        <w:t xml:space="preserve"> 2020)</w:t>
      </w:r>
      <w:r w:rsidRPr="00B154EE">
        <w:rPr>
          <w:rFonts w:ascii="Times New Roman" w:hAnsi="Times New Roman" w:cs="Times New Roman"/>
          <w:sz w:val="24"/>
          <w:szCs w:val="24"/>
        </w:rPr>
        <w:t>. According to recent reports, rallies outside Google's Kings Cross office were caused by employee discontent with the company's layoff plans. Risks to the company's reputation and legal standing are raised by the way it handled labor reductions, claims of union-busting, and restrictions on legal counsel. Google's commitment to fair labor practices is called into doubt by the reported shortcomings, including the way in the way workers were treated during talks over redundancies, limits on union involvement, and challenges experienced by those with impairments. The company's failure to respond to concerns raised by elected Unite workplace leaders could have an adverse effect on its relationship with employees and possibly impede the development of the project</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Benitez</w:t>
      </w:r>
      <w:r w:rsidR="002505DD">
        <w:rPr>
          <w:rFonts w:ascii="Times New Roman" w:hAnsi="Times New Roman" w:cs="Times New Roman"/>
          <w:i/>
          <w:color w:val="000000" w:themeColor="text1"/>
          <w:sz w:val="24"/>
          <w:szCs w:val="24"/>
          <w:shd w:val="clear" w:color="auto" w:fill="FFFFFF"/>
        </w:rPr>
        <w:t>et al.</w:t>
      </w:r>
      <w:r w:rsidR="002505DD">
        <w:rPr>
          <w:rFonts w:ascii="Times New Roman" w:hAnsi="Times New Roman" w:cs="Times New Roman"/>
          <w:color w:val="000000" w:themeColor="text1"/>
          <w:sz w:val="24"/>
          <w:szCs w:val="24"/>
          <w:shd w:val="clear" w:color="auto" w:fill="FFFFFF"/>
        </w:rPr>
        <w:t xml:space="preserve"> 2020)</w:t>
      </w:r>
      <w:r w:rsidRPr="00B154EE">
        <w:rPr>
          <w:rFonts w:ascii="Times New Roman" w:hAnsi="Times New Roman" w:cs="Times New Roman"/>
          <w:sz w:val="24"/>
          <w:szCs w:val="24"/>
        </w:rPr>
        <w:t>. Complexities in the law are introduced by the limitations on legal representation and the need for a settlement agreement for a redundancy package. Legal risks could present themselves for Google due to the purported plan to restrict legal representation and the failure to take into account grievances regarding the redundancy process.</w:t>
      </w:r>
      <w:r w:rsidR="00ED6DB2" w:rsidRPr="00B154EE">
        <w:rPr>
          <w:rFonts w:ascii="Times New Roman" w:hAnsi="Times New Roman" w:cs="Times New Roman"/>
          <w:sz w:val="24"/>
          <w:szCs w:val="24"/>
        </w:rPr>
        <w:t xml:space="preserve"> Moreover, these actions could have repercussions on the company's reputation, affecting its standing as a socially responsible corporate entity.</w:t>
      </w:r>
    </w:p>
    <w:p w:rsidR="00F14388" w:rsidRPr="00B154EE" w:rsidRDefault="00ED6DB2"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 xml:space="preserve">To mitigate these risks, Google should prioritize open communication with its employees, addressing their concerns transparently. Engaging with union representatives in a constructive </w:t>
      </w:r>
      <w:r w:rsidRPr="00B154EE">
        <w:rPr>
          <w:rFonts w:ascii="Times New Roman" w:hAnsi="Times New Roman" w:cs="Times New Roman"/>
          <w:sz w:val="24"/>
          <w:szCs w:val="24"/>
        </w:rPr>
        <w:lastRenderedPageBreak/>
        <w:t>manner and ensuring fair and inclusive redundancy processes can help improve employee relations</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Hamilton</w:t>
      </w:r>
      <w:r w:rsidR="002505DD">
        <w:rPr>
          <w:rFonts w:ascii="Times New Roman" w:hAnsi="Times New Roman" w:cs="Times New Roman"/>
          <w:i/>
          <w:color w:val="000000" w:themeColor="text1"/>
          <w:sz w:val="24"/>
          <w:szCs w:val="24"/>
          <w:shd w:val="clear" w:color="auto" w:fill="FFFFFF"/>
        </w:rPr>
        <w:t>et al.</w:t>
      </w:r>
      <w:r w:rsidR="002505DD">
        <w:rPr>
          <w:rFonts w:ascii="Times New Roman" w:hAnsi="Times New Roman" w:cs="Times New Roman"/>
          <w:color w:val="000000" w:themeColor="text1"/>
          <w:sz w:val="24"/>
          <w:szCs w:val="24"/>
          <w:shd w:val="clear" w:color="auto" w:fill="FFFFFF"/>
        </w:rPr>
        <w:t xml:space="preserve"> 2019)</w:t>
      </w:r>
      <w:r w:rsidRPr="00B154EE">
        <w:rPr>
          <w:rFonts w:ascii="Times New Roman" w:hAnsi="Times New Roman" w:cs="Times New Roman"/>
          <w:sz w:val="24"/>
          <w:szCs w:val="24"/>
        </w:rPr>
        <w:t>. Furthermore, revisiting the legal representation policies and adopting a more collaborative approach may mitigate legal and reputational risks. Returning to the project's architectural aspect, the collaboration with renowned firms such as BIG, Heatherwick Studio, BDP, AKT II, and Gillespies underscores Google's commitment to delivering a groundbreaking and aesthetically pleasing structure. The Zone A Building, with its tapering plot, plinth of shops, and significant amenities, is poised to be a landmark in the King's Cross Central regeneration site. the Google expansion project at King's Cross is a multifaceted initiative that combines architectural innovation, workplace enhancement, and economic development</w:t>
      </w:r>
      <w:r w:rsidR="002505DD">
        <w:rPr>
          <w:rFonts w:ascii="Times New Roman" w:hAnsi="Times New Roman" w:cs="Times New Roman"/>
          <w:sz w:val="24"/>
          <w:szCs w:val="24"/>
        </w:rPr>
        <w:t xml:space="preserve"> (</w:t>
      </w:r>
      <w:r w:rsidR="002505DD" w:rsidRPr="00DB0ECA">
        <w:rPr>
          <w:rFonts w:ascii="Times New Roman" w:hAnsi="Times New Roman" w:cs="Times New Roman"/>
          <w:color w:val="000000" w:themeColor="text1"/>
          <w:sz w:val="24"/>
          <w:szCs w:val="24"/>
          <w:shd w:val="clear" w:color="auto" w:fill="FFFFFF"/>
        </w:rPr>
        <w:t>Riess</w:t>
      </w:r>
      <w:r w:rsidR="002505DD">
        <w:rPr>
          <w:rFonts w:ascii="Times New Roman" w:hAnsi="Times New Roman" w:cs="Times New Roman"/>
          <w:color w:val="000000" w:themeColor="text1"/>
          <w:sz w:val="24"/>
          <w:szCs w:val="24"/>
          <w:shd w:val="clear" w:color="auto" w:fill="FFFFFF"/>
        </w:rPr>
        <w:t>, 2020)</w:t>
      </w:r>
      <w:r w:rsidRPr="00B154EE">
        <w:rPr>
          <w:rFonts w:ascii="Times New Roman" w:hAnsi="Times New Roman" w:cs="Times New Roman"/>
          <w:sz w:val="24"/>
          <w:szCs w:val="24"/>
        </w:rPr>
        <w:t xml:space="preserve">. While the construction and design aspects showcase Google's commitment to creating a modern and sustainable workspace, recent employee demonstrations highlight challenges in employee relations and potential legal and reputational risks. </w:t>
      </w:r>
      <w:r w:rsidR="006F0185" w:rsidRPr="00B154EE">
        <w:rPr>
          <w:rFonts w:ascii="Times New Roman" w:hAnsi="Times New Roman" w:cs="Times New Roman"/>
          <w:sz w:val="24"/>
          <w:szCs w:val="24"/>
        </w:rPr>
        <w:t>Maintaining Google's reputation as a responsible corporate entity and ensuring the project's fulfillment depend on addressing these challenges in a transparent and cooperative manner.</w:t>
      </w:r>
    </w:p>
    <w:p w:rsidR="00F14388" w:rsidRPr="00B154EE" w:rsidRDefault="00ED6DB2" w:rsidP="00636C0F">
      <w:pPr>
        <w:pStyle w:val="1"/>
        <w:spacing w:line="360" w:lineRule="auto"/>
      </w:pPr>
      <w:bookmarkStart w:id="3" w:name="_Toc151242055"/>
      <w:r w:rsidRPr="00B154EE">
        <w:t>Conclusion</w:t>
      </w:r>
      <w:bookmarkEnd w:id="3"/>
    </w:p>
    <w:p w:rsidR="00575674" w:rsidRDefault="006F0185" w:rsidP="00636C0F">
      <w:pPr>
        <w:pStyle w:val="Normal1"/>
        <w:spacing w:line="360" w:lineRule="auto"/>
        <w:jc w:val="both"/>
        <w:rPr>
          <w:rFonts w:ascii="Times New Roman" w:hAnsi="Times New Roman" w:cs="Times New Roman"/>
          <w:sz w:val="24"/>
          <w:szCs w:val="24"/>
        </w:rPr>
      </w:pPr>
      <w:r w:rsidRPr="00B154EE">
        <w:rPr>
          <w:rFonts w:ascii="Times New Roman" w:hAnsi="Times New Roman" w:cs="Times New Roman"/>
          <w:sz w:val="24"/>
          <w:szCs w:val="24"/>
        </w:rPr>
        <w:t>A ground-breaking endeavor integrating innovation, sustainability, and economic development is Google's enormous expansion project in King's Cross. Google's dedication to establishing a cutting-edge and motivating workplace with the goal of contributing a major contribution to the neighborhood and London's economy based on knowledge is reflected in the project's design and amenities. However, there are difficulties in the way of the project's success due to recent protests and employee complaints, which raise questions about Google's employment practices as well as possible legal and reputational issues. To minimize these dangers, it is necessary to interact with union officials, communicate openly, and employ a cooperative approach to solving worker problems. Despite these difficulties, the venture's unique architectural design and prime location highlight its potential to serve as a London landmark and represent Google's devotion to development, innovation, and responsible business conduct.</w:t>
      </w:r>
    </w:p>
    <w:p w:rsidR="00575674" w:rsidRDefault="00575674" w:rsidP="00636C0F">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EF4294" w:rsidRPr="00EF4294" w:rsidRDefault="00575674" w:rsidP="00636C0F">
      <w:pPr>
        <w:pStyle w:val="1"/>
        <w:spacing w:line="360" w:lineRule="auto"/>
      </w:pPr>
      <w:bookmarkStart w:id="4" w:name="_Toc151242056"/>
      <w:r>
        <w:lastRenderedPageBreak/>
        <w:t>References</w:t>
      </w:r>
      <w:bookmarkEnd w:id="4"/>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rPr>
        <w:t>Anguelovski, I., Brand, A.L., Connolly, J.J., Corbera, E., Kotsila, P., Steil, J., Garcia-Lamarca, M., Triguero-Mas, M., Cole, H., Baró, F. and Langemeyer, J., (2020). Expanding the boundaries of justice in urban greening scholarship: toward an emancipatory, antisubordination, intersectional, and relational approach. Annals of the American Association of Geographers, 110(6), pp.1743-1769.</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Benitez, G.B., Ayala, N.F. and Frank, A.G., (2020). Industry 4.0 innovation ecosystems: An evolutionary perspective on value cocreation. </w:t>
      </w:r>
      <w:r w:rsidRPr="00EF4294">
        <w:rPr>
          <w:rFonts w:ascii="Times New Roman" w:hAnsi="Times New Roman" w:cs="Times New Roman"/>
          <w:i/>
          <w:iCs/>
          <w:color w:val="000000" w:themeColor="text1"/>
          <w:sz w:val="24"/>
          <w:szCs w:val="24"/>
          <w:shd w:val="clear" w:color="auto" w:fill="FFFFFF"/>
        </w:rPr>
        <w:t>International Journal of Production Economics</w:t>
      </w:r>
      <w:r w:rsidRPr="00EF4294">
        <w:rPr>
          <w:rFonts w:ascii="Times New Roman" w:hAnsi="Times New Roman" w:cs="Times New Roman"/>
          <w:color w:val="000000" w:themeColor="text1"/>
          <w:sz w:val="24"/>
          <w:szCs w:val="24"/>
          <w:shd w:val="clear" w:color="auto" w:fill="FFFFFF"/>
        </w:rPr>
        <w:t>, </w:t>
      </w:r>
      <w:r w:rsidRPr="00EF4294">
        <w:rPr>
          <w:rFonts w:ascii="Times New Roman" w:hAnsi="Times New Roman" w:cs="Times New Roman"/>
          <w:i/>
          <w:iCs/>
          <w:color w:val="000000" w:themeColor="text1"/>
          <w:sz w:val="24"/>
          <w:szCs w:val="24"/>
          <w:shd w:val="clear" w:color="auto" w:fill="FFFFFF"/>
        </w:rPr>
        <w:t>228</w:t>
      </w:r>
      <w:r w:rsidRPr="00EF4294">
        <w:rPr>
          <w:rFonts w:ascii="Times New Roman" w:hAnsi="Times New Roman" w:cs="Times New Roman"/>
          <w:color w:val="000000" w:themeColor="text1"/>
          <w:sz w:val="24"/>
          <w:szCs w:val="24"/>
          <w:shd w:val="clear" w:color="auto" w:fill="FFFFFF"/>
        </w:rPr>
        <w:t>, p.107735.</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rPr>
        <w:t>Bibri, S.E. and Krogstie, J., (2020). The emerging data–driven Smart City and its innovative applied solutions for sustainability: The cases of London and Barcelona. Energy Informatics, 3, pp.1-42.</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rPr>
        <w:t>Chen, G., Li, X., Liu, X., Chen, Y., Liang, X., Leng, J., Xu, X., Liao, W., Qiu, Y.A., Wu, Q. and Huang, K., (2020). Global projections of future urban land expansion under shared socioeconomic pathways. Nature communications, 11(1), p.537.</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Chen, G., Li, X., Liu, X., Chen, Y., Liang, X., Leng, J., Xu, X., Liao, W., Qiu, Y.A., Wu, Q. and Huang, K., (2020). Global projections of future urban land expansion under shared socioeconomic pathways. </w:t>
      </w:r>
      <w:r w:rsidRPr="00EF4294">
        <w:rPr>
          <w:rFonts w:ascii="Times New Roman" w:hAnsi="Times New Roman" w:cs="Times New Roman"/>
          <w:i/>
          <w:iCs/>
          <w:color w:val="000000" w:themeColor="text1"/>
          <w:sz w:val="24"/>
          <w:szCs w:val="24"/>
          <w:shd w:val="clear" w:color="auto" w:fill="FFFFFF"/>
        </w:rPr>
        <w:t>Nature communications</w:t>
      </w:r>
      <w:r w:rsidRPr="00EF4294">
        <w:rPr>
          <w:rFonts w:ascii="Times New Roman" w:hAnsi="Times New Roman" w:cs="Times New Roman"/>
          <w:color w:val="000000" w:themeColor="text1"/>
          <w:sz w:val="24"/>
          <w:szCs w:val="24"/>
          <w:shd w:val="clear" w:color="auto" w:fill="FFFFFF"/>
        </w:rPr>
        <w:t>, </w:t>
      </w:r>
      <w:r w:rsidRPr="00EF4294">
        <w:rPr>
          <w:rFonts w:ascii="Times New Roman" w:hAnsi="Times New Roman" w:cs="Times New Roman"/>
          <w:i/>
          <w:iCs/>
          <w:color w:val="000000" w:themeColor="text1"/>
          <w:sz w:val="24"/>
          <w:szCs w:val="24"/>
          <w:shd w:val="clear" w:color="auto" w:fill="FFFFFF"/>
        </w:rPr>
        <w:t>11</w:t>
      </w:r>
      <w:r w:rsidRPr="00EF4294">
        <w:rPr>
          <w:rFonts w:ascii="Times New Roman" w:hAnsi="Times New Roman" w:cs="Times New Roman"/>
          <w:color w:val="000000" w:themeColor="text1"/>
          <w:sz w:val="24"/>
          <w:szCs w:val="24"/>
          <w:shd w:val="clear" w:color="auto" w:fill="FFFFFF"/>
        </w:rPr>
        <w:t>(1), p.537.</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Feldstein, S., (2019). </w:t>
      </w:r>
      <w:r w:rsidRPr="00EF4294">
        <w:rPr>
          <w:rFonts w:ascii="Times New Roman" w:hAnsi="Times New Roman" w:cs="Times New Roman"/>
          <w:i/>
          <w:iCs/>
          <w:color w:val="000000" w:themeColor="text1"/>
          <w:sz w:val="24"/>
          <w:szCs w:val="24"/>
          <w:shd w:val="clear" w:color="auto" w:fill="FFFFFF"/>
        </w:rPr>
        <w:t>The global expansion of AI surveillance</w:t>
      </w:r>
      <w:r w:rsidRPr="00EF4294">
        <w:rPr>
          <w:rFonts w:ascii="Times New Roman" w:hAnsi="Times New Roman" w:cs="Times New Roman"/>
          <w:color w:val="000000" w:themeColor="text1"/>
          <w:sz w:val="24"/>
          <w:szCs w:val="24"/>
          <w:shd w:val="clear" w:color="auto" w:fill="FFFFFF"/>
        </w:rPr>
        <w:t> (Vol. 17). Washington, DC: Carnegie Endowment for International Peace.</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Hamilton, W.L., Amato, R., van der Pluijm, R.W., Jacob, C.G., Quang, H.H., Thuy-Nhien, N.T., Hien, T.T., Hongvanthong, B., Chindavongsa, K., Mayxay, M. and Huy, R., (2019). Evolution and expansion of multidrug-resistant malaria in southeast Asia: a genomic epidemiology study. </w:t>
      </w:r>
      <w:r w:rsidRPr="00EF4294">
        <w:rPr>
          <w:rFonts w:ascii="Times New Roman" w:hAnsi="Times New Roman" w:cs="Times New Roman"/>
          <w:i/>
          <w:iCs/>
          <w:color w:val="000000" w:themeColor="text1"/>
          <w:sz w:val="24"/>
          <w:szCs w:val="24"/>
          <w:shd w:val="clear" w:color="auto" w:fill="FFFFFF"/>
        </w:rPr>
        <w:t>The Lancet Infectious Diseases</w:t>
      </w:r>
      <w:r w:rsidRPr="00EF4294">
        <w:rPr>
          <w:rFonts w:ascii="Times New Roman" w:hAnsi="Times New Roman" w:cs="Times New Roman"/>
          <w:color w:val="000000" w:themeColor="text1"/>
          <w:sz w:val="24"/>
          <w:szCs w:val="24"/>
          <w:shd w:val="clear" w:color="auto" w:fill="FFFFFF"/>
        </w:rPr>
        <w:t>, </w:t>
      </w:r>
      <w:r w:rsidRPr="00EF4294">
        <w:rPr>
          <w:rFonts w:ascii="Times New Roman" w:hAnsi="Times New Roman" w:cs="Times New Roman"/>
          <w:i/>
          <w:iCs/>
          <w:color w:val="000000" w:themeColor="text1"/>
          <w:sz w:val="24"/>
          <w:szCs w:val="24"/>
          <w:shd w:val="clear" w:color="auto" w:fill="FFFFFF"/>
        </w:rPr>
        <w:t>19</w:t>
      </w:r>
      <w:r w:rsidRPr="00EF4294">
        <w:rPr>
          <w:rFonts w:ascii="Times New Roman" w:hAnsi="Times New Roman" w:cs="Times New Roman"/>
          <w:color w:val="000000" w:themeColor="text1"/>
          <w:sz w:val="24"/>
          <w:szCs w:val="24"/>
          <w:shd w:val="clear" w:color="auto" w:fill="FFFFFF"/>
        </w:rPr>
        <w:t>(9), pp.943-951.</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Helm, J.H., Katz, L.G. and Wilson, R., (2023). </w:t>
      </w:r>
      <w:r w:rsidRPr="00EF4294">
        <w:rPr>
          <w:rFonts w:ascii="Times New Roman" w:hAnsi="Times New Roman" w:cs="Times New Roman"/>
          <w:i/>
          <w:iCs/>
          <w:color w:val="000000" w:themeColor="text1"/>
          <w:sz w:val="24"/>
          <w:szCs w:val="24"/>
          <w:shd w:val="clear" w:color="auto" w:fill="FFFFFF"/>
        </w:rPr>
        <w:t>Young investigators: The project approach in the early years</w:t>
      </w:r>
      <w:r w:rsidRPr="00EF4294">
        <w:rPr>
          <w:rFonts w:ascii="Times New Roman" w:hAnsi="Times New Roman" w:cs="Times New Roman"/>
          <w:color w:val="000000" w:themeColor="text1"/>
          <w:sz w:val="24"/>
          <w:szCs w:val="24"/>
          <w:shd w:val="clear" w:color="auto" w:fill="FFFFFF"/>
        </w:rPr>
        <w:t>. Teachers College Press.</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rPr>
        <w:t>Hua, Z., Wei, L. and Jankowicz-Pytel, D., (2019). Translanguaging and embodied teaching and learning: Lessons from a multilingual karate club in London. International Journal of Bilingual Education and Bilingualism.</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lastRenderedPageBreak/>
        <w:t>Kamat, M.A., Blackshaw, J.A., Young, R., Surendran, P., Burgess, S., Danesh, J., Butterworth, A.S. and Staley, J.R., (2019). PhenoScanner V2: an expanded tool for searching human genotype–phenotype associations. </w:t>
      </w:r>
      <w:r w:rsidRPr="00EF4294">
        <w:rPr>
          <w:rFonts w:ascii="Times New Roman" w:hAnsi="Times New Roman" w:cs="Times New Roman"/>
          <w:i/>
          <w:iCs/>
          <w:color w:val="000000" w:themeColor="text1"/>
          <w:sz w:val="24"/>
          <w:szCs w:val="24"/>
          <w:shd w:val="clear" w:color="auto" w:fill="FFFFFF"/>
        </w:rPr>
        <w:t>Bioinformatics</w:t>
      </w:r>
      <w:r w:rsidRPr="00EF4294">
        <w:rPr>
          <w:rFonts w:ascii="Times New Roman" w:hAnsi="Times New Roman" w:cs="Times New Roman"/>
          <w:color w:val="000000" w:themeColor="text1"/>
          <w:sz w:val="24"/>
          <w:szCs w:val="24"/>
          <w:shd w:val="clear" w:color="auto" w:fill="FFFFFF"/>
        </w:rPr>
        <w:t>, </w:t>
      </w:r>
      <w:r w:rsidRPr="00EF4294">
        <w:rPr>
          <w:rFonts w:ascii="Times New Roman" w:hAnsi="Times New Roman" w:cs="Times New Roman"/>
          <w:i/>
          <w:iCs/>
          <w:color w:val="000000" w:themeColor="text1"/>
          <w:sz w:val="24"/>
          <w:szCs w:val="24"/>
          <w:shd w:val="clear" w:color="auto" w:fill="FFFFFF"/>
        </w:rPr>
        <w:t>35</w:t>
      </w:r>
      <w:r w:rsidRPr="00EF4294">
        <w:rPr>
          <w:rFonts w:ascii="Times New Roman" w:hAnsi="Times New Roman" w:cs="Times New Roman"/>
          <w:color w:val="000000" w:themeColor="text1"/>
          <w:sz w:val="24"/>
          <w:szCs w:val="24"/>
          <w:shd w:val="clear" w:color="auto" w:fill="FFFFFF"/>
        </w:rPr>
        <w:t>(22), pp.4851-4853.</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rPr>
        <w:t>Karner, A., London, J., Rowangould, D. and Manaugh, K., (2020). From transportation equity to transportation justice: within, through, and beyond the state. journal of planning literature, 35(4), pp.440-459.</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rPr>
        <w:t>Kyere, M. and Ausloos, M., (2021). Corporate governance and firms financial performance in the United Kingdom. International Journal of Finance &amp; Economics, 26(2), pp.1871-1885.</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Kyere, M. and Ausloos, M., (2021). Corporate governance and firms financial performance in the United Kingdom. </w:t>
      </w:r>
      <w:r w:rsidRPr="00EF4294">
        <w:rPr>
          <w:rFonts w:ascii="Times New Roman" w:hAnsi="Times New Roman" w:cs="Times New Roman"/>
          <w:i/>
          <w:iCs/>
          <w:color w:val="000000" w:themeColor="text1"/>
          <w:sz w:val="24"/>
          <w:szCs w:val="24"/>
          <w:shd w:val="clear" w:color="auto" w:fill="FFFFFF"/>
        </w:rPr>
        <w:t>International Journal of Finance &amp; Economics</w:t>
      </w:r>
      <w:r w:rsidRPr="00EF4294">
        <w:rPr>
          <w:rFonts w:ascii="Times New Roman" w:hAnsi="Times New Roman" w:cs="Times New Roman"/>
          <w:color w:val="000000" w:themeColor="text1"/>
          <w:sz w:val="24"/>
          <w:szCs w:val="24"/>
          <w:shd w:val="clear" w:color="auto" w:fill="FFFFFF"/>
        </w:rPr>
        <w:t>, </w:t>
      </w:r>
      <w:r w:rsidRPr="00EF4294">
        <w:rPr>
          <w:rFonts w:ascii="Times New Roman" w:hAnsi="Times New Roman" w:cs="Times New Roman"/>
          <w:i/>
          <w:iCs/>
          <w:color w:val="000000" w:themeColor="text1"/>
          <w:sz w:val="24"/>
          <w:szCs w:val="24"/>
          <w:shd w:val="clear" w:color="auto" w:fill="FFFFFF"/>
        </w:rPr>
        <w:t>26</w:t>
      </w:r>
      <w:r w:rsidRPr="00EF4294">
        <w:rPr>
          <w:rFonts w:ascii="Times New Roman" w:hAnsi="Times New Roman" w:cs="Times New Roman"/>
          <w:color w:val="000000" w:themeColor="text1"/>
          <w:sz w:val="24"/>
          <w:szCs w:val="24"/>
          <w:shd w:val="clear" w:color="auto" w:fill="FFFFFF"/>
        </w:rPr>
        <w:t>(2), pp.1871-1885.</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McNair, T.B., Bensimon, E.M. and Malcom-Piqueux, L., (2020). </w:t>
      </w:r>
      <w:r w:rsidRPr="00EF4294">
        <w:rPr>
          <w:rFonts w:ascii="Times New Roman" w:hAnsi="Times New Roman" w:cs="Times New Roman"/>
          <w:i/>
          <w:iCs/>
          <w:color w:val="000000" w:themeColor="text1"/>
          <w:sz w:val="24"/>
          <w:szCs w:val="24"/>
          <w:shd w:val="clear" w:color="auto" w:fill="FFFFFF"/>
        </w:rPr>
        <w:t>From equity talk to equity walk: Expanding practitioner knowledge for racial justice in higher education</w:t>
      </w:r>
      <w:r w:rsidRPr="00EF4294">
        <w:rPr>
          <w:rFonts w:ascii="Times New Roman" w:hAnsi="Times New Roman" w:cs="Times New Roman"/>
          <w:color w:val="000000" w:themeColor="text1"/>
          <w:sz w:val="24"/>
          <w:szCs w:val="24"/>
          <w:shd w:val="clear" w:color="auto" w:fill="FFFFFF"/>
        </w:rPr>
        <w:t>. John Wiley &amp; Sons.</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Nicholas, J.M. and Steyn, H., (2020). </w:t>
      </w:r>
      <w:r w:rsidRPr="00EF4294">
        <w:rPr>
          <w:rFonts w:ascii="Times New Roman" w:hAnsi="Times New Roman" w:cs="Times New Roman"/>
          <w:i/>
          <w:iCs/>
          <w:color w:val="000000" w:themeColor="text1"/>
          <w:sz w:val="24"/>
          <w:szCs w:val="24"/>
          <w:shd w:val="clear" w:color="auto" w:fill="FFFFFF"/>
        </w:rPr>
        <w:t>Project management for engineering, business and technology</w:t>
      </w:r>
      <w:r w:rsidRPr="00EF4294">
        <w:rPr>
          <w:rFonts w:ascii="Times New Roman" w:hAnsi="Times New Roman" w:cs="Times New Roman"/>
          <w:color w:val="000000" w:themeColor="text1"/>
          <w:sz w:val="24"/>
          <w:szCs w:val="24"/>
          <w:shd w:val="clear" w:color="auto" w:fill="FFFFFF"/>
        </w:rPr>
        <w:t>. Routledge.</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Nolden, C., Barnes, J. and Nicholls, J., (2020). Community energy business model evolution: A review of solar photovoltaic developments in England. </w:t>
      </w:r>
      <w:r w:rsidRPr="00EF4294">
        <w:rPr>
          <w:rFonts w:ascii="Times New Roman" w:hAnsi="Times New Roman" w:cs="Times New Roman"/>
          <w:i/>
          <w:iCs/>
          <w:color w:val="000000" w:themeColor="text1"/>
          <w:sz w:val="24"/>
          <w:szCs w:val="24"/>
          <w:shd w:val="clear" w:color="auto" w:fill="FFFFFF"/>
        </w:rPr>
        <w:t>Renewable and Sustainable Energy Reviews</w:t>
      </w:r>
      <w:r w:rsidRPr="00EF4294">
        <w:rPr>
          <w:rFonts w:ascii="Times New Roman" w:hAnsi="Times New Roman" w:cs="Times New Roman"/>
          <w:color w:val="000000" w:themeColor="text1"/>
          <w:sz w:val="24"/>
          <w:szCs w:val="24"/>
          <w:shd w:val="clear" w:color="auto" w:fill="FFFFFF"/>
        </w:rPr>
        <w:t>, </w:t>
      </w:r>
      <w:r w:rsidRPr="00EF4294">
        <w:rPr>
          <w:rFonts w:ascii="Times New Roman" w:hAnsi="Times New Roman" w:cs="Times New Roman"/>
          <w:i/>
          <w:iCs/>
          <w:color w:val="000000" w:themeColor="text1"/>
          <w:sz w:val="24"/>
          <w:szCs w:val="24"/>
          <w:shd w:val="clear" w:color="auto" w:fill="FFFFFF"/>
        </w:rPr>
        <w:t>122</w:t>
      </w:r>
      <w:r w:rsidRPr="00EF4294">
        <w:rPr>
          <w:rFonts w:ascii="Times New Roman" w:hAnsi="Times New Roman" w:cs="Times New Roman"/>
          <w:color w:val="000000" w:themeColor="text1"/>
          <w:sz w:val="24"/>
          <w:szCs w:val="24"/>
          <w:shd w:val="clear" w:color="auto" w:fill="FFFFFF"/>
        </w:rPr>
        <w:t>, p.109722.</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rPr>
        <w:t>Rhie, A., McCarthy, S.A., Fedrigo, O., Damas, J., Formenti, G., Koren, S., Uliano-Silva, M., Chow, W., Fungtammasan, A., Kim, J. and Lee, C., (2021). Towards complete and error-free genome assemblies of all vertebrate species. Nature, 592(7856), pp.737-746.</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Riess, A.G., (2020). The expansion of the Universe is faster than expected. </w:t>
      </w:r>
      <w:r w:rsidRPr="00EF4294">
        <w:rPr>
          <w:rFonts w:ascii="Times New Roman" w:hAnsi="Times New Roman" w:cs="Times New Roman"/>
          <w:i/>
          <w:iCs/>
          <w:color w:val="000000" w:themeColor="text1"/>
          <w:sz w:val="24"/>
          <w:szCs w:val="24"/>
          <w:shd w:val="clear" w:color="auto" w:fill="FFFFFF"/>
        </w:rPr>
        <w:t>Nature Reviews Physics</w:t>
      </w:r>
      <w:r w:rsidRPr="00EF4294">
        <w:rPr>
          <w:rFonts w:ascii="Times New Roman" w:hAnsi="Times New Roman" w:cs="Times New Roman"/>
          <w:color w:val="000000" w:themeColor="text1"/>
          <w:sz w:val="24"/>
          <w:szCs w:val="24"/>
          <w:shd w:val="clear" w:color="auto" w:fill="FFFFFF"/>
        </w:rPr>
        <w:t>, </w:t>
      </w:r>
      <w:r w:rsidRPr="00EF4294">
        <w:rPr>
          <w:rFonts w:ascii="Times New Roman" w:hAnsi="Times New Roman" w:cs="Times New Roman"/>
          <w:i/>
          <w:iCs/>
          <w:color w:val="000000" w:themeColor="text1"/>
          <w:sz w:val="24"/>
          <w:szCs w:val="24"/>
          <w:shd w:val="clear" w:color="auto" w:fill="FFFFFF"/>
        </w:rPr>
        <w:t>2</w:t>
      </w:r>
      <w:r w:rsidRPr="00EF4294">
        <w:rPr>
          <w:rFonts w:ascii="Times New Roman" w:hAnsi="Times New Roman" w:cs="Times New Roman"/>
          <w:color w:val="000000" w:themeColor="text1"/>
          <w:sz w:val="24"/>
          <w:szCs w:val="24"/>
          <w:shd w:val="clear" w:color="auto" w:fill="FFFFFF"/>
        </w:rPr>
        <w:t>(1), pp.10-12.</w:t>
      </w:r>
    </w:p>
    <w:p w:rsidR="00EF4294" w:rsidRPr="00EF4294" w:rsidRDefault="00EF4294" w:rsidP="00636C0F">
      <w:pPr>
        <w:spacing w:line="360" w:lineRule="auto"/>
        <w:jc w:val="both"/>
        <w:rPr>
          <w:rFonts w:ascii="Times New Roman" w:hAnsi="Times New Roman" w:cs="Times New Roman"/>
          <w:color w:val="000000" w:themeColor="text1"/>
          <w:sz w:val="24"/>
          <w:szCs w:val="24"/>
        </w:rPr>
      </w:pPr>
      <w:r w:rsidRPr="00EF4294">
        <w:rPr>
          <w:rFonts w:ascii="Times New Roman" w:hAnsi="Times New Roman" w:cs="Times New Roman"/>
          <w:color w:val="000000" w:themeColor="text1"/>
          <w:sz w:val="24"/>
          <w:szCs w:val="24"/>
          <w:shd w:val="clear" w:color="auto" w:fill="FFFFFF"/>
        </w:rPr>
        <w:t>Wijesooriya, N.R., Mishra, V., Brand, P.L. and Rubin, B.K., (2020). COVID-19 and telehealth, education, and research adaptations. </w:t>
      </w:r>
      <w:r w:rsidRPr="00EF4294">
        <w:rPr>
          <w:rFonts w:ascii="Times New Roman" w:hAnsi="Times New Roman" w:cs="Times New Roman"/>
          <w:i/>
          <w:iCs/>
          <w:color w:val="000000" w:themeColor="text1"/>
          <w:sz w:val="24"/>
          <w:szCs w:val="24"/>
          <w:shd w:val="clear" w:color="auto" w:fill="FFFFFF"/>
        </w:rPr>
        <w:t>Paediatric respiratory reviews</w:t>
      </w:r>
      <w:r w:rsidRPr="00EF4294">
        <w:rPr>
          <w:rFonts w:ascii="Times New Roman" w:hAnsi="Times New Roman" w:cs="Times New Roman"/>
          <w:color w:val="000000" w:themeColor="text1"/>
          <w:sz w:val="24"/>
          <w:szCs w:val="24"/>
          <w:shd w:val="clear" w:color="auto" w:fill="FFFFFF"/>
        </w:rPr>
        <w:t>, </w:t>
      </w:r>
      <w:r w:rsidRPr="00EF4294">
        <w:rPr>
          <w:rFonts w:ascii="Times New Roman" w:hAnsi="Times New Roman" w:cs="Times New Roman"/>
          <w:i/>
          <w:iCs/>
          <w:color w:val="000000" w:themeColor="text1"/>
          <w:sz w:val="24"/>
          <w:szCs w:val="24"/>
          <w:shd w:val="clear" w:color="auto" w:fill="FFFFFF"/>
        </w:rPr>
        <w:t>35</w:t>
      </w:r>
      <w:r w:rsidRPr="00EF4294">
        <w:rPr>
          <w:rFonts w:ascii="Times New Roman" w:hAnsi="Times New Roman" w:cs="Times New Roman"/>
          <w:color w:val="000000" w:themeColor="text1"/>
          <w:sz w:val="24"/>
          <w:szCs w:val="24"/>
          <w:shd w:val="clear" w:color="auto" w:fill="FFFFFF"/>
        </w:rPr>
        <w:t>, pp.38-42.</w:t>
      </w:r>
    </w:p>
    <w:bookmarkEnd w:id="0"/>
    <w:p w:rsidR="00575674" w:rsidRPr="00B154EE" w:rsidRDefault="00575674" w:rsidP="00636C0F">
      <w:pPr>
        <w:pStyle w:val="Normal1"/>
        <w:spacing w:line="360" w:lineRule="auto"/>
        <w:jc w:val="both"/>
        <w:rPr>
          <w:rFonts w:ascii="Times New Roman" w:hAnsi="Times New Roman" w:cs="Times New Roman"/>
          <w:sz w:val="24"/>
          <w:szCs w:val="24"/>
        </w:rPr>
      </w:pPr>
    </w:p>
    <w:sectPr w:rsidR="00575674" w:rsidRPr="00B154EE" w:rsidSect="002E197C">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2594" w:rsidRDefault="00D52594" w:rsidP="00575674">
      <w:pPr>
        <w:spacing w:line="240" w:lineRule="auto"/>
      </w:pPr>
      <w:r>
        <w:separator/>
      </w:r>
    </w:p>
  </w:endnote>
  <w:endnote w:type="continuationSeparator" w:id="1">
    <w:p w:rsidR="00D52594" w:rsidRDefault="00D52594" w:rsidP="0057567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4026204"/>
      <w:docPartObj>
        <w:docPartGallery w:val="Page Numbers (Bottom of Page)"/>
        <w:docPartUnique/>
      </w:docPartObj>
    </w:sdtPr>
    <w:sdtContent>
      <w:p w:rsidR="00575674" w:rsidRDefault="006049F4">
        <w:pPr>
          <w:pStyle w:val="a7"/>
          <w:jc w:val="right"/>
        </w:pPr>
        <w:r w:rsidRPr="00575674">
          <w:rPr>
            <w:rFonts w:ascii="Times New Roman" w:hAnsi="Times New Roman" w:cs="Times New Roman"/>
            <w:sz w:val="20"/>
            <w:szCs w:val="20"/>
          </w:rPr>
          <w:fldChar w:fldCharType="begin"/>
        </w:r>
        <w:r w:rsidR="00575674" w:rsidRPr="00575674">
          <w:rPr>
            <w:rFonts w:ascii="Times New Roman" w:hAnsi="Times New Roman" w:cs="Times New Roman"/>
            <w:sz w:val="20"/>
            <w:szCs w:val="20"/>
          </w:rPr>
          <w:instrText xml:space="preserve"> PAGE   \* MERGEFORMAT </w:instrText>
        </w:r>
        <w:r w:rsidRPr="00575674">
          <w:rPr>
            <w:rFonts w:ascii="Times New Roman" w:hAnsi="Times New Roman" w:cs="Times New Roman"/>
            <w:sz w:val="20"/>
            <w:szCs w:val="20"/>
          </w:rPr>
          <w:fldChar w:fldCharType="separate"/>
        </w:r>
        <w:r w:rsidR="00582FC5">
          <w:rPr>
            <w:rFonts w:ascii="Times New Roman" w:hAnsi="Times New Roman" w:cs="Times New Roman"/>
            <w:noProof/>
            <w:sz w:val="20"/>
            <w:szCs w:val="20"/>
          </w:rPr>
          <w:t>1</w:t>
        </w:r>
        <w:r w:rsidRPr="00575674">
          <w:rPr>
            <w:rFonts w:ascii="Times New Roman" w:hAnsi="Times New Roman" w:cs="Times New Roman"/>
            <w:sz w:val="20"/>
            <w:szCs w:val="20"/>
          </w:rPr>
          <w:fldChar w:fldCharType="end"/>
        </w:r>
      </w:p>
    </w:sdtContent>
  </w:sdt>
  <w:p w:rsidR="00575674" w:rsidRDefault="00575674">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2594" w:rsidRDefault="00D52594" w:rsidP="00575674">
      <w:pPr>
        <w:spacing w:line="240" w:lineRule="auto"/>
      </w:pPr>
      <w:r>
        <w:separator/>
      </w:r>
    </w:p>
  </w:footnote>
  <w:footnote w:type="continuationSeparator" w:id="1">
    <w:p w:rsidR="00D52594" w:rsidRDefault="00D52594" w:rsidP="00575674">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F14388"/>
    <w:rsid w:val="002505DD"/>
    <w:rsid w:val="002E197C"/>
    <w:rsid w:val="004F558F"/>
    <w:rsid w:val="005255C0"/>
    <w:rsid w:val="00575674"/>
    <w:rsid w:val="00582FC5"/>
    <w:rsid w:val="006049F4"/>
    <w:rsid w:val="00636C0F"/>
    <w:rsid w:val="006671D3"/>
    <w:rsid w:val="006F0185"/>
    <w:rsid w:val="007872CD"/>
    <w:rsid w:val="00A04976"/>
    <w:rsid w:val="00B154EE"/>
    <w:rsid w:val="00D52594"/>
    <w:rsid w:val="00D829BB"/>
    <w:rsid w:val="00D97101"/>
    <w:rsid w:val="00DB7B08"/>
    <w:rsid w:val="00ED6DB2"/>
    <w:rsid w:val="00EF4294"/>
    <w:rsid w:val="00F14388"/>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04976"/>
  </w:style>
  <w:style w:type="paragraph" w:styleId="1">
    <w:name w:val="heading 1"/>
    <w:basedOn w:val="Normal1"/>
    <w:next w:val="Normal1"/>
    <w:rsid w:val="00B154EE"/>
    <w:pPr>
      <w:keepNext/>
      <w:keepLines/>
      <w:spacing w:before="400" w:after="120"/>
      <w:jc w:val="both"/>
      <w:outlineLvl w:val="0"/>
    </w:pPr>
    <w:rPr>
      <w:rFonts w:ascii="Times New Roman" w:hAnsi="Times New Roman"/>
      <w:b/>
      <w:sz w:val="28"/>
      <w:szCs w:val="40"/>
    </w:rPr>
  </w:style>
  <w:style w:type="paragraph" w:styleId="2">
    <w:name w:val="heading 2"/>
    <w:basedOn w:val="Normal1"/>
    <w:next w:val="Normal1"/>
    <w:rsid w:val="00F14388"/>
    <w:pPr>
      <w:keepNext/>
      <w:keepLines/>
      <w:spacing w:before="360" w:after="120"/>
      <w:outlineLvl w:val="1"/>
    </w:pPr>
    <w:rPr>
      <w:sz w:val="32"/>
      <w:szCs w:val="32"/>
    </w:rPr>
  </w:style>
  <w:style w:type="paragraph" w:styleId="3">
    <w:name w:val="heading 3"/>
    <w:basedOn w:val="Normal1"/>
    <w:next w:val="Normal1"/>
    <w:rsid w:val="00F14388"/>
    <w:pPr>
      <w:keepNext/>
      <w:keepLines/>
      <w:spacing w:before="320" w:after="80"/>
      <w:outlineLvl w:val="2"/>
    </w:pPr>
    <w:rPr>
      <w:color w:val="434343"/>
      <w:sz w:val="28"/>
      <w:szCs w:val="28"/>
    </w:rPr>
  </w:style>
  <w:style w:type="paragraph" w:styleId="4">
    <w:name w:val="heading 4"/>
    <w:basedOn w:val="Normal1"/>
    <w:next w:val="Normal1"/>
    <w:rsid w:val="00F14388"/>
    <w:pPr>
      <w:keepNext/>
      <w:keepLines/>
      <w:spacing w:before="280" w:after="80"/>
      <w:outlineLvl w:val="3"/>
    </w:pPr>
    <w:rPr>
      <w:color w:val="666666"/>
      <w:sz w:val="24"/>
      <w:szCs w:val="24"/>
    </w:rPr>
  </w:style>
  <w:style w:type="paragraph" w:styleId="5">
    <w:name w:val="heading 5"/>
    <w:basedOn w:val="Normal1"/>
    <w:next w:val="Normal1"/>
    <w:rsid w:val="00F14388"/>
    <w:pPr>
      <w:keepNext/>
      <w:keepLines/>
      <w:spacing w:before="240" w:after="80"/>
      <w:outlineLvl w:val="4"/>
    </w:pPr>
    <w:rPr>
      <w:color w:val="666666"/>
    </w:rPr>
  </w:style>
  <w:style w:type="paragraph" w:styleId="6">
    <w:name w:val="heading 6"/>
    <w:basedOn w:val="Normal1"/>
    <w:next w:val="Normal1"/>
    <w:rsid w:val="00F14388"/>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F14388"/>
  </w:style>
  <w:style w:type="paragraph" w:styleId="a3">
    <w:name w:val="Title"/>
    <w:basedOn w:val="Normal1"/>
    <w:next w:val="Normal1"/>
    <w:rsid w:val="00F14388"/>
    <w:pPr>
      <w:keepNext/>
      <w:keepLines/>
      <w:spacing w:after="60"/>
    </w:pPr>
    <w:rPr>
      <w:sz w:val="52"/>
      <w:szCs w:val="52"/>
    </w:rPr>
  </w:style>
  <w:style w:type="paragraph" w:styleId="a4">
    <w:name w:val="Subtitle"/>
    <w:basedOn w:val="Normal1"/>
    <w:next w:val="Normal1"/>
    <w:rsid w:val="00F14388"/>
    <w:pPr>
      <w:keepNext/>
      <w:keepLines/>
      <w:spacing w:after="320"/>
    </w:pPr>
    <w:rPr>
      <w:color w:val="666666"/>
      <w:sz w:val="30"/>
      <w:szCs w:val="30"/>
    </w:rPr>
  </w:style>
  <w:style w:type="paragraph" w:styleId="a5">
    <w:name w:val="header"/>
    <w:basedOn w:val="a"/>
    <w:link w:val="a6"/>
    <w:uiPriority w:val="99"/>
    <w:semiHidden/>
    <w:unhideWhenUsed/>
    <w:rsid w:val="00575674"/>
    <w:pPr>
      <w:tabs>
        <w:tab w:val="center" w:pos="4680"/>
        <w:tab w:val="right" w:pos="9360"/>
      </w:tabs>
      <w:spacing w:line="240" w:lineRule="auto"/>
    </w:pPr>
  </w:style>
  <w:style w:type="character" w:customStyle="1" w:styleId="a6">
    <w:name w:val="Горен колонтитул Знак"/>
    <w:basedOn w:val="a0"/>
    <w:link w:val="a5"/>
    <w:uiPriority w:val="99"/>
    <w:semiHidden/>
    <w:rsid w:val="00575674"/>
  </w:style>
  <w:style w:type="paragraph" w:styleId="a7">
    <w:name w:val="footer"/>
    <w:basedOn w:val="a"/>
    <w:link w:val="a8"/>
    <w:uiPriority w:val="99"/>
    <w:unhideWhenUsed/>
    <w:rsid w:val="00575674"/>
    <w:pPr>
      <w:tabs>
        <w:tab w:val="center" w:pos="4680"/>
        <w:tab w:val="right" w:pos="9360"/>
      </w:tabs>
      <w:spacing w:line="240" w:lineRule="auto"/>
    </w:pPr>
  </w:style>
  <w:style w:type="character" w:customStyle="1" w:styleId="a8">
    <w:name w:val="Долен колонтитул Знак"/>
    <w:basedOn w:val="a0"/>
    <w:link w:val="a7"/>
    <w:uiPriority w:val="99"/>
    <w:rsid w:val="00575674"/>
  </w:style>
  <w:style w:type="paragraph" w:styleId="a9">
    <w:name w:val="TOC Heading"/>
    <w:basedOn w:val="1"/>
    <w:next w:val="a"/>
    <w:uiPriority w:val="39"/>
    <w:semiHidden/>
    <w:unhideWhenUsed/>
    <w:qFormat/>
    <w:rsid w:val="00575674"/>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10">
    <w:name w:val="toc 1"/>
    <w:basedOn w:val="a"/>
    <w:next w:val="a"/>
    <w:autoRedefine/>
    <w:uiPriority w:val="39"/>
    <w:unhideWhenUsed/>
    <w:rsid w:val="00575674"/>
    <w:pPr>
      <w:spacing w:after="100"/>
    </w:pPr>
  </w:style>
  <w:style w:type="character" w:styleId="aa">
    <w:name w:val="Hyperlink"/>
    <w:basedOn w:val="a0"/>
    <w:uiPriority w:val="99"/>
    <w:unhideWhenUsed/>
    <w:rsid w:val="00575674"/>
    <w:rPr>
      <w:color w:val="0000FF" w:themeColor="hyperlink"/>
      <w:u w:val="single"/>
    </w:rPr>
  </w:style>
  <w:style w:type="paragraph" w:styleId="ab">
    <w:name w:val="Balloon Text"/>
    <w:basedOn w:val="a"/>
    <w:link w:val="ac"/>
    <w:uiPriority w:val="99"/>
    <w:semiHidden/>
    <w:unhideWhenUsed/>
    <w:rsid w:val="00575674"/>
    <w:pPr>
      <w:spacing w:line="240" w:lineRule="auto"/>
    </w:pPr>
    <w:rPr>
      <w:rFonts w:ascii="Tahoma" w:hAnsi="Tahoma" w:cs="Tahoma"/>
      <w:sz w:val="16"/>
      <w:szCs w:val="16"/>
    </w:rPr>
  </w:style>
  <w:style w:type="character" w:customStyle="1" w:styleId="ac">
    <w:name w:val="Изнесен текст Знак"/>
    <w:basedOn w:val="a0"/>
    <w:link w:val="ab"/>
    <w:uiPriority w:val="99"/>
    <w:semiHidden/>
    <w:rsid w:val="0057567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C390D8-14DD-4E04-95AE-BBE8129C0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11</Pages>
  <Words>3437</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20141009</cp:lastModifiedBy>
  <cp:revision>14</cp:revision>
  <dcterms:created xsi:type="dcterms:W3CDTF">2023-11-18T17:19:00Z</dcterms:created>
  <dcterms:modified xsi:type="dcterms:W3CDTF">2023-12-01T22:54:00Z</dcterms:modified>
</cp:coreProperties>
</file>