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53FA9E" w14:textId="0B003084" w:rsidR="007E486A" w:rsidRDefault="007E486A" w:rsidP="007E486A">
      <w:pPr>
        <w:pStyle w:val="NormalWeb"/>
        <w:jc w:val="center"/>
        <w:rPr>
          <w:b/>
          <w:bCs/>
        </w:rPr>
      </w:pPr>
      <w:r>
        <w:rPr>
          <w:b/>
          <w:bCs/>
        </w:rPr>
        <w:t xml:space="preserve">Lenuta Raducanu </w:t>
      </w:r>
    </w:p>
    <w:p w14:paraId="5DDBB6FA" w14:textId="0369D92C" w:rsidR="007E486A" w:rsidRDefault="006A1071" w:rsidP="007E486A">
      <w:pPr>
        <w:pStyle w:val="NormalWeb"/>
        <w:jc w:val="center"/>
        <w:rPr>
          <w:b/>
          <w:bCs/>
        </w:rPr>
      </w:pPr>
      <w:r>
        <w:rPr>
          <w:b/>
          <w:bCs/>
        </w:rPr>
        <w:t xml:space="preserve">Interpreting Hebrew Bible </w:t>
      </w:r>
    </w:p>
    <w:p w14:paraId="44DE412C" w14:textId="4569DE0D" w:rsidR="006A1071" w:rsidRDefault="006A1071" w:rsidP="007E486A">
      <w:pPr>
        <w:pStyle w:val="NormalWeb"/>
        <w:jc w:val="center"/>
        <w:rPr>
          <w:b/>
          <w:bCs/>
        </w:rPr>
      </w:pPr>
      <w:r>
        <w:rPr>
          <w:b/>
          <w:bCs/>
        </w:rPr>
        <w:t xml:space="preserve">Assessment One </w:t>
      </w:r>
    </w:p>
    <w:p w14:paraId="718080D5" w14:textId="77777777" w:rsidR="006A1071" w:rsidRPr="006A1071" w:rsidRDefault="006A1071" w:rsidP="006A1071">
      <w:pPr>
        <w:pStyle w:val="NormalWeb"/>
        <w:jc w:val="center"/>
        <w:rPr>
          <w:b/>
          <w:bCs/>
          <w:lang w:val="en-US"/>
        </w:rPr>
      </w:pPr>
      <w:r w:rsidRPr="006A1071">
        <w:rPr>
          <w:b/>
          <w:bCs/>
          <w:lang w:val="en-US"/>
        </w:rPr>
        <w:t>Textual Analysis of Genesis 1–3 and Genesis 12:1–3</w:t>
      </w:r>
    </w:p>
    <w:p w14:paraId="02FDDB5E" w14:textId="77777777" w:rsidR="006A1071" w:rsidRDefault="006A1071" w:rsidP="007E486A">
      <w:pPr>
        <w:pStyle w:val="NormalWeb"/>
        <w:jc w:val="center"/>
        <w:rPr>
          <w:b/>
          <w:bCs/>
        </w:rPr>
      </w:pPr>
    </w:p>
    <w:p w14:paraId="6EBE39BD" w14:textId="77777777" w:rsidR="006A1071" w:rsidRDefault="006A1071" w:rsidP="007E486A">
      <w:pPr>
        <w:pStyle w:val="NormalWeb"/>
        <w:jc w:val="center"/>
        <w:rPr>
          <w:b/>
          <w:bCs/>
        </w:rPr>
      </w:pPr>
    </w:p>
    <w:p w14:paraId="26C93EC6" w14:textId="5D5CD1EA" w:rsidR="00960F2A" w:rsidRPr="007E486A" w:rsidRDefault="00960F2A" w:rsidP="00960F2A">
      <w:pPr>
        <w:pStyle w:val="NormalWeb"/>
        <w:rPr>
          <w:b/>
          <w:bCs/>
        </w:rPr>
      </w:pPr>
      <w:r w:rsidRPr="007E486A">
        <w:rPr>
          <w:b/>
          <w:bCs/>
        </w:rPr>
        <w:t>INTRODUCTION</w:t>
      </w:r>
    </w:p>
    <w:p w14:paraId="117A07BA" w14:textId="77777777" w:rsidR="00960F2A" w:rsidRDefault="00960F2A" w:rsidP="00960F2A">
      <w:pPr>
        <w:pStyle w:val="NormalWeb"/>
      </w:pPr>
      <w:r>
        <w:t>Genesis 1-3, along with Genesis 12:1-3, are some of the earliest texts in the Hebrew Bible, which have had significant impacts upon both the Jewish and Christian perspectives of Creation, Humanity, Moral Responsibility, Covenant and Divine Purpose. They continue to be influential throughout Theology, Ethics and Literature, providing insight into the human condition and the relationship between the Divine Initiative and Human Response. As such, this assignment will provide a detailed textual analysis of both Genesis 1-3 and Genesis 12:1-3 using a combination of Historical-Criticism and Literary Criticism. The textual analyses will explore the structural elements of the texts, as well as the thematic elements of each passage, and will engage with Feminist Interpretation of the texts as they relate to the original contexts of each passage. The goal of this assignment is to provide an academically coherent reading of the passages that clearly demonstrates methodological clarity and a strong understanding of the texts without the use of footnotes as per the request. The expanded version will include approximately 2,000 words of polished academic writing.</w:t>
      </w:r>
    </w:p>
    <w:p w14:paraId="11871D3A" w14:textId="77777777" w:rsidR="00960F2A" w:rsidRPr="00960F2A" w:rsidRDefault="00960F2A" w:rsidP="00960F2A">
      <w:pPr>
        <w:pStyle w:val="NormalWeb"/>
        <w:rPr>
          <w:b/>
          <w:bCs/>
        </w:rPr>
      </w:pPr>
      <w:r w:rsidRPr="00960F2A">
        <w:rPr>
          <w:b/>
          <w:bCs/>
        </w:rPr>
        <w:t>TEXTUAL AND THEMATIC ANALYSIS OF GENESIS 1-3</w:t>
      </w:r>
    </w:p>
    <w:p w14:paraId="0778E575" w14:textId="77777777" w:rsidR="00960F2A" w:rsidRDefault="00960F2A" w:rsidP="00960F2A">
      <w:pPr>
        <w:pStyle w:val="NormalWeb"/>
      </w:pPr>
      <w:r>
        <w:t>Genesis 1-3 contains two different but interrelated creation stories. Genesis 1:1-2:3, often associated with the Priestly Source (P), depicts a structured, cosmological view of creation with repetition, pattern and divine speech. Genesis 1 begins with a void that was unformed and then develops over six stages of creation until the seventh stage is reached which is the Sabbath. The repetitive nature of the creation account supports the Priestly emphasis on Order, Holiness and Rhythm as key themes in Israel's future worship. Each of the six acts of creation are developed through divine decrees--"And God Said." The divine word is demonstrated to create and organize reality through these decrees.</w:t>
      </w:r>
    </w:p>
    <w:p w14:paraId="44077380" w14:textId="77777777" w:rsidR="00960F2A" w:rsidRDefault="00960F2A" w:rsidP="00960F2A">
      <w:pPr>
        <w:pStyle w:val="NormalWeb"/>
      </w:pPr>
      <w:r>
        <w:t>Humans emerge as the climax of creation. The statement that humans were created "in the image of God," has been interpreted in several manners: A Royal Function, where humanity represents God on earth; Relational Capacity, where humanity's ability to interact with God is emphasized; and Moral Responsibility, emphasizing humanity's capacity for ethical decision-making. The simultaneous creation of male and female emphasizes equality and partnership, highlighting the equal dignity and calling of all humanity.</w:t>
      </w:r>
    </w:p>
    <w:p w14:paraId="6CE6BF9A" w14:textId="77777777" w:rsidR="00960F2A" w:rsidRDefault="00960F2A" w:rsidP="00960F2A">
      <w:pPr>
        <w:pStyle w:val="NormalWeb"/>
      </w:pPr>
      <w:r>
        <w:t xml:space="preserve">Genesis 2:4-3:24 presents an alternative but complementary creation account associated with the Yahwist Source (J). In this creation account, God forms humanity from dust and breath, plants a garden, crafts animals and creates woman from the man's side. God's depiction as a craftsman and a gardener provides a more personal and relational image of God. The focus </w:t>
      </w:r>
      <w:r>
        <w:lastRenderedPageBreak/>
        <w:t>shifts from the order of the cosmos to the experience of humanity. The Garden of Eden serves as both a place of provision and a location of humanity's vocation: the human is placed in the garden to "till and keep" the land, signifying humanity's role as a caretaker, steward and partner with creation.</w:t>
      </w:r>
    </w:p>
    <w:p w14:paraId="6B51696F" w14:textId="77777777" w:rsidR="00960F2A" w:rsidRDefault="00960F2A" w:rsidP="00960F2A">
      <w:pPr>
        <w:pStyle w:val="NormalWeb"/>
      </w:pPr>
      <w:r>
        <w:t>In particular, the relationship between men and women is addressed in detail. The term "Helper Corresponding to Him," does not indicate subordination as "helper" is often used to describe God in Israel's traditions. Instead, the narrative highlights the mutualism and relational equivalence of humanity through the man's poetic recognition of shared identity: "Bone of My Bones and Flesh of My Flesh." The narrative promotes harmony and cooperation as it establishes an ideal of human partnership based upon mutuality.</w:t>
      </w:r>
    </w:p>
    <w:p w14:paraId="2D46B625" w14:textId="77777777" w:rsidR="00960F2A" w:rsidRDefault="00960F2A" w:rsidP="00960F2A">
      <w:pPr>
        <w:pStyle w:val="NormalWeb"/>
      </w:pPr>
      <w:r>
        <w:t>Genesis 3 brings tension and complexity to this previously harmonious world. The serpent, described as "crafty" and not "evil," converses with the woman about God's command. The narrative offers a complex consideration of human agency, desire and autonomy. The woman views the fruit as desired for the sake of obtaining wisdom, illustrating the ambiguity of human desires. The act of eating is not depicted as inherently wicked but rather as humanity grappling with the limits and boundaries of its existence.</w:t>
      </w:r>
    </w:p>
    <w:p w14:paraId="0CC675CC" w14:textId="66704C0A" w:rsidR="00960F2A" w:rsidRDefault="00960F2A" w:rsidP="00960F2A">
      <w:pPr>
        <w:pStyle w:val="NormalWeb"/>
      </w:pPr>
      <w:r>
        <w:t xml:space="preserve">The consequences that arise out of this altered </w:t>
      </w:r>
      <w:r w:rsidR="006A1071">
        <w:t>situation</w:t>
      </w:r>
      <w:r>
        <w:t xml:space="preserve"> transform fundamental characteristics of human existence. The altered relationships, including humanity's struggle with the serpent, the fractured relationship between the sexes and humanity's struggle to cultivate the soil, reflect realities that would have been understood by ancient peoples. Suffering, hard work, frustration and death become defining characteristics of life outside of the garden. Yet despite the judgment, the narrative illustrates the care of God for humanity: God makes clothes for the man and woman, demonstrating that the divine-human relationship remains intact despite humanity's failures.</w:t>
      </w:r>
    </w:p>
    <w:p w14:paraId="34A1CA1C" w14:textId="141AE879" w:rsidR="00960F2A" w:rsidRDefault="00960F2A" w:rsidP="00960F2A">
      <w:pPr>
        <w:pStyle w:val="NormalWeb"/>
      </w:pPr>
      <w:r>
        <w:t xml:space="preserve">In general, Genesis 1-3 presents a profoundly rich and varied perspective on the human condition. Humans are presented as dignified yet flawed, capable of making decisions based on moral agency yet susceptible to error. Both accounts draw upon common ancient Near East themes but present a unique </w:t>
      </w:r>
      <w:r w:rsidR="006A1071">
        <w:t>monotheistic</w:t>
      </w:r>
      <w:r>
        <w:t xml:space="preserve"> view of creation devoid of divine conflict or violence. The accounts present multiple options to readers regarding the tensions between freedom and responsibility, desire and limit, order and chaos.</w:t>
      </w:r>
    </w:p>
    <w:p w14:paraId="4226B9AB" w14:textId="77777777" w:rsidR="00960F2A" w:rsidRDefault="00960F2A" w:rsidP="00960F2A">
      <w:pPr>
        <w:pStyle w:val="NormalWeb"/>
      </w:pPr>
      <w:r>
        <w:t>Although Genesis 12:1–3 is a new narrative section relative to Genesis 1–11, both sections are still related in their theological themes. Genesis 1–3 describes the potential for humanity to relate to others and to responsibly exercise its free will. The consequences of humanity's misuse of this freedom are shown in the stories of Cain and Abel, and the subsequent expulsion of Adam and Eve from the Garden of Eden. Genesis 12:1–3 provides a new beginning to the story of humanity. Instead of describing humanity's failure, this new beginning focuses on the potential for humanity to receive divine blessing through Abraham and ultimately through Abraham's descendants, the people of Israel.</w:t>
      </w:r>
    </w:p>
    <w:p w14:paraId="62ADA85D" w14:textId="77777777" w:rsidR="00960F2A" w:rsidRDefault="00960F2A" w:rsidP="00960F2A">
      <w:pPr>
        <w:pStyle w:val="NormalWeb"/>
      </w:pPr>
      <w:r>
        <w:t>In terms of literary structure, Genesis 12:1–3 is very short; however, theologically, it is rich in content. First, God commands Abram to "go from your country, your kindred, and your father's house." This command is significant because it is a three-part departure. That is, Abram is being commanded to leave behind his geographical area, his social network, and his family's protection. A command like this would have been especially impactful in the ancient Near East, where identity and survival were dependent upon kinship ties.</w:t>
      </w:r>
    </w:p>
    <w:p w14:paraId="3B20F06C" w14:textId="48E68B05" w:rsidR="00960F2A" w:rsidRDefault="00960F2A" w:rsidP="00960F2A">
      <w:pPr>
        <w:pStyle w:val="NormalWeb"/>
      </w:pPr>
      <w:r>
        <w:lastRenderedPageBreak/>
        <w:t xml:space="preserve">Next, God makes several promises to Abram. He promises him land, descendants, blessings, and a great name. These promises form the basis of Abram's continued journey throughout the remainder of the book of </w:t>
      </w:r>
      <w:r w:rsidR="006A1071">
        <w:t>Genesis and</w:t>
      </w:r>
      <w:r>
        <w:t xml:space="preserve"> establish the way that the people of Israel will understand themselves in relation to the surrounding nations. Furthermore, the promise that Abram's name will be great contrasts sharply with the earlier narrative of the Tower of Babel, where humanity sought to create a name for itself. In Genesis 12, greatness comes not through humanity's own ambitions, but through God's initiative.</w:t>
      </w:r>
    </w:p>
    <w:p w14:paraId="79B423A4" w14:textId="1AC212F5" w:rsidR="00960F2A" w:rsidRDefault="00960F2A" w:rsidP="00960F2A">
      <w:pPr>
        <w:pStyle w:val="NormalWeb"/>
      </w:pPr>
      <w:r>
        <w:t xml:space="preserve">Finally, the most dramatic portion of the passage is when God declares to Abram that "in you all families of the earth shall be blessed." This statement locates Abram within a larger universe, indicating that God's intention extends far beyond Abram's own family or nation. The concept of blessing indicates restoration and reconciliation, providing an alternative narrative to the fragmentation and alienation seen in Genesis 3-11. Theologically, Genesis 12:1-3 marks a turn away from a universal brokenness and towards redemptive purposes, indicating that God's grace works historically through </w:t>
      </w:r>
      <w:r w:rsidR="006A1071">
        <w:t>relationships</w:t>
      </w:r>
      <w:r>
        <w:t>.</w:t>
      </w:r>
    </w:p>
    <w:p w14:paraId="0EC84491" w14:textId="08BE0CC4" w:rsidR="00960F2A" w:rsidRDefault="00960F2A" w:rsidP="00960F2A">
      <w:pPr>
        <w:pStyle w:val="NormalWeb"/>
      </w:pPr>
      <w:r>
        <w:t xml:space="preserve">From a historical-critical standpoint, the story of Abram is reflective of many other migrations in the ancient Near East. Archaeological records demonstrate movements of peoples from Mesopotamia to Canaan during the </w:t>
      </w:r>
      <w:r w:rsidR="006A1071">
        <w:t>period</w:t>
      </w:r>
      <w:r>
        <w:t xml:space="preserve"> reflected in the narrative. From a literary standpoint, Genesis 12:1-3 marks the transition from primordial mythology to the story of Israel's ancestors. As such, it emphasizes divine calling, faith, trust, and journey — all major themes in the portrayal of Abram.</w:t>
      </w:r>
    </w:p>
    <w:p w14:paraId="33FB1710" w14:textId="77777777" w:rsidR="00960F2A" w:rsidRPr="00960F2A" w:rsidRDefault="00960F2A" w:rsidP="00960F2A">
      <w:pPr>
        <w:pStyle w:val="NormalWeb"/>
        <w:rPr>
          <w:b/>
          <w:bCs/>
        </w:rPr>
      </w:pPr>
      <w:r w:rsidRPr="00960F2A">
        <w:rPr>
          <w:b/>
          <w:bCs/>
        </w:rPr>
        <w:t>RELATING THE TEXTS TOGETHER</w:t>
      </w:r>
    </w:p>
    <w:p w14:paraId="42B096FB" w14:textId="77777777" w:rsidR="00960F2A" w:rsidRDefault="00960F2A" w:rsidP="00960F2A">
      <w:pPr>
        <w:pStyle w:val="NormalWeb"/>
      </w:pPr>
      <w:r>
        <w:t>Even though Genesis 1-3 and Genesis 12:1-3 represent two distinct narrative sections, they are interconnected at a theological level. Genesis 1-3 presents a comprehensive view of humanity: its potential for dignity, purpose, struggle, and relationship; as well as the results of humanity's misuse of its freedom. Genesis 12:1-3 presents a historical pathway through which redemption and blessing may occur. Specifically, God's promise to Abram that "all families of the earth shall be blessed" connects with the comprehensive scope of the Priestly Creation account, indicating a connection between creation and covenant.</w:t>
      </w:r>
    </w:p>
    <w:p w14:paraId="0B9CF0AE" w14:textId="77777777" w:rsidR="00960F2A" w:rsidRDefault="00960F2A" w:rsidP="00960F2A">
      <w:pPr>
        <w:pStyle w:val="NormalWeb"/>
      </w:pPr>
      <w:r>
        <w:t>Together, the passages present a narrative progression from creation and loss to restoration and promise. While Genesis 3 presents the picture of fractured human relationships and exile from the Garden, Genesis 12 presents a new beginning based on God's initiative. Through Abram, God establishes a pathway through which the story of humanity after the fall is not necessarily one of continued deterioration, but one of hope, calling, and renewal.</w:t>
      </w:r>
    </w:p>
    <w:p w14:paraId="1ECA005B" w14:textId="77777777" w:rsidR="00960F2A" w:rsidRPr="00960F2A" w:rsidRDefault="00960F2A" w:rsidP="00960F2A">
      <w:pPr>
        <w:pStyle w:val="NormalWeb"/>
        <w:jc w:val="center"/>
        <w:rPr>
          <w:b/>
          <w:bCs/>
          <w:sz w:val="28"/>
          <w:szCs w:val="28"/>
        </w:rPr>
      </w:pPr>
      <w:r w:rsidRPr="00960F2A">
        <w:rPr>
          <w:b/>
          <w:bCs/>
          <w:sz w:val="28"/>
          <w:szCs w:val="28"/>
        </w:rPr>
        <w:t>MODERN PERSPECTIVE: FEMINIST INTERPRETATION OF GENESIS 1-3 AND GENESIS 12:1-3</w:t>
      </w:r>
    </w:p>
    <w:p w14:paraId="467C5EED" w14:textId="77777777" w:rsidR="00960F2A" w:rsidRDefault="00960F2A" w:rsidP="00960F2A">
      <w:pPr>
        <w:pStyle w:val="NormalWeb"/>
      </w:pPr>
      <w:r>
        <w:t xml:space="preserve">Feminist scholarship has greatly enhanced modern interpretive approaches to Genesis 1-3 and 12:1-3. Feminist scholars argue that both sections of the Bible have traditionally been interpreted through patriarchal lenses that limit the original nuance of the text. For example, Genesis 1 presents the simultaneous creation of male and female as a basis for equality, thus directly challenging established gender hierarchies. Additionally, feminist scholars offer a </w:t>
      </w:r>
      <w:proofErr w:type="spellStart"/>
      <w:r>
        <w:t>reevaluation</w:t>
      </w:r>
      <w:proofErr w:type="spellEnd"/>
      <w:r>
        <w:t xml:space="preserve"> of the depiction of women in Genesis 2 as helpers who correspond to men, viewing this as an affirmation of complementarity as opposed to subordination. Finally, feminist scholars argue that the characterization of Eve as the primary initiator of sin in </w:t>
      </w:r>
      <w:r>
        <w:lastRenderedPageBreak/>
        <w:t>Genesis 3 is inaccurate, and that both males and females are presented as actively participating in disobedience.</w:t>
      </w:r>
    </w:p>
    <w:p w14:paraId="2C5288F5" w14:textId="3F0599B4" w:rsidR="00960F2A" w:rsidRDefault="00960F2A" w:rsidP="00960F2A">
      <w:pPr>
        <w:pStyle w:val="NormalWeb"/>
      </w:pPr>
      <w:r>
        <w:t xml:space="preserve">Regarding Genesis 12, feminist scholars study the implications of Abraham's call for </w:t>
      </w:r>
      <w:proofErr w:type="gramStart"/>
      <w:r>
        <w:t>Sarah  whose</w:t>
      </w:r>
      <w:proofErr w:type="gramEnd"/>
      <w:r>
        <w:t xml:space="preserve"> perspective is absent from the passage. They explore how patriarchal structures of society impact the narrative and raise questions about the price of divine calling for those whose voices continue to be marginalized. Overall, feminist scholarly critiques provide a broader and more inclusive understanding of biblical narratives while bringing to light the experiences that are frequently ignored in traditional exegetical analysis.</w:t>
      </w:r>
    </w:p>
    <w:p w14:paraId="1BFBE6D7" w14:textId="77777777" w:rsidR="006A1071" w:rsidRDefault="00960F2A" w:rsidP="00960F2A">
      <w:pPr>
        <w:pStyle w:val="NormalWeb"/>
      </w:pPr>
      <w:r>
        <w:t xml:space="preserve">Limitations of feminist interpretation exist as well. Some feminist interpretations have the tendency to project modern categories onto ancient texts, and some have overemphasized egalitarian aspects of texts written within patriarchal societies. Nevertheless, feminist critique is essential in illustrating underrepresented perspectives and challenging the assumptions that </w:t>
      </w:r>
      <w:r w:rsidR="006A1071">
        <w:t xml:space="preserve"> </w:t>
      </w:r>
    </w:p>
    <w:p w14:paraId="755CF731" w14:textId="4FCB3410" w:rsidR="00960F2A" w:rsidRPr="006A1071" w:rsidRDefault="006A1071" w:rsidP="00960F2A">
      <w:pPr>
        <w:pStyle w:val="NormalWeb"/>
        <w:rPr>
          <w:b/>
          <w:bCs/>
          <w:sz w:val="28"/>
          <w:szCs w:val="28"/>
        </w:rPr>
      </w:pPr>
      <w:r w:rsidRPr="006A1071">
        <w:rPr>
          <w:b/>
          <w:bCs/>
          <w:sz w:val="28"/>
          <w:szCs w:val="28"/>
        </w:rPr>
        <w:t>C</w:t>
      </w:r>
      <w:r>
        <w:rPr>
          <w:b/>
          <w:bCs/>
          <w:sz w:val="28"/>
          <w:szCs w:val="28"/>
        </w:rPr>
        <w:t>ONCLUSION</w:t>
      </w:r>
    </w:p>
    <w:p w14:paraId="544BF42D" w14:textId="7E4A3413" w:rsidR="00960F2A" w:rsidRDefault="00960F2A" w:rsidP="00960F2A">
      <w:pPr>
        <w:pStyle w:val="NormalWeb"/>
      </w:pPr>
      <w:r>
        <w:t xml:space="preserve">The two texts — Genesis 1-3, and Genesis 12:1-3 — form the foundation of a major theological narrative thread that is woven throughout the entirety of the Bible. Using a critical-historical and literary approach to reading these texts reveals the similarities and differences in how they represent the divine action; human existence; and the purposes of creation as they unfold. Genesis 1-3 portrays a general, universal, and common understanding of the vocation and dignity of all people. As such it portrays humans as bearers of the divine image; </w:t>
      </w:r>
      <w:r w:rsidR="006A1071">
        <w:t>however,</w:t>
      </w:r>
      <w:r>
        <w:t xml:space="preserve"> it also portrays humans' lives are characterized by the tension between their freedom and limitations. </w:t>
      </w:r>
      <w:r w:rsidR="006A1071">
        <w:t>Using</w:t>
      </w:r>
      <w:r>
        <w:t xml:space="preserve"> symbolic storytelling, the texts portray the complexity of human life (e.g., work, relationships, moral responsibility, suffering, death) using motifs that are characteristic of the cultures of the ancient Near East as well as the unique theological vision of Israel.</w:t>
      </w:r>
    </w:p>
    <w:p w14:paraId="00E34568" w14:textId="7A1D22FB" w:rsidR="00960F2A" w:rsidRDefault="00960F2A" w:rsidP="00960F2A">
      <w:pPr>
        <w:pStyle w:val="NormalWeb"/>
      </w:pPr>
      <w:r>
        <w:t xml:space="preserve">Genesis 12:1-3 changes the subject matter from the universal anthropology of the first three chapters of Genesis to a particular historical context. The call of Abram represents a specific and intentional divine action to restore. In contrast to the fragmentation portrayed in Genesis 3-11, Genesis 12:1-3 presents a new direction for God's activity based on promise, blessing and relationship. Abram's journey becomes </w:t>
      </w:r>
      <w:r>
        <w:t>how</w:t>
      </w:r>
      <w:r>
        <w:t xml:space="preserve"> God engages with the brokenness of the world and signals that God's plan to repair the world will occur through the stories of individual people. The promise that "all families of the earth shall be blessed" provides a connection between creation and covenant and suggests that there is a continuity in God's desire for the flourishing of humanity.</w:t>
      </w:r>
    </w:p>
    <w:p w14:paraId="29EA5F34" w14:textId="77777777" w:rsidR="00960F2A" w:rsidRDefault="00960F2A" w:rsidP="00960F2A">
      <w:pPr>
        <w:pStyle w:val="NormalWeb"/>
      </w:pPr>
      <w:r>
        <w:t>In addition to the contributions of contemporary feminist interpretation add further depth to the study of these texts. By challenging long-standing assumptions about the text, providing marginalized voices, and providing a fresh perspective on the language and structure of the texts, feminist scholarship has promoted a more inclusive and responsible interaction with the ancient texts. Additionally, feminist scholarship demonstrates the dynamic nature of interpretation and shows how the biblical narratives continue to provide new insight into the concerns of today.</w:t>
      </w:r>
    </w:p>
    <w:p w14:paraId="1F531F1E" w14:textId="0E7A26BE" w:rsidR="00960F2A" w:rsidRDefault="00960F2A" w:rsidP="00960F2A">
      <w:pPr>
        <w:pStyle w:val="NormalWeb"/>
      </w:pPr>
      <w:r>
        <w:t xml:space="preserve">Together, Genesis 1-3 and Genesis 12:1-3 present a compelling portrayal of the purposes of human existence and the mission of God. Together they challenge readers to think about the ongoing dialogue between creation and covenant; responsibility and hope; brokenness and </w:t>
      </w:r>
      <w:r>
        <w:lastRenderedPageBreak/>
        <w:t xml:space="preserve">restoration. These texts will continue to shape the theological thought; ethical dialogue; and spiritual imagination of future </w:t>
      </w:r>
      <w:r>
        <w:t>generations and</w:t>
      </w:r>
      <w:r>
        <w:t xml:space="preserve"> will remind them that the biblical story does not begin with human failure but rather with the unrelenting purpose of God to bless, restore and transform.</w:t>
      </w:r>
    </w:p>
    <w:p w14:paraId="1962A7E2" w14:textId="7315165E" w:rsidR="00960F2A" w:rsidRPr="00960F2A" w:rsidRDefault="00960F2A" w:rsidP="00960F2A">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6A1071">
        <w:rPr>
          <w:rFonts w:ascii="Times New Roman" w:eastAsia="Times New Roman" w:hAnsi="Times New Roman" w:cs="Times New Roman"/>
          <w:b/>
          <w:bCs/>
          <w:kern w:val="0"/>
          <w:sz w:val="28"/>
          <w:szCs w:val="28"/>
          <w:lang w:eastAsia="en-GB"/>
          <w14:ligatures w14:val="none"/>
        </w:rPr>
        <w:t>B</w:t>
      </w:r>
      <w:r w:rsidR="006A1071">
        <w:rPr>
          <w:rFonts w:ascii="Times New Roman" w:eastAsia="Times New Roman" w:hAnsi="Times New Roman" w:cs="Times New Roman"/>
          <w:b/>
          <w:bCs/>
          <w:kern w:val="0"/>
          <w:sz w:val="28"/>
          <w:szCs w:val="28"/>
          <w:lang w:eastAsia="en-GB"/>
          <w14:ligatures w14:val="none"/>
        </w:rPr>
        <w:t>IBLIOGRAPHY</w:t>
      </w:r>
    </w:p>
    <w:p w14:paraId="78CF468A" w14:textId="77777777" w:rsidR="00960F2A" w:rsidRPr="00960F2A" w:rsidRDefault="00960F2A" w:rsidP="00960F2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60F2A">
        <w:rPr>
          <w:rFonts w:ascii="Times New Roman" w:eastAsia="Times New Roman" w:hAnsi="Times New Roman" w:cs="Times New Roman"/>
          <w:kern w:val="0"/>
          <w:lang w:eastAsia="en-GB"/>
          <w14:ligatures w14:val="none"/>
        </w:rPr>
        <w:t xml:space="preserve">Brueggemann, Walter, </w:t>
      </w:r>
      <w:r w:rsidRPr="00960F2A">
        <w:rPr>
          <w:rFonts w:ascii="Times New Roman" w:eastAsia="Times New Roman" w:hAnsi="Times New Roman" w:cs="Times New Roman"/>
          <w:i/>
          <w:iCs/>
          <w:kern w:val="0"/>
          <w:lang w:eastAsia="en-GB"/>
          <w14:ligatures w14:val="none"/>
        </w:rPr>
        <w:t>Genesis</w:t>
      </w:r>
      <w:r w:rsidRPr="00960F2A">
        <w:rPr>
          <w:rFonts w:ascii="Times New Roman" w:eastAsia="Times New Roman" w:hAnsi="Times New Roman" w:cs="Times New Roman"/>
          <w:kern w:val="0"/>
          <w:lang w:eastAsia="en-GB"/>
          <w14:ligatures w14:val="none"/>
        </w:rPr>
        <w:t xml:space="preserve"> (Atlanta, GA: John Knox Press, 1982)</w:t>
      </w:r>
    </w:p>
    <w:p w14:paraId="42D21A3D" w14:textId="77777777" w:rsidR="00960F2A" w:rsidRPr="00960F2A" w:rsidRDefault="00960F2A" w:rsidP="00960F2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60F2A">
        <w:rPr>
          <w:rFonts w:ascii="Times New Roman" w:eastAsia="Times New Roman" w:hAnsi="Times New Roman" w:cs="Times New Roman"/>
          <w:kern w:val="0"/>
          <w:lang w:eastAsia="en-GB"/>
          <w14:ligatures w14:val="none"/>
        </w:rPr>
        <w:t xml:space="preserve">Meyers, Carol, </w:t>
      </w:r>
      <w:r w:rsidRPr="00960F2A">
        <w:rPr>
          <w:rFonts w:ascii="Times New Roman" w:eastAsia="Times New Roman" w:hAnsi="Times New Roman" w:cs="Times New Roman"/>
          <w:i/>
          <w:iCs/>
          <w:kern w:val="0"/>
          <w:lang w:eastAsia="en-GB"/>
          <w14:ligatures w14:val="none"/>
        </w:rPr>
        <w:t>Discovering Eve: Ancient Israelite Women in Context</w:t>
      </w:r>
      <w:r w:rsidRPr="00960F2A">
        <w:rPr>
          <w:rFonts w:ascii="Times New Roman" w:eastAsia="Times New Roman" w:hAnsi="Times New Roman" w:cs="Times New Roman"/>
          <w:kern w:val="0"/>
          <w:lang w:eastAsia="en-GB"/>
          <w14:ligatures w14:val="none"/>
        </w:rPr>
        <w:t xml:space="preserve"> (New York: Oxford University Press, 1988)</w:t>
      </w:r>
    </w:p>
    <w:p w14:paraId="1145649D" w14:textId="77777777" w:rsidR="00960F2A" w:rsidRPr="00960F2A" w:rsidRDefault="00960F2A" w:rsidP="00960F2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60F2A">
        <w:rPr>
          <w:rFonts w:ascii="Times New Roman" w:eastAsia="Times New Roman" w:hAnsi="Times New Roman" w:cs="Times New Roman"/>
          <w:kern w:val="0"/>
          <w:lang w:eastAsia="en-GB"/>
          <w14:ligatures w14:val="none"/>
        </w:rPr>
        <w:t xml:space="preserve">Trible, Phyllis, </w:t>
      </w:r>
      <w:r w:rsidRPr="00960F2A">
        <w:rPr>
          <w:rFonts w:ascii="Times New Roman" w:eastAsia="Times New Roman" w:hAnsi="Times New Roman" w:cs="Times New Roman"/>
          <w:i/>
          <w:iCs/>
          <w:kern w:val="0"/>
          <w:lang w:eastAsia="en-GB"/>
          <w14:ligatures w14:val="none"/>
        </w:rPr>
        <w:t>God and the Rhetoric of Sexuality</w:t>
      </w:r>
      <w:r w:rsidRPr="00960F2A">
        <w:rPr>
          <w:rFonts w:ascii="Times New Roman" w:eastAsia="Times New Roman" w:hAnsi="Times New Roman" w:cs="Times New Roman"/>
          <w:kern w:val="0"/>
          <w:lang w:eastAsia="en-GB"/>
          <w14:ligatures w14:val="none"/>
        </w:rPr>
        <w:t xml:space="preserve"> (Philadelphia, PA: Fortress Press, 1978)</w:t>
      </w:r>
    </w:p>
    <w:p w14:paraId="2E319555" w14:textId="77777777" w:rsidR="00960F2A" w:rsidRPr="00960F2A" w:rsidRDefault="00960F2A" w:rsidP="00960F2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60F2A">
        <w:rPr>
          <w:rFonts w:ascii="Times New Roman" w:eastAsia="Times New Roman" w:hAnsi="Times New Roman" w:cs="Times New Roman"/>
          <w:kern w:val="0"/>
          <w:lang w:eastAsia="en-GB"/>
          <w14:ligatures w14:val="none"/>
        </w:rPr>
        <w:t xml:space="preserve">Von Rad, Gerhard, </w:t>
      </w:r>
      <w:r w:rsidRPr="00960F2A">
        <w:rPr>
          <w:rFonts w:ascii="Times New Roman" w:eastAsia="Times New Roman" w:hAnsi="Times New Roman" w:cs="Times New Roman"/>
          <w:i/>
          <w:iCs/>
          <w:kern w:val="0"/>
          <w:lang w:eastAsia="en-GB"/>
          <w14:ligatures w14:val="none"/>
        </w:rPr>
        <w:t>Genesis: A Commentary</w:t>
      </w:r>
      <w:r w:rsidRPr="00960F2A">
        <w:rPr>
          <w:rFonts w:ascii="Times New Roman" w:eastAsia="Times New Roman" w:hAnsi="Times New Roman" w:cs="Times New Roman"/>
          <w:kern w:val="0"/>
          <w:lang w:eastAsia="en-GB"/>
          <w14:ligatures w14:val="none"/>
        </w:rPr>
        <w:t>, trans. by John H. Marks (London: SCM Press, 1961)</w:t>
      </w:r>
    </w:p>
    <w:p w14:paraId="3F3A9D7E" w14:textId="77777777" w:rsidR="00960F2A" w:rsidRPr="00960F2A" w:rsidRDefault="00960F2A" w:rsidP="00960F2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60F2A">
        <w:rPr>
          <w:rFonts w:ascii="Times New Roman" w:eastAsia="Times New Roman" w:hAnsi="Times New Roman" w:cs="Times New Roman"/>
          <w:kern w:val="0"/>
          <w:lang w:eastAsia="en-GB"/>
          <w14:ligatures w14:val="none"/>
        </w:rPr>
        <w:t xml:space="preserve">Walton, John H., </w:t>
      </w:r>
      <w:r w:rsidRPr="00960F2A">
        <w:rPr>
          <w:rFonts w:ascii="Times New Roman" w:eastAsia="Times New Roman" w:hAnsi="Times New Roman" w:cs="Times New Roman"/>
          <w:i/>
          <w:iCs/>
          <w:kern w:val="0"/>
          <w:lang w:eastAsia="en-GB"/>
          <w14:ligatures w14:val="none"/>
        </w:rPr>
        <w:t>The Lost World of Genesis One: Ancient Cosmology and the Origins Debate</w:t>
      </w:r>
      <w:r w:rsidRPr="00960F2A">
        <w:rPr>
          <w:rFonts w:ascii="Times New Roman" w:eastAsia="Times New Roman" w:hAnsi="Times New Roman" w:cs="Times New Roman"/>
          <w:kern w:val="0"/>
          <w:lang w:eastAsia="en-GB"/>
          <w14:ligatures w14:val="none"/>
        </w:rPr>
        <w:t xml:space="preserve"> (Downers Grove, IL: IVP Academic, 2009)</w:t>
      </w:r>
    </w:p>
    <w:p w14:paraId="46B8CCC8" w14:textId="77777777" w:rsidR="00960F2A" w:rsidRPr="00960F2A" w:rsidRDefault="00960F2A" w:rsidP="00960F2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60F2A">
        <w:rPr>
          <w:rFonts w:ascii="Times New Roman" w:eastAsia="Times New Roman" w:hAnsi="Times New Roman" w:cs="Times New Roman"/>
          <w:kern w:val="0"/>
          <w:lang w:eastAsia="en-GB"/>
          <w14:ligatures w14:val="none"/>
        </w:rPr>
        <w:t xml:space="preserve">Westermann, Claus, </w:t>
      </w:r>
      <w:r w:rsidRPr="00960F2A">
        <w:rPr>
          <w:rFonts w:ascii="Times New Roman" w:eastAsia="Times New Roman" w:hAnsi="Times New Roman" w:cs="Times New Roman"/>
          <w:i/>
          <w:iCs/>
          <w:kern w:val="0"/>
          <w:lang w:eastAsia="en-GB"/>
          <w14:ligatures w14:val="none"/>
        </w:rPr>
        <w:t>Genesis 1–11: A Commentary</w:t>
      </w:r>
      <w:r w:rsidRPr="00960F2A">
        <w:rPr>
          <w:rFonts w:ascii="Times New Roman" w:eastAsia="Times New Roman" w:hAnsi="Times New Roman" w:cs="Times New Roman"/>
          <w:kern w:val="0"/>
          <w:lang w:eastAsia="en-GB"/>
          <w14:ligatures w14:val="none"/>
        </w:rPr>
        <w:t>, trans. by John J. Scullion (Minneapolis, MN: Augsburg Publishing House, 1984)</w:t>
      </w:r>
    </w:p>
    <w:p w14:paraId="4B0B451E" w14:textId="77777777" w:rsidR="00221579" w:rsidRDefault="00221579"/>
    <w:sectPr w:rsidR="002215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E0AAA" w14:textId="77777777" w:rsidR="00091ABF" w:rsidRDefault="00091ABF" w:rsidP="00E66D91">
      <w:pPr>
        <w:spacing w:after="0" w:line="240" w:lineRule="auto"/>
      </w:pPr>
      <w:r>
        <w:separator/>
      </w:r>
    </w:p>
  </w:endnote>
  <w:endnote w:type="continuationSeparator" w:id="0">
    <w:p w14:paraId="298F4A16" w14:textId="77777777" w:rsidR="00091ABF" w:rsidRDefault="00091ABF" w:rsidP="00E66D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3B385" w14:textId="77777777" w:rsidR="00091ABF" w:rsidRDefault="00091ABF" w:rsidP="00E66D91">
      <w:pPr>
        <w:spacing w:after="0" w:line="240" w:lineRule="auto"/>
      </w:pPr>
      <w:r>
        <w:separator/>
      </w:r>
    </w:p>
  </w:footnote>
  <w:footnote w:type="continuationSeparator" w:id="0">
    <w:p w14:paraId="7E71D590" w14:textId="77777777" w:rsidR="00091ABF" w:rsidRDefault="00091ABF" w:rsidP="00E66D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F2A"/>
    <w:rsid w:val="00091ABF"/>
    <w:rsid w:val="00221579"/>
    <w:rsid w:val="004B649F"/>
    <w:rsid w:val="006A1071"/>
    <w:rsid w:val="007E486A"/>
    <w:rsid w:val="00960F2A"/>
    <w:rsid w:val="00E66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025C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F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0F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0F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F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F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F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F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F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F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F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0F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F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F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F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F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F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F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F2A"/>
    <w:rPr>
      <w:rFonts w:eastAsiaTheme="majorEastAsia" w:cstheme="majorBidi"/>
      <w:color w:val="272727" w:themeColor="text1" w:themeTint="D8"/>
    </w:rPr>
  </w:style>
  <w:style w:type="paragraph" w:styleId="Title">
    <w:name w:val="Title"/>
    <w:basedOn w:val="Normal"/>
    <w:next w:val="Normal"/>
    <w:link w:val="TitleChar"/>
    <w:uiPriority w:val="10"/>
    <w:qFormat/>
    <w:rsid w:val="00960F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F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F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F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F2A"/>
    <w:pPr>
      <w:spacing w:before="160"/>
      <w:jc w:val="center"/>
    </w:pPr>
    <w:rPr>
      <w:i/>
      <w:iCs/>
      <w:color w:val="404040" w:themeColor="text1" w:themeTint="BF"/>
    </w:rPr>
  </w:style>
  <w:style w:type="character" w:customStyle="1" w:styleId="QuoteChar">
    <w:name w:val="Quote Char"/>
    <w:basedOn w:val="DefaultParagraphFont"/>
    <w:link w:val="Quote"/>
    <w:uiPriority w:val="29"/>
    <w:rsid w:val="00960F2A"/>
    <w:rPr>
      <w:i/>
      <w:iCs/>
      <w:color w:val="404040" w:themeColor="text1" w:themeTint="BF"/>
    </w:rPr>
  </w:style>
  <w:style w:type="paragraph" w:styleId="ListParagraph">
    <w:name w:val="List Paragraph"/>
    <w:basedOn w:val="Normal"/>
    <w:uiPriority w:val="34"/>
    <w:qFormat/>
    <w:rsid w:val="00960F2A"/>
    <w:pPr>
      <w:ind w:left="720"/>
      <w:contextualSpacing/>
    </w:pPr>
  </w:style>
  <w:style w:type="character" w:styleId="IntenseEmphasis">
    <w:name w:val="Intense Emphasis"/>
    <w:basedOn w:val="DefaultParagraphFont"/>
    <w:uiPriority w:val="21"/>
    <w:qFormat/>
    <w:rsid w:val="00960F2A"/>
    <w:rPr>
      <w:i/>
      <w:iCs/>
      <w:color w:val="0F4761" w:themeColor="accent1" w:themeShade="BF"/>
    </w:rPr>
  </w:style>
  <w:style w:type="paragraph" w:styleId="IntenseQuote">
    <w:name w:val="Intense Quote"/>
    <w:basedOn w:val="Normal"/>
    <w:next w:val="Normal"/>
    <w:link w:val="IntenseQuoteChar"/>
    <w:uiPriority w:val="30"/>
    <w:qFormat/>
    <w:rsid w:val="00960F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F2A"/>
    <w:rPr>
      <w:i/>
      <w:iCs/>
      <w:color w:val="0F4761" w:themeColor="accent1" w:themeShade="BF"/>
    </w:rPr>
  </w:style>
  <w:style w:type="character" w:styleId="IntenseReference">
    <w:name w:val="Intense Reference"/>
    <w:basedOn w:val="DefaultParagraphFont"/>
    <w:uiPriority w:val="32"/>
    <w:qFormat/>
    <w:rsid w:val="00960F2A"/>
    <w:rPr>
      <w:b/>
      <w:bCs/>
      <w:smallCaps/>
      <w:color w:val="0F4761" w:themeColor="accent1" w:themeShade="BF"/>
      <w:spacing w:val="5"/>
    </w:rPr>
  </w:style>
  <w:style w:type="paragraph" w:styleId="NormalWeb">
    <w:name w:val="Normal (Web)"/>
    <w:basedOn w:val="Normal"/>
    <w:uiPriority w:val="99"/>
    <w:unhideWhenUsed/>
    <w:rsid w:val="00960F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66D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D91"/>
  </w:style>
  <w:style w:type="paragraph" w:styleId="Footer">
    <w:name w:val="footer"/>
    <w:basedOn w:val="Normal"/>
    <w:link w:val="FooterChar"/>
    <w:uiPriority w:val="99"/>
    <w:unhideWhenUsed/>
    <w:rsid w:val="00E66D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D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2205</Words>
  <Characters>12572</Characters>
  <Application>Microsoft Office Word</Application>
  <DocSecurity>0</DocSecurity>
  <Lines>104</Lines>
  <Paragraphs>29</Paragraphs>
  <ScaleCrop>false</ScaleCrop>
  <Company/>
  <LinksUpToDate>false</LinksUpToDate>
  <CharactersWithSpaces>14748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2025-11-14T17:14:00Z</dcterms:created>
  <dcterms:modified xsi:type="dcterms:W3CDTF">2025-11-14T17:14:00Z</dcterms:modified>
</cp:coreProperties>
</file>