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75DE7" w14:textId="1EE017BE" w:rsidR="00777E8D" w:rsidRDefault="00EF2573" w:rsidP="00777E8D">
      <w:pPr>
        <w:pStyle w:val="Title"/>
      </w:pPr>
      <w:r>
        <w:rPr>
          <w:noProof/>
        </w:rPr>
        <w:drawing>
          <wp:inline distT="0" distB="0" distL="0" distR="0" wp14:anchorId="15FB8B19" wp14:editId="6E1404F6">
            <wp:extent cx="1057275" cy="1001629"/>
            <wp:effectExtent l="0" t="0" r="0" b="825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2402" cy="1006486"/>
                    </a:xfrm>
                    <a:prstGeom prst="rect">
                      <a:avLst/>
                    </a:prstGeom>
                    <a:noFill/>
                  </pic:spPr>
                </pic:pic>
              </a:graphicData>
            </a:graphic>
          </wp:inline>
        </w:drawing>
      </w:r>
    </w:p>
    <w:tbl>
      <w:tblPr>
        <w:tblpPr w:leftFromText="180" w:rightFromText="180" w:bottomFromText="160" w:vertAnchor="page" w:horzAnchor="margin" w:tblpXSpec="center" w:tblpY="3916"/>
        <w:tblW w:w="10348" w:type="dxa"/>
        <w:tblLook w:val="04A0" w:firstRow="1" w:lastRow="0" w:firstColumn="1" w:lastColumn="0" w:noHBand="0" w:noVBand="1"/>
      </w:tblPr>
      <w:tblGrid>
        <w:gridCol w:w="3439"/>
        <w:gridCol w:w="2300"/>
        <w:gridCol w:w="1920"/>
        <w:gridCol w:w="2689"/>
      </w:tblGrid>
      <w:tr w:rsidR="008452ED" w:rsidRPr="00386FFB" w14:paraId="4992F178" w14:textId="77777777" w:rsidTr="00D64130">
        <w:trPr>
          <w:trHeight w:val="420"/>
        </w:trPr>
        <w:tc>
          <w:tcPr>
            <w:tcW w:w="3439" w:type="dxa"/>
            <w:tcBorders>
              <w:top w:val="single" w:sz="4" w:space="0" w:color="auto"/>
              <w:left w:val="single" w:sz="4" w:space="0" w:color="auto"/>
              <w:bottom w:val="nil"/>
              <w:right w:val="single" w:sz="4" w:space="0" w:color="auto"/>
            </w:tcBorders>
            <w:noWrap/>
            <w:vAlign w:val="center"/>
          </w:tcPr>
          <w:p w14:paraId="0B4E18A8" w14:textId="77777777" w:rsidR="008452ED" w:rsidRPr="00386FFB" w:rsidRDefault="008452ED" w:rsidP="00D64130">
            <w:pPr>
              <w:spacing w:after="0" w:line="240" w:lineRule="auto"/>
              <w:rPr>
                <w:rFonts w:ascii="Times" w:eastAsia="Times New Roman" w:hAnsi="Times" w:cs="Arial"/>
                <w:b/>
                <w:bCs/>
                <w:sz w:val="28"/>
                <w:szCs w:val="28"/>
                <w:lang w:eastAsia="en-GB"/>
              </w:rPr>
            </w:pPr>
          </w:p>
          <w:p w14:paraId="4E148BD8"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Student ID Number/ Name </w:t>
            </w:r>
          </w:p>
          <w:p w14:paraId="0545BAC2" w14:textId="77777777" w:rsidR="008452ED" w:rsidRPr="00386FFB" w:rsidRDefault="008452ED" w:rsidP="00D64130">
            <w:pPr>
              <w:spacing w:after="0" w:line="240" w:lineRule="auto"/>
              <w:rPr>
                <w:rFonts w:ascii="Times" w:eastAsia="Times New Roman" w:hAnsi="Times" w:cs="Arial"/>
                <w:b/>
                <w:bCs/>
                <w:sz w:val="28"/>
                <w:szCs w:val="28"/>
                <w:lang w:eastAsia="en-GB"/>
              </w:rPr>
            </w:pPr>
          </w:p>
        </w:tc>
        <w:tc>
          <w:tcPr>
            <w:tcW w:w="6909" w:type="dxa"/>
            <w:gridSpan w:val="3"/>
            <w:tcBorders>
              <w:top w:val="single" w:sz="4" w:space="0" w:color="auto"/>
              <w:left w:val="nil"/>
              <w:bottom w:val="single" w:sz="4" w:space="0" w:color="auto"/>
              <w:right w:val="single" w:sz="4" w:space="0" w:color="000000"/>
            </w:tcBorders>
            <w:noWrap/>
            <w:vAlign w:val="center"/>
            <w:hideMark/>
          </w:tcPr>
          <w:p w14:paraId="5F1A5D6C" w14:textId="77777777" w:rsidR="008452ED" w:rsidRPr="00386FFB" w:rsidRDefault="008452ED" w:rsidP="00D64130">
            <w:pPr>
              <w:spacing w:after="0" w:line="240" w:lineRule="auto"/>
              <w:jc w:val="center"/>
              <w:rPr>
                <w:rFonts w:ascii="Arial" w:eastAsia="Times New Roman" w:hAnsi="Arial" w:cs="Arial"/>
                <w:bCs/>
                <w:color w:val="000000"/>
                <w:sz w:val="28"/>
                <w:szCs w:val="28"/>
                <w:lang w:eastAsia="en-GB"/>
              </w:rPr>
            </w:pPr>
            <w:r w:rsidRPr="00386FFB">
              <w:rPr>
                <w:rFonts w:ascii="Arial" w:eastAsia="Times New Roman" w:hAnsi="Arial" w:cs="Arial"/>
                <w:bCs/>
                <w:color w:val="000000"/>
                <w:sz w:val="28"/>
                <w:szCs w:val="28"/>
                <w:lang w:eastAsia="en-GB"/>
              </w:rPr>
              <w:t>2008582</w:t>
            </w:r>
          </w:p>
          <w:p w14:paraId="117ED3E0" w14:textId="77777777" w:rsidR="008452ED" w:rsidRPr="00386FFB" w:rsidRDefault="008452ED" w:rsidP="00D64130">
            <w:pPr>
              <w:spacing w:after="0" w:line="240" w:lineRule="auto"/>
              <w:jc w:val="center"/>
              <w:rPr>
                <w:rFonts w:ascii="Times" w:eastAsia="Times New Roman" w:hAnsi="Times" w:cs="Arial"/>
                <w:bCs/>
                <w:sz w:val="28"/>
                <w:szCs w:val="28"/>
                <w:lang w:eastAsia="en-GB"/>
              </w:rPr>
            </w:pPr>
            <w:r w:rsidRPr="00386FFB">
              <w:rPr>
                <w:rFonts w:ascii="Arial" w:eastAsia="Times New Roman" w:hAnsi="Arial" w:cs="Arial"/>
                <w:bCs/>
                <w:color w:val="000000"/>
                <w:sz w:val="28"/>
                <w:szCs w:val="28"/>
                <w:lang w:eastAsia="en-GB"/>
              </w:rPr>
              <w:t>Cristina Miloiu</w:t>
            </w:r>
          </w:p>
        </w:tc>
      </w:tr>
      <w:tr w:rsidR="008452ED" w:rsidRPr="00386FFB" w14:paraId="178AAA5A" w14:textId="77777777" w:rsidTr="00D64130">
        <w:trPr>
          <w:trHeight w:val="420"/>
        </w:trPr>
        <w:tc>
          <w:tcPr>
            <w:tcW w:w="3439" w:type="dxa"/>
            <w:tcBorders>
              <w:top w:val="single" w:sz="4" w:space="0" w:color="auto"/>
              <w:left w:val="single" w:sz="4" w:space="0" w:color="auto"/>
              <w:bottom w:val="single" w:sz="4" w:space="0" w:color="auto"/>
              <w:right w:val="single" w:sz="4" w:space="0" w:color="auto"/>
            </w:tcBorders>
            <w:noWrap/>
            <w:vAlign w:val="center"/>
          </w:tcPr>
          <w:p w14:paraId="2546722B" w14:textId="77777777" w:rsidR="008452ED" w:rsidRPr="00386FFB" w:rsidRDefault="008452ED" w:rsidP="00D64130">
            <w:pPr>
              <w:spacing w:after="0" w:line="240" w:lineRule="auto"/>
              <w:rPr>
                <w:rFonts w:ascii="Times" w:eastAsia="Times New Roman" w:hAnsi="Times" w:cs="Arial"/>
                <w:b/>
                <w:bCs/>
                <w:sz w:val="28"/>
                <w:szCs w:val="28"/>
                <w:lang w:eastAsia="en-GB"/>
              </w:rPr>
            </w:pPr>
          </w:p>
          <w:p w14:paraId="1A96B2D7"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Programme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2257A611" w14:textId="77777777" w:rsidR="008452ED" w:rsidRPr="00386FFB" w:rsidRDefault="008452ED" w:rsidP="00D64130">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BA Business Management</w:t>
            </w:r>
          </w:p>
        </w:tc>
      </w:tr>
      <w:tr w:rsidR="008452ED" w:rsidRPr="00386FFB" w14:paraId="0E5D7586" w14:textId="77777777" w:rsidTr="00D64130">
        <w:trPr>
          <w:trHeight w:val="435"/>
        </w:trPr>
        <w:tc>
          <w:tcPr>
            <w:tcW w:w="3439" w:type="dxa"/>
            <w:tcBorders>
              <w:top w:val="nil"/>
              <w:left w:val="single" w:sz="4" w:space="0" w:color="auto"/>
              <w:bottom w:val="nil"/>
              <w:right w:val="single" w:sz="4" w:space="0" w:color="auto"/>
            </w:tcBorders>
            <w:noWrap/>
            <w:vAlign w:val="center"/>
            <w:hideMark/>
          </w:tcPr>
          <w:p w14:paraId="3DB5FFCF"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Module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0A237C1F" w14:textId="580F766C" w:rsidR="008452ED" w:rsidRPr="00386FFB" w:rsidRDefault="008452ED" w:rsidP="00D64130">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Managing People</w:t>
            </w:r>
          </w:p>
        </w:tc>
      </w:tr>
      <w:tr w:rsidR="008452ED" w:rsidRPr="00386FFB" w14:paraId="0EBD8F06" w14:textId="77777777" w:rsidTr="00D64130">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32725B5D"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Module Code </w:t>
            </w:r>
          </w:p>
        </w:tc>
        <w:tc>
          <w:tcPr>
            <w:tcW w:w="6909" w:type="dxa"/>
            <w:gridSpan w:val="3"/>
            <w:tcBorders>
              <w:top w:val="single" w:sz="4" w:space="0" w:color="auto"/>
              <w:left w:val="nil"/>
              <w:bottom w:val="single" w:sz="4" w:space="0" w:color="auto"/>
              <w:right w:val="single" w:sz="4" w:space="0" w:color="000000"/>
            </w:tcBorders>
            <w:noWrap/>
            <w:vAlign w:val="center"/>
          </w:tcPr>
          <w:p w14:paraId="6827D5C6" w14:textId="77777777" w:rsidR="008452ED" w:rsidRPr="00386FFB" w:rsidRDefault="008452ED" w:rsidP="00D64130">
            <w:pPr>
              <w:spacing w:after="0" w:line="240" w:lineRule="auto"/>
              <w:rPr>
                <w:rFonts w:ascii="Times" w:eastAsia="Times New Roman" w:hAnsi="Times" w:cs="Arial"/>
                <w:sz w:val="28"/>
                <w:szCs w:val="28"/>
                <w:lang w:eastAsia="en-GB"/>
              </w:rPr>
            </w:pPr>
          </w:p>
          <w:p w14:paraId="5B4108B6" w14:textId="098AF0F1" w:rsidR="008452ED" w:rsidRPr="00386FFB" w:rsidRDefault="008452ED" w:rsidP="00D64130">
            <w:pPr>
              <w:spacing w:before="100" w:beforeAutospacing="1" w:after="100" w:afterAutospacing="1"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shd w:val="clear" w:color="auto" w:fill="FFFFFF"/>
                <w:lang w:eastAsia="en-GB"/>
              </w:rPr>
              <w:t>LCBB</w:t>
            </w:r>
            <w:r>
              <w:rPr>
                <w:rFonts w:ascii="Times" w:eastAsia="Times New Roman" w:hAnsi="Times" w:cs="Arial"/>
                <w:sz w:val="28"/>
                <w:szCs w:val="28"/>
                <w:shd w:val="clear" w:color="auto" w:fill="FFFFFF"/>
                <w:lang w:eastAsia="en-GB"/>
              </w:rPr>
              <w:t>500</w:t>
            </w:r>
            <w:r w:rsidR="00EE055A">
              <w:rPr>
                <w:rFonts w:ascii="Times" w:eastAsia="Times New Roman" w:hAnsi="Times" w:cs="Arial"/>
                <w:sz w:val="28"/>
                <w:szCs w:val="28"/>
                <w:shd w:val="clear" w:color="auto" w:fill="FFFFFF"/>
                <w:lang w:eastAsia="en-GB"/>
              </w:rPr>
              <w:t>4</w:t>
            </w:r>
          </w:p>
          <w:p w14:paraId="68F80AA7" w14:textId="77777777" w:rsidR="008452ED" w:rsidRPr="00386FFB" w:rsidRDefault="008452ED" w:rsidP="00D64130">
            <w:pPr>
              <w:spacing w:after="0" w:line="240" w:lineRule="auto"/>
              <w:rPr>
                <w:rFonts w:ascii="Times" w:eastAsia="Times New Roman" w:hAnsi="Times" w:cs="Arial"/>
                <w:sz w:val="28"/>
                <w:szCs w:val="28"/>
                <w:lang w:eastAsia="en-GB"/>
              </w:rPr>
            </w:pPr>
          </w:p>
        </w:tc>
      </w:tr>
      <w:tr w:rsidR="008452ED" w:rsidRPr="00386FFB" w14:paraId="1FB6E4E2" w14:textId="77777777" w:rsidTr="00D64130">
        <w:trPr>
          <w:trHeight w:val="420"/>
        </w:trPr>
        <w:tc>
          <w:tcPr>
            <w:tcW w:w="3439" w:type="dxa"/>
            <w:tcBorders>
              <w:top w:val="single" w:sz="4" w:space="0" w:color="auto"/>
              <w:left w:val="single" w:sz="4" w:space="0" w:color="auto"/>
              <w:bottom w:val="single" w:sz="4" w:space="0" w:color="auto"/>
              <w:right w:val="single" w:sz="4" w:space="0" w:color="auto"/>
            </w:tcBorders>
            <w:noWrap/>
            <w:vAlign w:val="center"/>
            <w:hideMark/>
          </w:tcPr>
          <w:p w14:paraId="1924914E"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Lecture`s name </w:t>
            </w:r>
          </w:p>
        </w:tc>
        <w:tc>
          <w:tcPr>
            <w:tcW w:w="6909" w:type="dxa"/>
            <w:gridSpan w:val="3"/>
            <w:tcBorders>
              <w:top w:val="single" w:sz="4" w:space="0" w:color="auto"/>
              <w:left w:val="nil"/>
              <w:bottom w:val="single" w:sz="4" w:space="0" w:color="auto"/>
              <w:right w:val="single" w:sz="4" w:space="0" w:color="000000"/>
            </w:tcBorders>
            <w:noWrap/>
            <w:vAlign w:val="center"/>
          </w:tcPr>
          <w:p w14:paraId="2AE712B0" w14:textId="77777777" w:rsidR="008452ED" w:rsidRPr="00386FFB" w:rsidRDefault="008452ED" w:rsidP="00D64130">
            <w:pPr>
              <w:spacing w:after="0" w:line="240" w:lineRule="auto"/>
              <w:rPr>
                <w:rFonts w:ascii="Times" w:eastAsia="Times New Roman" w:hAnsi="Times" w:cs="Arial"/>
                <w:sz w:val="28"/>
                <w:szCs w:val="28"/>
                <w:lang w:eastAsia="en-GB"/>
              </w:rPr>
            </w:pPr>
            <w:r w:rsidRPr="00386FFB">
              <w:rPr>
                <w:rFonts w:ascii="Times" w:eastAsia="Times New Roman" w:hAnsi="Times" w:cs="Arial"/>
                <w:sz w:val="28"/>
                <w:szCs w:val="28"/>
                <w:lang w:eastAsia="en-GB"/>
              </w:rPr>
              <w:t> </w:t>
            </w:r>
          </w:p>
          <w:p w14:paraId="7DC4A9FF" w14:textId="62466828" w:rsidR="008452ED" w:rsidRPr="00386FFB" w:rsidRDefault="00AB7B3B" w:rsidP="00D64130">
            <w:pPr>
              <w:spacing w:after="0" w:line="240" w:lineRule="auto"/>
              <w:jc w:val="center"/>
              <w:rPr>
                <w:rFonts w:ascii="Times" w:eastAsia="Times New Roman" w:hAnsi="Times" w:cs="Arial"/>
                <w:sz w:val="28"/>
                <w:szCs w:val="28"/>
                <w:lang w:eastAsia="en-GB"/>
              </w:rPr>
            </w:pPr>
            <w:r>
              <w:rPr>
                <w:rFonts w:ascii="Times" w:eastAsia="Times New Roman" w:hAnsi="Times" w:cs="Arial"/>
                <w:sz w:val="28"/>
                <w:szCs w:val="28"/>
                <w:lang w:eastAsia="en-GB"/>
              </w:rPr>
              <w:t>Charles Oham</w:t>
            </w:r>
          </w:p>
          <w:p w14:paraId="7CBAA773" w14:textId="77777777" w:rsidR="008452ED" w:rsidRPr="00386FFB" w:rsidRDefault="008452ED" w:rsidP="00D64130">
            <w:pPr>
              <w:spacing w:after="0" w:line="240" w:lineRule="auto"/>
              <w:rPr>
                <w:rFonts w:ascii="Times" w:eastAsia="Times New Roman" w:hAnsi="Times" w:cs="Arial"/>
                <w:sz w:val="28"/>
                <w:szCs w:val="28"/>
                <w:lang w:eastAsia="en-GB"/>
              </w:rPr>
            </w:pPr>
          </w:p>
        </w:tc>
      </w:tr>
      <w:tr w:rsidR="008452ED" w:rsidRPr="00386FFB" w14:paraId="4A2AA090" w14:textId="77777777" w:rsidTr="00D64130">
        <w:trPr>
          <w:trHeight w:val="825"/>
        </w:trPr>
        <w:tc>
          <w:tcPr>
            <w:tcW w:w="3439" w:type="dxa"/>
            <w:tcBorders>
              <w:top w:val="nil"/>
              <w:left w:val="single" w:sz="4" w:space="0" w:color="auto"/>
              <w:bottom w:val="single" w:sz="4" w:space="0" w:color="auto"/>
              <w:right w:val="single" w:sz="4" w:space="0" w:color="auto"/>
            </w:tcBorders>
            <w:noWrap/>
            <w:vAlign w:val="center"/>
            <w:hideMark/>
          </w:tcPr>
          <w:p w14:paraId="4677808D"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Coursework Title</w:t>
            </w:r>
          </w:p>
        </w:tc>
        <w:tc>
          <w:tcPr>
            <w:tcW w:w="6909" w:type="dxa"/>
            <w:gridSpan w:val="3"/>
            <w:tcBorders>
              <w:top w:val="single" w:sz="4" w:space="0" w:color="auto"/>
              <w:left w:val="nil"/>
              <w:bottom w:val="single" w:sz="4" w:space="0" w:color="auto"/>
              <w:right w:val="single" w:sz="4" w:space="0" w:color="000000"/>
            </w:tcBorders>
            <w:noWrap/>
            <w:vAlign w:val="center"/>
            <w:hideMark/>
          </w:tcPr>
          <w:p w14:paraId="718B81E1" w14:textId="5DEE41A8" w:rsidR="008452ED" w:rsidRPr="00386FFB" w:rsidRDefault="008452ED" w:rsidP="00D64130">
            <w:pPr>
              <w:spacing w:after="0" w:line="240" w:lineRule="auto"/>
              <w:jc w:val="center"/>
              <w:rPr>
                <w:rFonts w:ascii="Times" w:eastAsia="Times New Roman" w:hAnsi="Times" w:cs="Arial"/>
                <w:sz w:val="28"/>
                <w:szCs w:val="28"/>
                <w:lang w:eastAsia="en-GB"/>
              </w:rPr>
            </w:pPr>
            <w:r w:rsidRPr="00386FFB">
              <w:rPr>
                <w:rFonts w:ascii="Times" w:eastAsia="Times New Roman" w:hAnsi="Times" w:cs="Arial"/>
                <w:sz w:val="28"/>
                <w:szCs w:val="28"/>
                <w:lang w:eastAsia="en-GB"/>
              </w:rPr>
              <w:t xml:space="preserve">Assessment </w:t>
            </w:r>
            <w:r>
              <w:rPr>
                <w:rFonts w:ascii="Times" w:eastAsia="Times New Roman" w:hAnsi="Times" w:cs="Arial"/>
                <w:sz w:val="28"/>
                <w:szCs w:val="28"/>
                <w:lang w:eastAsia="en-GB"/>
              </w:rPr>
              <w:t>1</w:t>
            </w:r>
          </w:p>
          <w:p w14:paraId="10027AB8" w14:textId="77777777" w:rsidR="008452ED" w:rsidRPr="00386FFB" w:rsidRDefault="008452ED" w:rsidP="00D64130">
            <w:pPr>
              <w:spacing w:after="0" w:line="240" w:lineRule="auto"/>
              <w:jc w:val="center"/>
              <w:rPr>
                <w:rFonts w:eastAsia="Times New Roman" w:cs="Times New Roman"/>
                <w:sz w:val="28"/>
                <w:szCs w:val="28"/>
                <w:lang w:eastAsia="en-GB"/>
              </w:rPr>
            </w:pPr>
          </w:p>
        </w:tc>
      </w:tr>
      <w:tr w:rsidR="008452ED" w:rsidRPr="00386FFB" w14:paraId="5E62BB81" w14:textId="77777777" w:rsidTr="00D64130">
        <w:trPr>
          <w:trHeight w:val="405"/>
        </w:trPr>
        <w:tc>
          <w:tcPr>
            <w:tcW w:w="10348" w:type="dxa"/>
            <w:gridSpan w:val="4"/>
            <w:tcBorders>
              <w:top w:val="nil"/>
              <w:left w:val="single" w:sz="4" w:space="0" w:color="auto"/>
              <w:bottom w:val="single" w:sz="4" w:space="0" w:color="auto"/>
              <w:right w:val="single" w:sz="4" w:space="0" w:color="000000"/>
            </w:tcBorders>
            <w:noWrap/>
            <w:vAlign w:val="center"/>
            <w:hideMark/>
          </w:tcPr>
          <w:p w14:paraId="605E853C"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xml:space="preserve">Academic Declaration:                                               </w:t>
            </w:r>
          </w:p>
          <w:p w14:paraId="252A2F3B" w14:textId="77777777" w:rsidR="008452ED" w:rsidRPr="00386FFB" w:rsidRDefault="008452ED" w:rsidP="00D64130">
            <w:pPr>
              <w:spacing w:after="0" w:line="240" w:lineRule="auto"/>
              <w:rPr>
                <w:rFonts w:ascii="Times" w:eastAsia="Calibri" w:hAnsi="Times" w:cs="Arial"/>
                <w:i/>
                <w:sz w:val="28"/>
                <w:szCs w:val="28"/>
              </w:rPr>
            </w:pPr>
            <w:r w:rsidRPr="00386FFB">
              <w:rPr>
                <w:rFonts w:ascii="Calibri" w:eastAsia="Calibri" w:hAnsi="Calibri" w:cs="Times New Roman"/>
                <w:i/>
                <w:iCs/>
                <w:sz w:val="22"/>
                <w:szCs w:val="24"/>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8452ED" w:rsidRPr="00386FFB" w14:paraId="5DC67DC1" w14:textId="77777777" w:rsidTr="00D64130">
        <w:trPr>
          <w:trHeight w:val="405"/>
        </w:trPr>
        <w:tc>
          <w:tcPr>
            <w:tcW w:w="3439" w:type="dxa"/>
            <w:tcBorders>
              <w:top w:val="nil"/>
              <w:left w:val="single" w:sz="4" w:space="0" w:color="auto"/>
              <w:bottom w:val="single" w:sz="4" w:space="0" w:color="auto"/>
              <w:right w:val="single" w:sz="4" w:space="0" w:color="auto"/>
            </w:tcBorders>
            <w:noWrap/>
            <w:vAlign w:val="center"/>
            <w:hideMark/>
          </w:tcPr>
          <w:p w14:paraId="0CC0323C"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Word Count</w:t>
            </w:r>
          </w:p>
        </w:tc>
        <w:tc>
          <w:tcPr>
            <w:tcW w:w="2300" w:type="dxa"/>
            <w:tcBorders>
              <w:top w:val="single" w:sz="4" w:space="0" w:color="auto"/>
              <w:left w:val="nil"/>
              <w:bottom w:val="single" w:sz="4" w:space="0" w:color="auto"/>
              <w:right w:val="nil"/>
            </w:tcBorders>
            <w:noWrap/>
            <w:vAlign w:val="center"/>
            <w:hideMark/>
          </w:tcPr>
          <w:p w14:paraId="4453F0A1" w14:textId="0352722C"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2</w:t>
            </w:r>
            <w:r>
              <w:rPr>
                <w:rFonts w:ascii="Times" w:eastAsia="Times New Roman" w:hAnsi="Times" w:cs="Arial"/>
                <w:b/>
                <w:bCs/>
                <w:sz w:val="28"/>
                <w:szCs w:val="28"/>
                <w:lang w:eastAsia="en-GB"/>
              </w:rPr>
              <w:t>927</w:t>
            </w:r>
          </w:p>
        </w:tc>
        <w:tc>
          <w:tcPr>
            <w:tcW w:w="1920" w:type="dxa"/>
            <w:tcBorders>
              <w:top w:val="single" w:sz="4" w:space="0" w:color="auto"/>
              <w:left w:val="single" w:sz="4" w:space="0" w:color="auto"/>
              <w:bottom w:val="single" w:sz="4" w:space="0" w:color="auto"/>
              <w:right w:val="single" w:sz="4" w:space="0" w:color="000000"/>
            </w:tcBorders>
            <w:noWrap/>
            <w:vAlign w:val="center"/>
            <w:hideMark/>
          </w:tcPr>
          <w:p w14:paraId="6343193E" w14:textId="77777777"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Date Submitted</w:t>
            </w:r>
          </w:p>
        </w:tc>
        <w:tc>
          <w:tcPr>
            <w:tcW w:w="2689" w:type="dxa"/>
            <w:tcBorders>
              <w:top w:val="single" w:sz="4" w:space="0" w:color="auto"/>
              <w:left w:val="nil"/>
              <w:bottom w:val="single" w:sz="4" w:space="0" w:color="auto"/>
              <w:right w:val="single" w:sz="4" w:space="0" w:color="000000"/>
            </w:tcBorders>
            <w:noWrap/>
            <w:vAlign w:val="center"/>
            <w:hideMark/>
          </w:tcPr>
          <w:p w14:paraId="202C47AD" w14:textId="447FD633" w:rsidR="008452ED" w:rsidRPr="00386FFB" w:rsidRDefault="008452ED" w:rsidP="00D64130">
            <w:pPr>
              <w:spacing w:after="0" w:line="240" w:lineRule="auto"/>
              <w:rPr>
                <w:rFonts w:ascii="Times" w:eastAsia="Times New Roman" w:hAnsi="Times" w:cs="Arial"/>
                <w:b/>
                <w:bCs/>
                <w:sz w:val="28"/>
                <w:szCs w:val="28"/>
                <w:lang w:eastAsia="en-GB"/>
              </w:rPr>
            </w:pPr>
            <w:r w:rsidRPr="00386FFB">
              <w:rPr>
                <w:rFonts w:ascii="Times" w:eastAsia="Times New Roman" w:hAnsi="Times" w:cs="Arial"/>
                <w:b/>
                <w:bCs/>
                <w:sz w:val="28"/>
                <w:szCs w:val="28"/>
                <w:lang w:eastAsia="en-GB"/>
              </w:rPr>
              <w:t> </w:t>
            </w:r>
            <w:r>
              <w:rPr>
                <w:rFonts w:ascii="Times" w:eastAsia="Times New Roman" w:hAnsi="Times" w:cs="Arial"/>
                <w:b/>
                <w:bCs/>
                <w:sz w:val="28"/>
                <w:szCs w:val="28"/>
                <w:lang w:eastAsia="en-GB"/>
              </w:rPr>
              <w:t>0</w:t>
            </w:r>
            <w:r>
              <w:rPr>
                <w:rFonts w:ascii="Times" w:eastAsia="Times New Roman" w:hAnsi="Times" w:cs="Arial"/>
                <w:b/>
                <w:bCs/>
                <w:sz w:val="28"/>
                <w:szCs w:val="28"/>
                <w:lang w:eastAsia="en-GB"/>
              </w:rPr>
              <w:t>6</w:t>
            </w:r>
            <w:r w:rsidRPr="00386FFB">
              <w:rPr>
                <w:rFonts w:ascii="Times" w:eastAsia="Times New Roman" w:hAnsi="Times" w:cs="Arial"/>
                <w:b/>
                <w:bCs/>
                <w:sz w:val="28"/>
                <w:szCs w:val="28"/>
                <w:lang w:eastAsia="en-GB"/>
              </w:rPr>
              <w:t>.0</w:t>
            </w:r>
            <w:r>
              <w:rPr>
                <w:rFonts w:ascii="Times" w:eastAsia="Times New Roman" w:hAnsi="Times" w:cs="Arial"/>
                <w:b/>
                <w:bCs/>
                <w:sz w:val="28"/>
                <w:szCs w:val="28"/>
                <w:lang w:eastAsia="en-GB"/>
              </w:rPr>
              <w:t>5</w:t>
            </w:r>
            <w:r w:rsidRPr="00386FFB">
              <w:rPr>
                <w:rFonts w:ascii="Times" w:eastAsia="Times New Roman" w:hAnsi="Times" w:cs="Arial"/>
                <w:b/>
                <w:bCs/>
                <w:sz w:val="28"/>
                <w:szCs w:val="28"/>
                <w:lang w:eastAsia="en-GB"/>
              </w:rPr>
              <w:t>.202</w:t>
            </w:r>
            <w:r>
              <w:rPr>
                <w:rFonts w:ascii="Times" w:eastAsia="Times New Roman" w:hAnsi="Times" w:cs="Arial"/>
                <w:b/>
                <w:bCs/>
                <w:sz w:val="28"/>
                <w:szCs w:val="28"/>
                <w:lang w:eastAsia="en-GB"/>
              </w:rPr>
              <w:t>2</w:t>
            </w:r>
          </w:p>
        </w:tc>
      </w:tr>
    </w:tbl>
    <w:p w14:paraId="323F4745" w14:textId="77777777" w:rsidR="00777E8D" w:rsidRDefault="00777E8D" w:rsidP="00777E8D">
      <w:pPr>
        <w:pStyle w:val="Title"/>
      </w:pPr>
    </w:p>
    <w:p w14:paraId="06577628" w14:textId="77777777" w:rsidR="00777E8D" w:rsidRDefault="00777E8D" w:rsidP="00777E8D">
      <w:pPr>
        <w:pStyle w:val="Title"/>
      </w:pPr>
    </w:p>
    <w:p w14:paraId="4FA2BC2A" w14:textId="77777777" w:rsidR="00777E8D" w:rsidRDefault="00777E8D" w:rsidP="00777E8D">
      <w:pPr>
        <w:pStyle w:val="Title"/>
      </w:pPr>
    </w:p>
    <w:p w14:paraId="372BC83B" w14:textId="77777777" w:rsidR="00777E8D" w:rsidRDefault="00777E8D" w:rsidP="00777E8D">
      <w:pPr>
        <w:pStyle w:val="Title"/>
      </w:pPr>
    </w:p>
    <w:p w14:paraId="425C3A28" w14:textId="7E7BF05D" w:rsidR="00EF1307" w:rsidRDefault="00EF1307" w:rsidP="00777E8D">
      <w:pPr>
        <w:pStyle w:val="Title"/>
      </w:pPr>
    </w:p>
    <w:p w14:paraId="047D98AB" w14:textId="61568E38" w:rsidR="00777E8D" w:rsidRDefault="00777E8D">
      <w:pPr>
        <w:spacing w:line="259" w:lineRule="auto"/>
        <w:jc w:val="left"/>
      </w:pPr>
      <w:r>
        <w:br w:type="page"/>
      </w:r>
    </w:p>
    <w:sdt>
      <w:sdtPr>
        <w:rPr>
          <w:rFonts w:ascii="Times New Roman" w:eastAsiaTheme="minorHAnsi" w:hAnsi="Times New Roman" w:cstheme="minorBidi"/>
          <w:color w:val="auto"/>
          <w:sz w:val="24"/>
          <w:szCs w:val="22"/>
          <w:lang w:val="en-IN"/>
        </w:rPr>
        <w:id w:val="1196812256"/>
        <w:docPartObj>
          <w:docPartGallery w:val="Table of Contents"/>
          <w:docPartUnique/>
        </w:docPartObj>
      </w:sdtPr>
      <w:sdtEndPr>
        <w:rPr>
          <w:b/>
          <w:bCs/>
          <w:noProof/>
        </w:rPr>
      </w:sdtEndPr>
      <w:sdtContent>
        <w:p w14:paraId="66D907A8" w14:textId="580C5FD5" w:rsidR="007A6B53" w:rsidRPr="007A6B53" w:rsidRDefault="007A6B53" w:rsidP="007A6B53">
          <w:pPr>
            <w:pStyle w:val="TOCHeading"/>
            <w:jc w:val="center"/>
            <w:rPr>
              <w:rStyle w:val="Heading1Char"/>
            </w:rPr>
          </w:pPr>
          <w:r w:rsidRPr="007A6B53">
            <w:rPr>
              <w:rStyle w:val="Heading1Char"/>
            </w:rPr>
            <w:t>Table of Contents</w:t>
          </w:r>
        </w:p>
        <w:p w14:paraId="613EBACA" w14:textId="54632384" w:rsidR="007A6B53" w:rsidRDefault="007A6B53">
          <w:pPr>
            <w:pStyle w:val="TOC1"/>
            <w:tabs>
              <w:tab w:val="right" w:leader="dot" w:pos="9016"/>
            </w:tabs>
            <w:rPr>
              <w:noProof/>
            </w:rPr>
          </w:pPr>
          <w:r>
            <w:fldChar w:fldCharType="begin"/>
          </w:r>
          <w:r>
            <w:instrText xml:space="preserve"> TOC \o "1-3" \h \z \u </w:instrText>
          </w:r>
          <w:r>
            <w:fldChar w:fldCharType="separate"/>
          </w:r>
          <w:hyperlink w:anchor="_Toc101176616" w:history="1">
            <w:r w:rsidRPr="001D19D2">
              <w:rPr>
                <w:rStyle w:val="Hyperlink"/>
                <w:noProof/>
              </w:rPr>
              <w:t>Introduction</w:t>
            </w:r>
            <w:r>
              <w:rPr>
                <w:noProof/>
                <w:webHidden/>
              </w:rPr>
              <w:tab/>
            </w:r>
            <w:r>
              <w:rPr>
                <w:noProof/>
                <w:webHidden/>
              </w:rPr>
              <w:fldChar w:fldCharType="begin"/>
            </w:r>
            <w:r>
              <w:rPr>
                <w:noProof/>
                <w:webHidden/>
              </w:rPr>
              <w:instrText xml:space="preserve"> PAGEREF _Toc101176616 \h </w:instrText>
            </w:r>
            <w:r>
              <w:rPr>
                <w:noProof/>
                <w:webHidden/>
              </w:rPr>
            </w:r>
            <w:r>
              <w:rPr>
                <w:noProof/>
                <w:webHidden/>
              </w:rPr>
              <w:fldChar w:fldCharType="separate"/>
            </w:r>
            <w:r>
              <w:rPr>
                <w:noProof/>
                <w:webHidden/>
              </w:rPr>
              <w:t>3</w:t>
            </w:r>
            <w:r>
              <w:rPr>
                <w:noProof/>
                <w:webHidden/>
              </w:rPr>
              <w:fldChar w:fldCharType="end"/>
            </w:r>
          </w:hyperlink>
        </w:p>
        <w:p w14:paraId="3E90B1AC" w14:textId="595A2AE7" w:rsidR="007A6B53" w:rsidRDefault="00063E9C">
          <w:pPr>
            <w:pStyle w:val="TOC1"/>
            <w:tabs>
              <w:tab w:val="right" w:leader="dot" w:pos="9016"/>
            </w:tabs>
            <w:rPr>
              <w:noProof/>
            </w:rPr>
          </w:pPr>
          <w:hyperlink w:anchor="_Toc101176617" w:history="1">
            <w:r w:rsidR="007A6B53" w:rsidRPr="001D19D2">
              <w:rPr>
                <w:rStyle w:val="Hyperlink"/>
                <w:noProof/>
              </w:rPr>
              <w:t xml:space="preserve">A case in </w:t>
            </w:r>
            <w:r w:rsidR="00204307">
              <w:rPr>
                <w:rStyle w:val="Hyperlink"/>
                <w:noProof/>
              </w:rPr>
              <w:t>favor</w:t>
            </w:r>
            <w:r w:rsidR="007A6B53" w:rsidRPr="001D19D2">
              <w:rPr>
                <w:rStyle w:val="Hyperlink"/>
                <w:noProof/>
              </w:rPr>
              <w:t xml:space="preserve"> of flexible working </w:t>
            </w:r>
            <w:r w:rsidR="00204307">
              <w:rPr>
                <w:rStyle w:val="Hyperlink"/>
                <w:noProof/>
              </w:rPr>
              <w:t>about diversity</w:t>
            </w:r>
            <w:r w:rsidR="007A6B53" w:rsidRPr="001D19D2">
              <w:rPr>
                <w:rStyle w:val="Hyperlink"/>
                <w:noProof/>
              </w:rPr>
              <w:t xml:space="preserve"> and inclusion at work</w:t>
            </w:r>
            <w:r w:rsidR="007A6B53">
              <w:rPr>
                <w:noProof/>
                <w:webHidden/>
              </w:rPr>
              <w:tab/>
            </w:r>
            <w:r w:rsidR="007A6B53">
              <w:rPr>
                <w:noProof/>
                <w:webHidden/>
              </w:rPr>
              <w:fldChar w:fldCharType="begin"/>
            </w:r>
            <w:r w:rsidR="007A6B53">
              <w:rPr>
                <w:noProof/>
                <w:webHidden/>
              </w:rPr>
              <w:instrText xml:space="preserve"> PAGEREF _Toc101176617 \h </w:instrText>
            </w:r>
            <w:r w:rsidR="007A6B53">
              <w:rPr>
                <w:noProof/>
                <w:webHidden/>
              </w:rPr>
            </w:r>
            <w:r w:rsidR="007A6B53">
              <w:rPr>
                <w:noProof/>
                <w:webHidden/>
              </w:rPr>
              <w:fldChar w:fldCharType="separate"/>
            </w:r>
            <w:r w:rsidR="007A6B53">
              <w:rPr>
                <w:noProof/>
                <w:webHidden/>
              </w:rPr>
              <w:t>3</w:t>
            </w:r>
            <w:r w:rsidR="007A6B53">
              <w:rPr>
                <w:noProof/>
                <w:webHidden/>
              </w:rPr>
              <w:fldChar w:fldCharType="end"/>
            </w:r>
          </w:hyperlink>
        </w:p>
        <w:p w14:paraId="4FFCE89A" w14:textId="6B2F4102" w:rsidR="007A6B53" w:rsidRDefault="00063E9C">
          <w:pPr>
            <w:pStyle w:val="TOC2"/>
            <w:tabs>
              <w:tab w:val="right" w:leader="dot" w:pos="9016"/>
            </w:tabs>
            <w:rPr>
              <w:noProof/>
            </w:rPr>
          </w:pPr>
          <w:hyperlink w:anchor="_Toc101176618" w:history="1">
            <w:r w:rsidR="00204307">
              <w:rPr>
                <w:rStyle w:val="Hyperlink"/>
                <w:noProof/>
              </w:rPr>
              <w:t>Analyze</w:t>
            </w:r>
            <w:r w:rsidR="007A6B53" w:rsidRPr="001D19D2">
              <w:rPr>
                <w:rStyle w:val="Hyperlink"/>
                <w:noProof/>
              </w:rPr>
              <w:t xml:space="preserve"> the role of Human Resources in promoting diversity and inclusion through flexible working.</w:t>
            </w:r>
            <w:r w:rsidR="007A6B53">
              <w:rPr>
                <w:noProof/>
                <w:webHidden/>
              </w:rPr>
              <w:tab/>
            </w:r>
            <w:r w:rsidR="007A6B53">
              <w:rPr>
                <w:noProof/>
                <w:webHidden/>
              </w:rPr>
              <w:fldChar w:fldCharType="begin"/>
            </w:r>
            <w:r w:rsidR="007A6B53">
              <w:rPr>
                <w:noProof/>
                <w:webHidden/>
              </w:rPr>
              <w:instrText xml:space="preserve"> PAGEREF _Toc101176618 \h </w:instrText>
            </w:r>
            <w:r w:rsidR="007A6B53">
              <w:rPr>
                <w:noProof/>
                <w:webHidden/>
              </w:rPr>
            </w:r>
            <w:r w:rsidR="007A6B53">
              <w:rPr>
                <w:noProof/>
                <w:webHidden/>
              </w:rPr>
              <w:fldChar w:fldCharType="separate"/>
            </w:r>
            <w:r w:rsidR="007A6B53">
              <w:rPr>
                <w:noProof/>
                <w:webHidden/>
              </w:rPr>
              <w:t>3</w:t>
            </w:r>
            <w:r w:rsidR="007A6B53">
              <w:rPr>
                <w:noProof/>
                <w:webHidden/>
              </w:rPr>
              <w:fldChar w:fldCharType="end"/>
            </w:r>
          </w:hyperlink>
        </w:p>
        <w:p w14:paraId="347442F9" w14:textId="2684402E" w:rsidR="007A6B53" w:rsidRDefault="00063E9C">
          <w:pPr>
            <w:pStyle w:val="TOC1"/>
            <w:tabs>
              <w:tab w:val="right" w:leader="dot" w:pos="9016"/>
            </w:tabs>
            <w:rPr>
              <w:noProof/>
            </w:rPr>
          </w:pPr>
          <w:hyperlink w:anchor="_Toc101176619" w:history="1">
            <w:r w:rsidR="007A6B53" w:rsidRPr="001D19D2">
              <w:rPr>
                <w:rStyle w:val="Hyperlink"/>
                <w:noProof/>
              </w:rPr>
              <w:t xml:space="preserve">A case against flexible working </w:t>
            </w:r>
            <w:r w:rsidR="00204307">
              <w:rPr>
                <w:rStyle w:val="Hyperlink"/>
                <w:noProof/>
              </w:rPr>
              <w:t>about</w:t>
            </w:r>
            <w:r w:rsidR="007A6B53" w:rsidRPr="001D19D2">
              <w:rPr>
                <w:rStyle w:val="Hyperlink"/>
                <w:noProof/>
              </w:rPr>
              <w:t xml:space="preserve"> inequality at work</w:t>
            </w:r>
            <w:r w:rsidR="007A6B53">
              <w:rPr>
                <w:noProof/>
                <w:webHidden/>
              </w:rPr>
              <w:tab/>
            </w:r>
            <w:r w:rsidR="007A6B53">
              <w:rPr>
                <w:noProof/>
                <w:webHidden/>
              </w:rPr>
              <w:fldChar w:fldCharType="begin"/>
            </w:r>
            <w:r w:rsidR="007A6B53">
              <w:rPr>
                <w:noProof/>
                <w:webHidden/>
              </w:rPr>
              <w:instrText xml:space="preserve"> PAGEREF _Toc101176619 \h </w:instrText>
            </w:r>
            <w:r w:rsidR="007A6B53">
              <w:rPr>
                <w:noProof/>
                <w:webHidden/>
              </w:rPr>
            </w:r>
            <w:r w:rsidR="007A6B53">
              <w:rPr>
                <w:noProof/>
                <w:webHidden/>
              </w:rPr>
              <w:fldChar w:fldCharType="separate"/>
            </w:r>
            <w:r w:rsidR="007A6B53">
              <w:rPr>
                <w:noProof/>
                <w:webHidden/>
              </w:rPr>
              <w:t>4</w:t>
            </w:r>
            <w:r w:rsidR="007A6B53">
              <w:rPr>
                <w:noProof/>
                <w:webHidden/>
              </w:rPr>
              <w:fldChar w:fldCharType="end"/>
            </w:r>
          </w:hyperlink>
        </w:p>
        <w:p w14:paraId="6B3A1AED" w14:textId="39D3D9F4" w:rsidR="007A6B53" w:rsidRDefault="00063E9C">
          <w:pPr>
            <w:pStyle w:val="TOC2"/>
            <w:tabs>
              <w:tab w:val="right" w:leader="dot" w:pos="9016"/>
            </w:tabs>
            <w:rPr>
              <w:noProof/>
            </w:rPr>
          </w:pPr>
          <w:hyperlink w:anchor="_Toc101176620" w:history="1">
            <w:r w:rsidR="007A6B53" w:rsidRPr="001D19D2">
              <w:rPr>
                <w:rStyle w:val="Hyperlink"/>
                <w:noProof/>
              </w:rPr>
              <w:t>Analyze the role of Human Resources in addressing the concerns of inequality that may arise from flexible working.</w:t>
            </w:r>
            <w:r w:rsidR="007A6B53">
              <w:rPr>
                <w:noProof/>
                <w:webHidden/>
              </w:rPr>
              <w:tab/>
            </w:r>
            <w:r w:rsidR="007A6B53">
              <w:rPr>
                <w:noProof/>
                <w:webHidden/>
              </w:rPr>
              <w:fldChar w:fldCharType="begin"/>
            </w:r>
            <w:r w:rsidR="007A6B53">
              <w:rPr>
                <w:noProof/>
                <w:webHidden/>
              </w:rPr>
              <w:instrText xml:space="preserve"> PAGEREF _Toc101176620 \h </w:instrText>
            </w:r>
            <w:r w:rsidR="007A6B53">
              <w:rPr>
                <w:noProof/>
                <w:webHidden/>
              </w:rPr>
            </w:r>
            <w:r w:rsidR="007A6B53">
              <w:rPr>
                <w:noProof/>
                <w:webHidden/>
              </w:rPr>
              <w:fldChar w:fldCharType="separate"/>
            </w:r>
            <w:r w:rsidR="007A6B53">
              <w:rPr>
                <w:noProof/>
                <w:webHidden/>
              </w:rPr>
              <w:t>4</w:t>
            </w:r>
            <w:r w:rsidR="007A6B53">
              <w:rPr>
                <w:noProof/>
                <w:webHidden/>
              </w:rPr>
              <w:fldChar w:fldCharType="end"/>
            </w:r>
          </w:hyperlink>
        </w:p>
        <w:p w14:paraId="2F27F973" w14:textId="1847217C" w:rsidR="007A6B53" w:rsidRDefault="00063E9C">
          <w:pPr>
            <w:pStyle w:val="TOC1"/>
            <w:tabs>
              <w:tab w:val="right" w:leader="dot" w:pos="9016"/>
            </w:tabs>
            <w:rPr>
              <w:noProof/>
            </w:rPr>
          </w:pPr>
          <w:hyperlink w:anchor="_Toc101176621" w:history="1">
            <w:r w:rsidR="007A6B53" w:rsidRPr="001D19D2">
              <w:rPr>
                <w:rStyle w:val="Hyperlink"/>
                <w:noProof/>
              </w:rPr>
              <w:t>Conclusion</w:t>
            </w:r>
            <w:r w:rsidR="007A6B53">
              <w:rPr>
                <w:noProof/>
                <w:webHidden/>
              </w:rPr>
              <w:tab/>
            </w:r>
            <w:r w:rsidR="007A6B53">
              <w:rPr>
                <w:noProof/>
                <w:webHidden/>
              </w:rPr>
              <w:fldChar w:fldCharType="begin"/>
            </w:r>
            <w:r w:rsidR="007A6B53">
              <w:rPr>
                <w:noProof/>
                <w:webHidden/>
              </w:rPr>
              <w:instrText xml:space="preserve"> PAGEREF _Toc101176621 \h </w:instrText>
            </w:r>
            <w:r w:rsidR="007A6B53">
              <w:rPr>
                <w:noProof/>
                <w:webHidden/>
              </w:rPr>
            </w:r>
            <w:r w:rsidR="007A6B53">
              <w:rPr>
                <w:noProof/>
                <w:webHidden/>
              </w:rPr>
              <w:fldChar w:fldCharType="separate"/>
            </w:r>
            <w:r w:rsidR="007A6B53">
              <w:rPr>
                <w:noProof/>
                <w:webHidden/>
              </w:rPr>
              <w:t>5</w:t>
            </w:r>
            <w:r w:rsidR="007A6B53">
              <w:rPr>
                <w:noProof/>
                <w:webHidden/>
              </w:rPr>
              <w:fldChar w:fldCharType="end"/>
            </w:r>
          </w:hyperlink>
        </w:p>
        <w:p w14:paraId="2B99744A" w14:textId="0A6813EE" w:rsidR="007A6B53" w:rsidRDefault="00063E9C">
          <w:pPr>
            <w:pStyle w:val="TOC1"/>
            <w:tabs>
              <w:tab w:val="right" w:leader="dot" w:pos="9016"/>
            </w:tabs>
            <w:rPr>
              <w:noProof/>
            </w:rPr>
          </w:pPr>
          <w:hyperlink w:anchor="_Toc101176622" w:history="1">
            <w:r w:rsidR="007A6B53" w:rsidRPr="001D19D2">
              <w:rPr>
                <w:rStyle w:val="Hyperlink"/>
                <w:noProof/>
              </w:rPr>
              <w:t>References</w:t>
            </w:r>
            <w:r w:rsidR="007A6B53">
              <w:rPr>
                <w:noProof/>
                <w:webHidden/>
              </w:rPr>
              <w:tab/>
            </w:r>
            <w:r w:rsidR="007A6B53">
              <w:rPr>
                <w:noProof/>
                <w:webHidden/>
              </w:rPr>
              <w:fldChar w:fldCharType="begin"/>
            </w:r>
            <w:r w:rsidR="007A6B53">
              <w:rPr>
                <w:noProof/>
                <w:webHidden/>
              </w:rPr>
              <w:instrText xml:space="preserve"> PAGEREF _Toc101176622 \h </w:instrText>
            </w:r>
            <w:r w:rsidR="007A6B53">
              <w:rPr>
                <w:noProof/>
                <w:webHidden/>
              </w:rPr>
            </w:r>
            <w:r w:rsidR="007A6B53">
              <w:rPr>
                <w:noProof/>
                <w:webHidden/>
              </w:rPr>
              <w:fldChar w:fldCharType="separate"/>
            </w:r>
            <w:r w:rsidR="007A6B53">
              <w:rPr>
                <w:noProof/>
                <w:webHidden/>
              </w:rPr>
              <w:t>5</w:t>
            </w:r>
            <w:r w:rsidR="007A6B53">
              <w:rPr>
                <w:noProof/>
                <w:webHidden/>
              </w:rPr>
              <w:fldChar w:fldCharType="end"/>
            </w:r>
          </w:hyperlink>
        </w:p>
        <w:p w14:paraId="2F0794A5" w14:textId="55D14336" w:rsidR="007A6B53" w:rsidRDefault="007A6B53">
          <w:r>
            <w:rPr>
              <w:b/>
              <w:bCs/>
              <w:noProof/>
            </w:rPr>
            <w:fldChar w:fldCharType="end"/>
          </w:r>
        </w:p>
      </w:sdtContent>
    </w:sdt>
    <w:p w14:paraId="402141BA" w14:textId="77777777" w:rsidR="007A6B53" w:rsidRDefault="007A6B53">
      <w:pPr>
        <w:spacing w:line="259" w:lineRule="auto"/>
        <w:jc w:val="left"/>
        <w:rPr>
          <w:rFonts w:eastAsiaTheme="majorEastAsia" w:cstheme="majorBidi"/>
          <w:b/>
          <w:color w:val="000000" w:themeColor="text1"/>
          <w:sz w:val="28"/>
          <w:szCs w:val="32"/>
        </w:rPr>
      </w:pPr>
      <w:r>
        <w:br w:type="page"/>
      </w:r>
    </w:p>
    <w:p w14:paraId="509AD9BA" w14:textId="24B49E15" w:rsidR="00777E8D" w:rsidRDefault="00C329F8" w:rsidP="00C329F8">
      <w:pPr>
        <w:pStyle w:val="Heading1"/>
      </w:pPr>
      <w:bookmarkStart w:id="0" w:name="_Toc101176616"/>
      <w:r>
        <w:lastRenderedPageBreak/>
        <w:t>Introduction</w:t>
      </w:r>
      <w:bookmarkEnd w:id="0"/>
      <w:r>
        <w:t xml:space="preserve"> </w:t>
      </w:r>
    </w:p>
    <w:p w14:paraId="3588D936" w14:textId="35F72B0D" w:rsidR="00694A46" w:rsidRPr="00A6285D" w:rsidRDefault="000A67FD" w:rsidP="000A67FD">
      <w:r>
        <w:t xml:space="preserve">This report will </w:t>
      </w:r>
      <w:r w:rsidR="00C81076">
        <w:t>analyze</w:t>
      </w:r>
      <w:r>
        <w:t xml:space="preserve"> and present flexible working in </w:t>
      </w:r>
      <w:r w:rsidR="00C81076">
        <w:t xml:space="preserve">the </w:t>
      </w:r>
      <w:r>
        <w:t xml:space="preserve">context of the diversity and inclusion of the workplace. Further, this report will bring forward the case in </w:t>
      </w:r>
      <w:r w:rsidR="009D6C41">
        <w:t>favor</w:t>
      </w:r>
      <w:r>
        <w:t xml:space="preserve"> of flexibility in terms of diversity and inclusion of work. The later part will also include </w:t>
      </w:r>
      <w:r w:rsidR="00C81076">
        <w:t xml:space="preserve">a </w:t>
      </w:r>
      <w:r>
        <w:t xml:space="preserve">case against the Human resource in addressing the concerns associated with the integrity which arises from the availability of flexibility in working. The study will present cases both for and against the </w:t>
      </w:r>
      <w:r w:rsidR="00292FBD">
        <w:t xml:space="preserve">flexibility working in the context of the UK firm having 1000 staff strength. This study will refer to </w:t>
      </w:r>
      <w:r w:rsidR="0060739D">
        <w:t xml:space="preserve">the </w:t>
      </w:r>
      <w:r w:rsidR="009D5142">
        <w:t>UK-based</w:t>
      </w:r>
      <w:r w:rsidR="00292FBD">
        <w:t xml:space="preserve"> retail </w:t>
      </w:r>
      <w:r w:rsidR="009D5142">
        <w:t>organizatio</w:t>
      </w:r>
      <w:r w:rsidR="008F53F6">
        <w:t xml:space="preserve">n </w:t>
      </w:r>
      <w:r w:rsidR="0060739D">
        <w:t>Costcutter</w:t>
      </w:r>
      <w:r w:rsidR="008F53F6">
        <w:t xml:space="preserve"> UK. This firm is </w:t>
      </w:r>
      <w:r w:rsidR="0060739D">
        <w:t xml:space="preserve">a </w:t>
      </w:r>
      <w:r w:rsidR="008F53F6">
        <w:t xml:space="preserve">grocery sector retailer based in </w:t>
      </w:r>
      <w:r w:rsidR="0060739D">
        <w:t xml:space="preserve">the </w:t>
      </w:r>
      <w:r w:rsidR="008F53F6">
        <w:t>UK</w:t>
      </w:r>
      <w:r w:rsidR="000A53D3">
        <w:t xml:space="preserve"> having different branches across </w:t>
      </w:r>
      <w:r w:rsidR="0060739D">
        <w:t xml:space="preserve">the </w:t>
      </w:r>
      <w:r w:rsidR="000A53D3">
        <w:t xml:space="preserve">UK and around 1000 staff </w:t>
      </w:r>
      <w:r w:rsidR="0060739D">
        <w:t xml:space="preserve">are </w:t>
      </w:r>
      <w:r w:rsidR="000A53D3">
        <w:t xml:space="preserve">employed with </w:t>
      </w:r>
      <w:r w:rsidR="0060739D">
        <w:t xml:space="preserve">the </w:t>
      </w:r>
      <w:r w:rsidR="000A53D3">
        <w:t xml:space="preserve">firm </w:t>
      </w:r>
      <w:r w:rsidR="00A6285D">
        <w:t>at</w:t>
      </w:r>
      <w:r w:rsidR="0060739D">
        <w:t xml:space="preserve"> branches across regions namely</w:t>
      </w:r>
      <w:r w:rsidR="00A6285D">
        <w:t xml:space="preserve"> Liverpool, </w:t>
      </w:r>
      <w:r w:rsidR="00A6285D" w:rsidRPr="00A6285D">
        <w:t>Stranraer Markfield, and Deiniolen</w:t>
      </w:r>
      <w:r w:rsidR="0029152F">
        <w:t xml:space="preserve"> (</w:t>
      </w:r>
      <w:r w:rsidR="0029152F" w:rsidRPr="0029152F">
        <w:t>costcutter.co.uk</w:t>
      </w:r>
      <w:r w:rsidR="0029152F">
        <w:t>, 2022)</w:t>
      </w:r>
      <w:r w:rsidR="00A6285D">
        <w:t xml:space="preserve">. </w:t>
      </w:r>
    </w:p>
    <w:p w14:paraId="62B60CD0" w14:textId="77777777" w:rsidR="00694A46" w:rsidRDefault="00694A46">
      <w:pPr>
        <w:spacing w:line="259" w:lineRule="auto"/>
        <w:jc w:val="left"/>
      </w:pPr>
      <w:r>
        <w:br w:type="page"/>
      </w:r>
    </w:p>
    <w:p w14:paraId="50B799CD" w14:textId="7EF3CB6A" w:rsidR="007A6B53" w:rsidRDefault="007A6B53" w:rsidP="007A6B53">
      <w:bookmarkStart w:id="1" w:name="_Toc101176617"/>
      <w:r w:rsidRPr="007A6B53">
        <w:rPr>
          <w:rStyle w:val="Heading1Char"/>
        </w:rPr>
        <w:lastRenderedPageBreak/>
        <w:t xml:space="preserve">A case in </w:t>
      </w:r>
      <w:r w:rsidR="00204307">
        <w:rPr>
          <w:rStyle w:val="Heading1Char"/>
        </w:rPr>
        <w:t>favor</w:t>
      </w:r>
      <w:r w:rsidRPr="007A6B53">
        <w:rPr>
          <w:rStyle w:val="Heading1Char"/>
        </w:rPr>
        <w:t xml:space="preserve"> of flexible working </w:t>
      </w:r>
      <w:r w:rsidR="00204307">
        <w:rPr>
          <w:rStyle w:val="Heading1Char"/>
        </w:rPr>
        <w:t>about</w:t>
      </w:r>
      <w:r w:rsidRPr="007A6B53">
        <w:rPr>
          <w:rStyle w:val="Heading1Char"/>
        </w:rPr>
        <w:t xml:space="preserve"> diversity and inclusion at work</w:t>
      </w:r>
      <w:bookmarkEnd w:id="1"/>
      <w:r>
        <w:t xml:space="preserve"> </w:t>
      </w:r>
    </w:p>
    <w:p w14:paraId="52F56B37" w14:textId="51322999" w:rsidR="00000BE7" w:rsidRDefault="00000BE7" w:rsidP="007A6B53">
      <w:r>
        <w:t>A flexible work environment can be a valuable tool for any organization where companies can improve equality in the workplace and inclusive culture creation at the company</w:t>
      </w:r>
      <w:r w:rsidR="00E3701F">
        <w:t xml:space="preserve"> (</w:t>
      </w:r>
      <w:r w:rsidR="00E3701F" w:rsidRPr="00E3701F">
        <w:t>Kossek</w:t>
      </w:r>
      <w:r w:rsidR="00E3701F">
        <w:t xml:space="preserve"> </w:t>
      </w:r>
      <w:r w:rsidR="00E3701F" w:rsidRPr="00E3701F">
        <w:t>and Lee</w:t>
      </w:r>
      <w:r w:rsidR="00E3701F">
        <w:t>, 2021)</w:t>
      </w:r>
      <w:r>
        <w:t>.</w:t>
      </w:r>
      <w:r w:rsidR="00A20E91">
        <w:t xml:space="preserve"> The advantages of </w:t>
      </w:r>
      <w:r w:rsidR="00347D76">
        <w:t xml:space="preserve">a flexible working environment refer to the creation of gender </w:t>
      </w:r>
      <w:r w:rsidR="00D05A6D">
        <w:t>inclusion and reduce the pay gap within the organization. This helps people within the organization in handling fluctuating situations at work</w:t>
      </w:r>
      <w:r w:rsidR="00204307">
        <w:t>,</w:t>
      </w:r>
      <w:r w:rsidR="005D032C">
        <w:t xml:space="preserve"> </w:t>
      </w:r>
      <w:r w:rsidR="00401E5B">
        <w:t>for</w:t>
      </w:r>
      <w:r w:rsidR="005D032C">
        <w:t xml:space="preserve"> example, </w:t>
      </w:r>
      <w:r w:rsidR="00F83D88">
        <w:t>big</w:t>
      </w:r>
      <w:r w:rsidR="00D05A6D">
        <w:t xml:space="preserve"> retail sector companies like Tesco are essentially focusing on this </w:t>
      </w:r>
      <w:r w:rsidR="00A6673D">
        <w:t xml:space="preserve">through their shift switching facility for all their staff. Tesco staff can switch their shifts with other members as per their choices which makes the workplace more collaborative and inclusive in terms of employee engagement and cooperation amongst themselves. The flexible work environment </w:t>
      </w:r>
      <w:r w:rsidR="00204307">
        <w:t>can</w:t>
      </w:r>
      <w:r w:rsidR="00A6673D">
        <w:t xml:space="preserve"> attract </w:t>
      </w:r>
      <w:r w:rsidR="000F6630">
        <w:t xml:space="preserve">a </w:t>
      </w:r>
      <w:r w:rsidR="00A6673D">
        <w:t>high level of skills and</w:t>
      </w:r>
      <w:r w:rsidR="000F6630">
        <w:t xml:space="preserve"> businesses</w:t>
      </w:r>
      <w:r w:rsidR="00A6673D">
        <w:t xml:space="preserve"> will be able to attract as well as retain their diversified workforce. The staff with diverse </w:t>
      </w:r>
      <w:r w:rsidR="000F6630">
        <w:t>cultures</w:t>
      </w:r>
      <w:r w:rsidR="00A6673D">
        <w:t xml:space="preserve"> and backgrounds will foster the </w:t>
      </w:r>
      <w:r w:rsidR="000F6630">
        <w:t xml:space="preserve">internal capacities of the organization. For company </w:t>
      </w:r>
      <w:r w:rsidR="008F53F6">
        <w:t>Costcutter UK</w:t>
      </w:r>
      <w:r w:rsidR="000F6630">
        <w:t xml:space="preserve">, </w:t>
      </w:r>
      <w:r w:rsidR="00BB4729">
        <w:t xml:space="preserve">considering their staff strength </w:t>
      </w:r>
      <w:r w:rsidR="00204307">
        <w:t>the firm needs to think</w:t>
      </w:r>
      <w:r w:rsidR="00BB4729">
        <w:t xml:space="preserve"> of Flexible work arrangements in </w:t>
      </w:r>
      <w:r w:rsidR="008625B8">
        <w:t xml:space="preserve">the </w:t>
      </w:r>
      <w:r w:rsidR="00BB4729">
        <w:t xml:space="preserve">context of the chosen firms. The </w:t>
      </w:r>
      <w:r w:rsidR="008625B8">
        <w:t xml:space="preserve">purpose of flexible work arrangements will be impactful on </w:t>
      </w:r>
      <w:r w:rsidR="007324A3">
        <w:t xml:space="preserve">the </w:t>
      </w:r>
      <w:r w:rsidR="008625B8">
        <w:t xml:space="preserve">career development of staff. Understanding the impetus and constraints on the implementation of the flexible workplace </w:t>
      </w:r>
      <w:r w:rsidR="007324A3">
        <w:t>it’s</w:t>
      </w:r>
      <w:r w:rsidR="008625B8">
        <w:t xml:space="preserve"> also crucial for the firm to address the pressure on the diversity maintenance of this diversity by the human resource managers and senior management. </w:t>
      </w:r>
      <w:r w:rsidR="007324A3">
        <w:t xml:space="preserve">These flexible work placements </w:t>
      </w:r>
      <w:r w:rsidR="005D032C">
        <w:t>require</w:t>
      </w:r>
      <w:r w:rsidR="007324A3">
        <w:t xml:space="preserve"> </w:t>
      </w:r>
      <w:r w:rsidR="00204307">
        <w:t>researching</w:t>
      </w:r>
      <w:r w:rsidR="007324A3">
        <w:t xml:space="preserve"> the possibilities and benefits </w:t>
      </w:r>
      <w:r w:rsidR="00204307">
        <w:t>of</w:t>
      </w:r>
      <w:r w:rsidR="007324A3">
        <w:t xml:space="preserve"> </w:t>
      </w:r>
      <w:r w:rsidR="00204307">
        <w:t>the implementation of</w:t>
      </w:r>
      <w:r w:rsidR="007324A3">
        <w:t xml:space="preserve"> policies in </w:t>
      </w:r>
      <w:r w:rsidR="009D6C41">
        <w:t>favor</w:t>
      </w:r>
      <w:r w:rsidR="007324A3">
        <w:t xml:space="preserve"> of the flexible </w:t>
      </w:r>
      <w:r w:rsidR="00204307">
        <w:t>work-life</w:t>
      </w:r>
      <w:r w:rsidR="007324A3">
        <w:t xml:space="preserve"> for staff.  </w:t>
      </w:r>
    </w:p>
    <w:p w14:paraId="0489DBAE" w14:textId="11EB3938" w:rsidR="007A6B53" w:rsidRDefault="00A049F2" w:rsidP="000A67FD">
      <w:r>
        <w:t xml:space="preserve">As per researchers, diversity </w:t>
      </w:r>
      <w:r w:rsidR="00204307">
        <w:t>in</w:t>
      </w:r>
      <w:r>
        <w:t xml:space="preserve"> </w:t>
      </w:r>
      <w:r w:rsidR="00204307">
        <w:t xml:space="preserve">a </w:t>
      </w:r>
      <w:r>
        <w:t>workplace increases the flexibility, retention, and financial sustainability within th</w:t>
      </w:r>
      <w:r w:rsidR="00204307">
        <w:t>e organization</w:t>
      </w:r>
      <w:r w:rsidR="004F3BD6">
        <w:t xml:space="preserve"> (</w:t>
      </w:r>
      <w:r w:rsidR="004F3BD6" w:rsidRPr="004F3BD6">
        <w:t>Singh, 2019</w:t>
      </w:r>
      <w:r w:rsidR="004F3BD6">
        <w:t>)</w:t>
      </w:r>
      <w:r>
        <w:t xml:space="preserve">. The diverse workforce is giving </w:t>
      </w:r>
      <w:r w:rsidR="00401E5B">
        <w:t xml:space="preserve">a </w:t>
      </w:r>
      <w:r>
        <w:t xml:space="preserve">competitive advantage for increasing adaptability and altering workplaces. Legislative compliance is also a criterion for justifying flexible workplace setups. </w:t>
      </w:r>
      <w:r w:rsidR="00497A55">
        <w:t xml:space="preserve">the </w:t>
      </w:r>
      <w:r w:rsidR="00E549FB">
        <w:t>decision-makers</w:t>
      </w:r>
      <w:r w:rsidR="00497A55">
        <w:t xml:space="preserve"> encourage this work arrangement because of its benefits for </w:t>
      </w:r>
      <w:r w:rsidR="00E549FB">
        <w:t xml:space="preserve">the </w:t>
      </w:r>
      <w:r w:rsidR="00204307">
        <w:t>organization</w:t>
      </w:r>
      <w:r w:rsidR="00497A55">
        <w:t xml:space="preserve"> in terms of performance and competitive advantages. The flexible work environment deems to increase equity </w:t>
      </w:r>
      <w:r w:rsidR="00401E5B">
        <w:t xml:space="preserve">as well as social inclusion. The gender pay gap </w:t>
      </w:r>
      <w:r w:rsidR="00204307">
        <w:t>in</w:t>
      </w:r>
      <w:r w:rsidR="00401E5B">
        <w:t xml:space="preserve"> </w:t>
      </w:r>
      <w:r w:rsidR="00E549FB">
        <w:t xml:space="preserve">the </w:t>
      </w:r>
      <w:r w:rsidR="00204307">
        <w:t>organization</w:t>
      </w:r>
      <w:r w:rsidR="00401E5B">
        <w:t xml:space="preserve"> is essentially a determinant of the </w:t>
      </w:r>
      <w:r w:rsidR="00A25780">
        <w:t xml:space="preserve">inclusive workplace for diverse genders. There is also </w:t>
      </w:r>
      <w:r w:rsidR="00204307">
        <w:t xml:space="preserve">a </w:t>
      </w:r>
      <w:r w:rsidR="00A25780">
        <w:t xml:space="preserve">link between the diversity management and </w:t>
      </w:r>
      <w:r w:rsidR="009544F1">
        <w:t>work-family</w:t>
      </w:r>
      <w:r w:rsidR="00A25780">
        <w:t xml:space="preserve"> balance offered to the staff. The </w:t>
      </w:r>
      <w:r w:rsidR="009544F1">
        <w:t>diverse</w:t>
      </w:r>
      <w:r w:rsidR="00A25780">
        <w:t xml:space="preserve"> workplace is uneasily referring to the concept of ideal working where </w:t>
      </w:r>
      <w:r w:rsidR="009544F1">
        <w:t>work-related</w:t>
      </w:r>
      <w:r w:rsidR="00A25780">
        <w:t xml:space="preserve"> commitments are promoted and employees do not have any outside work obligations. In </w:t>
      </w:r>
      <w:r w:rsidR="00C57C52">
        <w:t xml:space="preserve">an </w:t>
      </w:r>
      <w:r w:rsidR="009544F1">
        <w:t>organizational</w:t>
      </w:r>
      <w:r w:rsidR="00A25780">
        <w:t xml:space="preserve"> context company</w:t>
      </w:r>
      <w:r w:rsidR="009544F1">
        <w:t>,</w:t>
      </w:r>
      <w:r w:rsidR="00A25780">
        <w:t xml:space="preserve"> </w:t>
      </w:r>
      <w:r w:rsidR="008F53F6">
        <w:t>Costcutter</w:t>
      </w:r>
      <w:r w:rsidR="00A25780">
        <w:t xml:space="preserve"> should create </w:t>
      </w:r>
      <w:r w:rsidR="00204307">
        <w:t xml:space="preserve">a </w:t>
      </w:r>
      <w:r w:rsidR="009544F1">
        <w:t>dual</w:t>
      </w:r>
      <w:r w:rsidR="00A25780">
        <w:t xml:space="preserve"> approach towards systematic changes </w:t>
      </w:r>
      <w:r w:rsidR="00F06725">
        <w:t xml:space="preserve">in further knowing the variability of the practices at </w:t>
      </w:r>
      <w:r w:rsidR="00C57C52">
        <w:t xml:space="preserve">the </w:t>
      </w:r>
      <w:r w:rsidR="00F06725">
        <w:t xml:space="preserve">company level. The </w:t>
      </w:r>
      <w:r w:rsidR="00C57C52">
        <w:t>family-friendly</w:t>
      </w:r>
      <w:r w:rsidR="00F06725">
        <w:t xml:space="preserve"> </w:t>
      </w:r>
      <w:r w:rsidR="00F06725">
        <w:lastRenderedPageBreak/>
        <w:t xml:space="preserve">workplace </w:t>
      </w:r>
      <w:r w:rsidR="00C57C52">
        <w:t xml:space="preserve">policies will essentially increase the satisfaction of employees and it will reflect </w:t>
      </w:r>
      <w:r w:rsidR="00DF55E0">
        <w:t>in</w:t>
      </w:r>
      <w:r w:rsidR="00C57C52">
        <w:t xml:space="preserve"> their productivity and rising profits for the firm. </w:t>
      </w:r>
      <w:r w:rsidR="008B5E21">
        <w:t xml:space="preserve">The flexible work adaptability </w:t>
      </w:r>
      <w:r w:rsidR="00204307">
        <w:t>is shown</w:t>
      </w:r>
      <w:r w:rsidR="008B5E21">
        <w:t xml:space="preserve"> by companies resulted </w:t>
      </w:r>
      <w:r w:rsidR="00204307">
        <w:t>in</w:t>
      </w:r>
      <w:r w:rsidR="008B5E21">
        <w:t xml:space="preserve"> ease </w:t>
      </w:r>
      <w:r w:rsidR="00204307">
        <w:t>of</w:t>
      </w:r>
      <w:r w:rsidR="008B5E21">
        <w:t xml:space="preserve"> conducting the virtual meetings and team management. </w:t>
      </w:r>
      <w:r w:rsidR="00382A99">
        <w:t xml:space="preserve">Strategic leadership approaches would have </w:t>
      </w:r>
      <w:r w:rsidR="00DF55E0">
        <w:t xml:space="preserve">an </w:t>
      </w:r>
      <w:r w:rsidR="00246DD1">
        <w:t xml:space="preserve">effective contribution in making flexible work arrangements beneficial without turning it into over freedom for staff. The retail sector industry is ripe for the flexible working structures backed </w:t>
      </w:r>
      <w:r w:rsidR="005710C5">
        <w:t>by</w:t>
      </w:r>
      <w:r w:rsidR="00246DD1">
        <w:t xml:space="preserve"> </w:t>
      </w:r>
      <w:r w:rsidR="00DF55E0">
        <w:t xml:space="preserve">the </w:t>
      </w:r>
      <w:r w:rsidR="00246DD1">
        <w:t xml:space="preserve">reason that there are around 3 million people within </w:t>
      </w:r>
      <w:r w:rsidR="005710C5">
        <w:t xml:space="preserve">the </w:t>
      </w:r>
      <w:r w:rsidR="00246DD1">
        <w:t xml:space="preserve">UK retail sector which give </w:t>
      </w:r>
      <w:r w:rsidR="005710C5">
        <w:t xml:space="preserve">the </w:t>
      </w:r>
      <w:r w:rsidR="00246DD1">
        <w:t xml:space="preserve">majority of them work </w:t>
      </w:r>
      <w:r w:rsidR="00DF55E0">
        <w:t>part-time</w:t>
      </w:r>
      <w:r w:rsidR="00246DD1">
        <w:t xml:space="preserve"> which makes </w:t>
      </w:r>
      <w:r w:rsidR="00DF55E0">
        <w:t xml:space="preserve">a </w:t>
      </w:r>
      <w:r w:rsidR="00246DD1">
        <w:t xml:space="preserve">flexible work environment </w:t>
      </w:r>
      <w:r w:rsidR="00DF55E0">
        <w:t xml:space="preserve">a </w:t>
      </w:r>
      <w:r w:rsidR="009F0375">
        <w:t xml:space="preserve">priority for the firms. </w:t>
      </w:r>
      <w:r w:rsidR="008B5E21">
        <w:t>As per the research done on the responses received from shares of responders on the benefits of flexible work</w:t>
      </w:r>
      <w:r w:rsidR="00204307">
        <w:t>,</w:t>
      </w:r>
      <w:r w:rsidR="008B5E21">
        <w:t xml:space="preserve"> place accounted major benefit as it will add more productivity for the firm. </w:t>
      </w:r>
    </w:p>
    <w:p w14:paraId="18CB9252" w14:textId="32027E15" w:rsidR="008B5E21" w:rsidRDefault="008B5E21" w:rsidP="008B5E21">
      <w:pPr>
        <w:jc w:val="center"/>
      </w:pPr>
      <w:r>
        <w:t>Figure 01: Benefits of Flexible work arrangements</w:t>
      </w:r>
    </w:p>
    <w:p w14:paraId="24ABC23F" w14:textId="6777B2EF" w:rsidR="008B5E21" w:rsidRDefault="008B5E21" w:rsidP="008B5E21">
      <w:pPr>
        <w:jc w:val="center"/>
      </w:pPr>
      <w:r>
        <w:t>(Source: statista.com, 2022)</w:t>
      </w:r>
    </w:p>
    <w:p w14:paraId="1788D7EF" w14:textId="44EDB4AB" w:rsidR="008B5E21" w:rsidRDefault="008B5E21" w:rsidP="008B5E21">
      <w:pPr>
        <w:jc w:val="center"/>
      </w:pPr>
      <w:r>
        <w:rPr>
          <w:noProof/>
        </w:rPr>
        <w:drawing>
          <wp:inline distT="0" distB="0" distL="0" distR="0" wp14:anchorId="6E38CCCD" wp14:editId="259B1BCC">
            <wp:extent cx="3505200"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05200" cy="2724150"/>
                    </a:xfrm>
                    <a:prstGeom prst="rect">
                      <a:avLst/>
                    </a:prstGeom>
                  </pic:spPr>
                </pic:pic>
              </a:graphicData>
            </a:graphic>
          </wp:inline>
        </w:drawing>
      </w:r>
    </w:p>
    <w:p w14:paraId="0ECFF679" w14:textId="7D8C5C30" w:rsidR="00DF55E0" w:rsidRDefault="00DF55E0" w:rsidP="000A67FD">
      <w:r>
        <w:t xml:space="preserve">The benefits of the </w:t>
      </w:r>
      <w:r w:rsidR="005710C5">
        <w:t xml:space="preserve">flexible working arrangements for the business </w:t>
      </w:r>
    </w:p>
    <w:p w14:paraId="0CB99135" w14:textId="5A8B0EFF" w:rsidR="005710C5" w:rsidRDefault="005710C5" w:rsidP="009010B0">
      <w:pPr>
        <w:pStyle w:val="ListParagraph"/>
        <w:numPr>
          <w:ilvl w:val="0"/>
          <w:numId w:val="1"/>
        </w:numPr>
      </w:pPr>
      <w:r w:rsidRPr="009010B0">
        <w:rPr>
          <w:b/>
          <w:bCs/>
        </w:rPr>
        <w:t>Reduced cost</w:t>
      </w:r>
      <w:r>
        <w:t>- the major benefit of the flexible work environment which particularly refers to the large organizations which entitle them with the opportunity to save cost</w:t>
      </w:r>
      <w:r w:rsidR="004F3BD6">
        <w:t xml:space="preserve"> (</w:t>
      </w:r>
      <w:r w:rsidR="004F3BD6" w:rsidRPr="004F3BD6">
        <w:t>Lewis and Beauregard, 2018</w:t>
      </w:r>
      <w:r w:rsidR="004F3BD6">
        <w:t>)</w:t>
      </w:r>
      <w:r>
        <w:t xml:space="preserve">. The pandemic has seen this trend in terms of work from home where employees were given flexibility in terms of their working </w:t>
      </w:r>
      <w:r w:rsidR="003F2693">
        <w:t xml:space="preserve">schedules. This has made companies continue operations when there was a lockdown situation present. </w:t>
      </w:r>
    </w:p>
    <w:p w14:paraId="5807B81A" w14:textId="6448CB8A" w:rsidR="003F2693" w:rsidRDefault="003F2693" w:rsidP="009010B0">
      <w:pPr>
        <w:pStyle w:val="ListParagraph"/>
        <w:numPr>
          <w:ilvl w:val="0"/>
          <w:numId w:val="1"/>
        </w:numPr>
      </w:pPr>
      <w:r w:rsidRPr="009010B0">
        <w:rPr>
          <w:b/>
          <w:bCs/>
        </w:rPr>
        <w:t>Increased productivity</w:t>
      </w:r>
      <w:r w:rsidR="005E7B07">
        <w:rPr>
          <w:b/>
          <w:bCs/>
        </w:rPr>
        <w:t xml:space="preserve"> and retention</w:t>
      </w:r>
      <w:r>
        <w:t xml:space="preserve">- the flexibility arrangements by the company </w:t>
      </w:r>
      <w:r w:rsidR="008A711F">
        <w:t>have</w:t>
      </w:r>
      <w:r>
        <w:t xml:space="preserve"> encouraged employees to work as per their own space and speed which makes it productive in terms of their thoughts and innovative approaches. </w:t>
      </w:r>
      <w:r w:rsidR="00AE1FBC">
        <w:t xml:space="preserve">flexible working can </w:t>
      </w:r>
      <w:r w:rsidR="00AE1FBC">
        <w:lastRenderedPageBreak/>
        <w:t xml:space="preserve">be used as </w:t>
      </w:r>
      <w:r w:rsidR="00204307">
        <w:t xml:space="preserve">an </w:t>
      </w:r>
      <w:r w:rsidR="00AE1FBC">
        <w:t xml:space="preserve">affirmative setup and capacity spanning tool that can be useful for women workers and other staff to adapt their work as per the family demands. </w:t>
      </w:r>
    </w:p>
    <w:p w14:paraId="00E76CA2" w14:textId="70DA1D9E" w:rsidR="00FA67D9" w:rsidRPr="009010B0" w:rsidRDefault="00FA67D9" w:rsidP="009010B0">
      <w:pPr>
        <w:pStyle w:val="ListParagraph"/>
        <w:numPr>
          <w:ilvl w:val="0"/>
          <w:numId w:val="1"/>
        </w:numPr>
        <w:rPr>
          <w:b/>
          <w:bCs/>
        </w:rPr>
      </w:pPr>
      <w:r w:rsidRPr="009010B0">
        <w:rPr>
          <w:b/>
          <w:bCs/>
        </w:rPr>
        <w:t xml:space="preserve">Improved work culture </w:t>
      </w:r>
    </w:p>
    <w:p w14:paraId="7AAF25BD" w14:textId="3B0BFEEA" w:rsidR="00FA67D9" w:rsidRDefault="00FA67D9" w:rsidP="009010B0">
      <w:pPr>
        <w:pStyle w:val="ListParagraph"/>
      </w:pPr>
      <w:r>
        <w:t xml:space="preserve">The major reason </w:t>
      </w:r>
      <w:r w:rsidR="00841205">
        <w:t>businesses</w:t>
      </w:r>
      <w:r>
        <w:t xml:space="preserve"> </w:t>
      </w:r>
      <w:r w:rsidR="00841205">
        <w:t xml:space="preserve">should go for </w:t>
      </w:r>
      <w:r w:rsidR="00610441">
        <w:t>a</w:t>
      </w:r>
      <w:r w:rsidR="00841205">
        <w:t xml:space="preserve"> flexible work environment</w:t>
      </w:r>
      <w:r w:rsidR="00610441">
        <w:t xml:space="preserve"> </w:t>
      </w:r>
      <w:r w:rsidR="008A711F">
        <w:t xml:space="preserve">is it </w:t>
      </w:r>
      <w:r w:rsidR="005E7B07">
        <w:t>facilitates</w:t>
      </w:r>
      <w:r w:rsidR="008A711F">
        <w:t xml:space="preserve"> </w:t>
      </w:r>
      <w:r w:rsidR="005E7B07">
        <w:t>a</w:t>
      </w:r>
      <w:r w:rsidR="008A711F">
        <w:t xml:space="preserve"> cooperative culture of work and improves their work morale. </w:t>
      </w:r>
      <w:r w:rsidR="005E7B07">
        <w:t>Allowing</w:t>
      </w:r>
      <w:r w:rsidR="008A711F">
        <w:t xml:space="preserve"> the staff to offer work balance as encouraging them to stay happy and retain within their present job profile. </w:t>
      </w:r>
    </w:p>
    <w:p w14:paraId="205B0DE6" w14:textId="3CB88DA1" w:rsidR="008A711F" w:rsidRPr="00FA67D9" w:rsidRDefault="008A711F" w:rsidP="005E7B07">
      <w:pPr>
        <w:pStyle w:val="ListParagraph"/>
        <w:numPr>
          <w:ilvl w:val="0"/>
          <w:numId w:val="1"/>
        </w:numPr>
      </w:pPr>
      <w:r w:rsidRPr="005E7B07">
        <w:rPr>
          <w:b/>
          <w:bCs/>
        </w:rPr>
        <w:t>Diverse teams</w:t>
      </w:r>
      <w:r>
        <w:t xml:space="preserve">- the corporate culture represents team working methods that </w:t>
      </w:r>
      <w:r w:rsidR="005E7B07">
        <w:t>seem</w:t>
      </w:r>
      <w:r>
        <w:t xml:space="preserve"> to be more productive and flexible in terms of work arrangements. This </w:t>
      </w:r>
      <w:r w:rsidR="005E7B07">
        <w:t>includes</w:t>
      </w:r>
      <w:r>
        <w:t xml:space="preserve"> the pandemic remote work opportunities as well as the </w:t>
      </w:r>
      <w:r w:rsidR="005E7B07">
        <w:t xml:space="preserve">physically disabled people who can’t work in office setups. By encouraging </w:t>
      </w:r>
      <w:r w:rsidR="00DD318E">
        <w:t xml:space="preserve">a </w:t>
      </w:r>
      <w:r w:rsidR="005E7B07">
        <w:t xml:space="preserve">flexible work environment company will have </w:t>
      </w:r>
      <w:r w:rsidR="008A47BA">
        <w:t xml:space="preserve">a </w:t>
      </w:r>
      <w:r w:rsidR="005E7B07">
        <w:t xml:space="preserve">diverse pool of team members. </w:t>
      </w:r>
    </w:p>
    <w:p w14:paraId="017A512E" w14:textId="5D0BB4BB" w:rsidR="008A47BA" w:rsidRDefault="008A47BA" w:rsidP="008A47BA">
      <w:pPr>
        <w:pStyle w:val="Heading2"/>
      </w:pPr>
      <w:bookmarkStart w:id="2" w:name="_Toc101176618"/>
      <w:r>
        <w:t>Analyze</w:t>
      </w:r>
      <w:r w:rsidR="007A6B53">
        <w:t xml:space="preserve"> the role of Human Resources in promoting diversity and inclusion through flexible working.</w:t>
      </w:r>
      <w:bookmarkEnd w:id="2"/>
      <w:r w:rsidR="007A6B53">
        <w:t xml:space="preserve"> </w:t>
      </w:r>
    </w:p>
    <w:p w14:paraId="2BAA1511" w14:textId="510FBB76" w:rsidR="00C254C0" w:rsidRDefault="008A47BA" w:rsidP="008A47BA">
      <w:r>
        <w:t xml:space="preserve">The human resource leaders are the staff </w:t>
      </w:r>
      <w:r w:rsidR="00204307">
        <w:t>who</w:t>
      </w:r>
      <w:r>
        <w:t xml:space="preserve"> are indispensable contributors </w:t>
      </w:r>
      <w:r w:rsidR="00204307">
        <w:t>to</w:t>
      </w:r>
      <w:r>
        <w:t xml:space="preserve"> any </w:t>
      </w:r>
      <w:r w:rsidR="00204307">
        <w:t>organization</w:t>
      </w:r>
      <w:r w:rsidR="004F3BD6">
        <w:t xml:space="preserve"> (</w:t>
      </w:r>
      <w:r w:rsidR="004F3BD6" w:rsidRPr="004F3BD6">
        <w:t>Pandita and Ray, 2018</w:t>
      </w:r>
      <w:r w:rsidR="004F3BD6">
        <w:t>)</w:t>
      </w:r>
      <w:r>
        <w:t xml:space="preserve">. Company success refers to the welfare of its teams and </w:t>
      </w:r>
      <w:r w:rsidR="00204307">
        <w:t xml:space="preserve">a </w:t>
      </w:r>
      <w:r>
        <w:t xml:space="preserve">large part of employee welfare refers to the level of inclusivity offered within the business environment. The integral part of </w:t>
      </w:r>
      <w:r w:rsidR="00204307">
        <w:t>organization</w:t>
      </w:r>
      <w:r>
        <w:t xml:space="preserve"> policies should be accommodative enough to execute </w:t>
      </w:r>
      <w:r w:rsidR="00C966AF">
        <w:t xml:space="preserve">diversity and inclusion in </w:t>
      </w:r>
      <w:r w:rsidR="00204307">
        <w:t xml:space="preserve">the </w:t>
      </w:r>
      <w:r w:rsidR="00C966AF">
        <w:t xml:space="preserve">workplace. The HR leaders tend to improve the </w:t>
      </w:r>
      <w:r w:rsidR="00803D99">
        <w:t>decision-making</w:t>
      </w:r>
      <w:r w:rsidR="00C966AF">
        <w:t xml:space="preserve"> in </w:t>
      </w:r>
      <w:r w:rsidR="00E3117F">
        <w:t xml:space="preserve">the </w:t>
      </w:r>
      <w:r w:rsidR="00C966AF">
        <w:t xml:space="preserve">context of the inclusivity of </w:t>
      </w:r>
      <w:r w:rsidR="00204307">
        <w:t xml:space="preserve">the </w:t>
      </w:r>
      <w:r w:rsidR="00C966AF">
        <w:t xml:space="preserve">workplace. HR has </w:t>
      </w:r>
      <w:r w:rsidR="00204307">
        <w:t xml:space="preserve">a </w:t>
      </w:r>
      <w:r w:rsidR="00C966AF">
        <w:t xml:space="preserve">role in negotiating and managing internal conflicts effectively which opens opportunities for all staff members. The management of </w:t>
      </w:r>
      <w:r w:rsidR="00E3117F">
        <w:t xml:space="preserve">the </w:t>
      </w:r>
      <w:r w:rsidR="00C966AF">
        <w:t xml:space="preserve">company has </w:t>
      </w:r>
      <w:r w:rsidR="00E3117F">
        <w:t xml:space="preserve">a </w:t>
      </w:r>
      <w:r w:rsidR="00C966AF">
        <w:t xml:space="preserve">role in devising </w:t>
      </w:r>
      <w:r w:rsidR="00204307">
        <w:t xml:space="preserve">a </w:t>
      </w:r>
      <w:r w:rsidR="00C966AF">
        <w:t xml:space="preserve">work culture for the company. HR can ensure the recruitment process screens diversified candidates which may be possibly effective in removing any bias. New perspectives can be applied by the Human resource in </w:t>
      </w:r>
      <w:r w:rsidR="0001740D">
        <w:t>the acquisition</w:t>
      </w:r>
      <w:r w:rsidR="00C966AF">
        <w:t xml:space="preserve"> and retention of </w:t>
      </w:r>
      <w:r w:rsidR="0001740D">
        <w:t>staff</w:t>
      </w:r>
      <w:r w:rsidR="00803D99">
        <w:t xml:space="preserve">. </w:t>
      </w:r>
      <w:r w:rsidR="008F53F6">
        <w:t>Costcutter UK</w:t>
      </w:r>
      <w:r w:rsidR="00803D99">
        <w:t xml:space="preserve"> company can use the learning and development programs as well as the workshops for the promotion of diversity as well as inclusion. </w:t>
      </w:r>
    </w:p>
    <w:p w14:paraId="25215CCD" w14:textId="08961758" w:rsidR="008A47BA" w:rsidRPr="008A47BA" w:rsidRDefault="00803D99" w:rsidP="008A47BA">
      <w:r>
        <w:t xml:space="preserve">The pandemic has added the responsibilities of </w:t>
      </w:r>
      <w:r w:rsidR="00204307">
        <w:t xml:space="preserve">the </w:t>
      </w:r>
      <w:r>
        <w:t xml:space="preserve">HR department to ensure they establish a source and channel for communication for all employees which </w:t>
      </w:r>
      <w:r w:rsidR="00204307">
        <w:t>generates</w:t>
      </w:r>
      <w:r>
        <w:t xml:space="preserve"> the flow of conversation among staff and management.</w:t>
      </w:r>
      <w:r w:rsidR="00E3117F">
        <w:t xml:space="preserve"> Human resource managers are accountable for designing rewards and recognition policies for the desired behavior </w:t>
      </w:r>
      <w:r w:rsidR="00204307">
        <w:t>of</w:t>
      </w:r>
      <w:r w:rsidR="00E3117F">
        <w:t xml:space="preserve"> their staff. The use of reporting and data analytics is essentially useful in </w:t>
      </w:r>
      <w:r w:rsidR="00C254C0">
        <w:t xml:space="preserve">eradicating bias in process of performance evaluation for the firm which increases diversity in the company. The “Culture add” approach </w:t>
      </w:r>
      <w:r w:rsidR="00C254C0">
        <w:lastRenderedPageBreak/>
        <w:t xml:space="preserve">instead of the “culture fit” is </w:t>
      </w:r>
      <w:r w:rsidR="00204307">
        <w:t>an ideal</w:t>
      </w:r>
      <w:r w:rsidR="00C254C0">
        <w:t xml:space="preserve"> essential effort from the HR management to make any </w:t>
      </w:r>
      <w:r w:rsidR="00204307">
        <w:t>organization</w:t>
      </w:r>
      <w:r w:rsidR="00C254C0">
        <w:t xml:space="preserve"> look like a suitable place for the new talent to work (forbes.com, 2022). </w:t>
      </w:r>
    </w:p>
    <w:p w14:paraId="279CB71E" w14:textId="6717E769" w:rsidR="00000BE7" w:rsidRDefault="007A6B53" w:rsidP="00000BE7">
      <w:bookmarkStart w:id="3" w:name="_Toc101176619"/>
      <w:r>
        <w:rPr>
          <w:rStyle w:val="Heading1Char"/>
        </w:rPr>
        <w:t>A</w:t>
      </w:r>
      <w:r w:rsidRPr="007A6B53">
        <w:rPr>
          <w:rStyle w:val="Heading1Char"/>
        </w:rPr>
        <w:t xml:space="preserve"> case against flexible working </w:t>
      </w:r>
      <w:r w:rsidR="00204307">
        <w:rPr>
          <w:rStyle w:val="Heading1Char"/>
        </w:rPr>
        <w:t>about</w:t>
      </w:r>
      <w:r w:rsidRPr="007A6B53">
        <w:rPr>
          <w:rStyle w:val="Heading1Char"/>
        </w:rPr>
        <w:t xml:space="preserve"> inequality at work</w:t>
      </w:r>
      <w:bookmarkEnd w:id="3"/>
      <w:r>
        <w:t xml:space="preserve"> 1200</w:t>
      </w:r>
      <w:bookmarkStart w:id="4" w:name="_Toc101176620"/>
    </w:p>
    <w:p w14:paraId="695C2617" w14:textId="6B2764AA" w:rsidR="00180F8B" w:rsidRDefault="008A711F" w:rsidP="008A711F">
      <w:r>
        <w:t xml:space="preserve">Flexible working is often regarded as work from home and </w:t>
      </w:r>
      <w:r w:rsidR="00204307">
        <w:t>post-pandemic</w:t>
      </w:r>
      <w:r>
        <w:t xml:space="preserve"> </w:t>
      </w:r>
      <w:r w:rsidR="00AC2A3D">
        <w:t>it’s</w:t>
      </w:r>
      <w:r>
        <w:t xml:space="preserve"> also used alternatively in terms of denoting work conditions. </w:t>
      </w:r>
      <w:r w:rsidR="00C254C0">
        <w:t>Moreover,</w:t>
      </w:r>
      <w:r>
        <w:t xml:space="preserve"> working from home means ideal for the staff however sometimes it also </w:t>
      </w:r>
      <w:r w:rsidR="00204307">
        <w:t>becomes</w:t>
      </w:r>
      <w:r>
        <w:t xml:space="preserve"> difficult to manage family responsibilities along with the home chores. </w:t>
      </w:r>
      <w:r w:rsidR="00C254C0">
        <w:t xml:space="preserve">It might be </w:t>
      </w:r>
      <w:r w:rsidR="00204307">
        <w:t xml:space="preserve">a </w:t>
      </w:r>
      <w:r w:rsidR="00C254C0">
        <w:t xml:space="preserve">facility for any employee to have </w:t>
      </w:r>
      <w:r w:rsidR="00204307">
        <w:t xml:space="preserve">a </w:t>
      </w:r>
      <w:r w:rsidR="00C254C0">
        <w:t xml:space="preserve">legal right for asking flexible work setups however these can’t be automatically granted to these staff.  </w:t>
      </w:r>
      <w:r>
        <w:t xml:space="preserve">People in pandemic found the work from home </w:t>
      </w:r>
      <w:r w:rsidR="008F53F6">
        <w:t>an</w:t>
      </w:r>
      <w:r w:rsidR="00204307">
        <w:t xml:space="preserve"> </w:t>
      </w:r>
      <w:r>
        <w:t>isolating and demotivating workforce</w:t>
      </w:r>
      <w:r w:rsidR="00D874F2">
        <w:t xml:space="preserve"> (</w:t>
      </w:r>
      <w:r w:rsidR="00D874F2" w:rsidRPr="00D874F2">
        <w:t>Klerk et al., 2021</w:t>
      </w:r>
      <w:r w:rsidR="00D874F2">
        <w:t>)</w:t>
      </w:r>
      <w:r>
        <w:t xml:space="preserve">. </w:t>
      </w:r>
      <w:r w:rsidR="00C254C0">
        <w:t>However,</w:t>
      </w:r>
      <w:r>
        <w:t xml:space="preserve"> </w:t>
      </w:r>
      <w:r w:rsidR="00C254C0">
        <w:t>it’s</w:t>
      </w:r>
      <w:r>
        <w:t xml:space="preserve"> found during the pandemic duration as per the research done by BBC, </w:t>
      </w:r>
      <w:r w:rsidR="00204307">
        <w:t>it’s</w:t>
      </w:r>
      <w:r>
        <w:t xml:space="preserve"> counted that many </w:t>
      </w:r>
      <w:r w:rsidR="00AC2A3D">
        <w:t>well-paid</w:t>
      </w:r>
      <w:r>
        <w:t xml:space="preserve"> jobs in the </w:t>
      </w:r>
      <w:r w:rsidR="00AC2A3D">
        <w:t>white-collar</w:t>
      </w:r>
      <w:r>
        <w:t xml:space="preserve"> occupations in big cities have seen the remote work suitable. Where </w:t>
      </w:r>
      <w:r w:rsidR="00AC2A3D">
        <w:t xml:space="preserve">the </w:t>
      </w:r>
      <w:r>
        <w:t xml:space="preserve">economic impact of this pandemic is unstable for the regions with unequal and severe impact </w:t>
      </w:r>
      <w:r w:rsidR="00AE1FBC">
        <w:t xml:space="preserve">on other occupations. There is </w:t>
      </w:r>
      <w:r w:rsidR="00AC2A3D">
        <w:t xml:space="preserve">a </w:t>
      </w:r>
      <w:r w:rsidR="00AE1FBC">
        <w:t xml:space="preserve">rise in </w:t>
      </w:r>
      <w:r w:rsidR="00AC2A3D">
        <w:t>work-from-home</w:t>
      </w:r>
      <w:r w:rsidR="00AE1FBC">
        <w:t xml:space="preserve"> trends during the pandemic period which is reflected </w:t>
      </w:r>
      <w:r w:rsidR="00AC2A3D">
        <w:t>in</w:t>
      </w:r>
      <w:r w:rsidR="00AE1FBC">
        <w:t xml:space="preserve"> the graph</w:t>
      </w:r>
      <w:r w:rsidR="008F68ED">
        <w:t xml:space="preserve"> (statista.com, 2022). </w:t>
      </w:r>
      <w:r w:rsidR="00AC2A3D">
        <w:t>However,</w:t>
      </w:r>
      <w:r w:rsidR="008F68ED">
        <w:t xml:space="preserve"> the remote work facilities also </w:t>
      </w:r>
      <w:r w:rsidR="00AC2A3D">
        <w:t>have</w:t>
      </w:r>
      <w:r w:rsidR="008F68ED">
        <w:t xml:space="preserve"> </w:t>
      </w:r>
      <w:r w:rsidR="00AC2A3D">
        <w:t xml:space="preserve">a </w:t>
      </w:r>
      <w:r w:rsidR="008F68ED">
        <w:t xml:space="preserve">downside which often makes this setup impede companies like </w:t>
      </w:r>
      <w:r w:rsidR="009D6C41">
        <w:t>Costcutter</w:t>
      </w:r>
      <w:r w:rsidR="008F53F6">
        <w:t xml:space="preserve"> from</w:t>
      </w:r>
      <w:r w:rsidR="008F68ED">
        <w:t xml:space="preserve"> generating </w:t>
      </w:r>
      <w:r w:rsidR="00AC2A3D">
        <w:t xml:space="preserve">the </w:t>
      </w:r>
      <w:r w:rsidR="008F68ED">
        <w:t xml:space="preserve">robust company culture necessary for the business advantage. </w:t>
      </w:r>
      <w:r w:rsidR="00AC2A3D">
        <w:t xml:space="preserve">Companies with higher engagement have more customer loyalty which makes it crucial for the firm to ensure staff will be available in their stores whenever </w:t>
      </w:r>
      <w:r w:rsidR="00204307">
        <w:t xml:space="preserve">the </w:t>
      </w:r>
      <w:r w:rsidR="00AC2A3D">
        <w:t xml:space="preserve">client demands services. This goes against the flexibility concern which is not </w:t>
      </w:r>
      <w:r w:rsidR="00204307">
        <w:t>fitting client-centric</w:t>
      </w:r>
      <w:r w:rsidR="00AC2A3D">
        <w:t xml:space="preserve"> retail sector demands. </w:t>
      </w:r>
    </w:p>
    <w:p w14:paraId="4D647FF5" w14:textId="1EC6C719" w:rsidR="00091000" w:rsidRDefault="00091000" w:rsidP="00091000">
      <w:pPr>
        <w:jc w:val="center"/>
      </w:pPr>
      <w:r>
        <w:t xml:space="preserve">Figure 01: No remote workers in </w:t>
      </w:r>
      <w:r w:rsidR="009D6C41">
        <w:t xml:space="preserve">the </w:t>
      </w:r>
      <w:r>
        <w:t>UK</w:t>
      </w:r>
    </w:p>
    <w:p w14:paraId="238DBAAA" w14:textId="77777777" w:rsidR="00091000" w:rsidRDefault="00091000" w:rsidP="00091000">
      <w:pPr>
        <w:jc w:val="center"/>
      </w:pPr>
      <w:r>
        <w:t>(Source: statista.com, 2022)</w:t>
      </w:r>
    </w:p>
    <w:p w14:paraId="5259473E" w14:textId="25B40D9F" w:rsidR="00AE1FBC" w:rsidRDefault="008F68ED" w:rsidP="008F68ED">
      <w:pPr>
        <w:jc w:val="center"/>
      </w:pPr>
      <w:r>
        <w:rPr>
          <w:noProof/>
        </w:rPr>
        <w:drawing>
          <wp:inline distT="0" distB="0" distL="0" distR="0" wp14:anchorId="077B4EA1" wp14:editId="2358BEE7">
            <wp:extent cx="4505325" cy="2457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05325" cy="2457450"/>
                    </a:xfrm>
                    <a:prstGeom prst="rect">
                      <a:avLst/>
                    </a:prstGeom>
                  </pic:spPr>
                </pic:pic>
              </a:graphicData>
            </a:graphic>
          </wp:inline>
        </w:drawing>
      </w:r>
    </w:p>
    <w:p w14:paraId="5745A702" w14:textId="5EBF9D87" w:rsidR="00000BE7" w:rsidRDefault="00AC2A3D" w:rsidP="00000BE7">
      <w:r>
        <w:lastRenderedPageBreak/>
        <w:t>The flexible work setups may impact the firm in terms of –</w:t>
      </w:r>
    </w:p>
    <w:p w14:paraId="1EEB6579" w14:textId="261AB0AA" w:rsidR="00AC2A3D" w:rsidRPr="00D969B7" w:rsidRDefault="00AC2A3D" w:rsidP="00D969B7">
      <w:pPr>
        <w:pStyle w:val="ListParagraph"/>
        <w:numPr>
          <w:ilvl w:val="0"/>
          <w:numId w:val="1"/>
        </w:numPr>
        <w:rPr>
          <w:b/>
          <w:bCs/>
        </w:rPr>
      </w:pPr>
      <w:r w:rsidRPr="00D969B7">
        <w:rPr>
          <w:b/>
          <w:bCs/>
        </w:rPr>
        <w:t xml:space="preserve">Colleagues in teams may become separated from each other. </w:t>
      </w:r>
    </w:p>
    <w:p w14:paraId="68F82FAA" w14:textId="226E2144" w:rsidR="00AC2A3D" w:rsidRDefault="009249EA" w:rsidP="00D969B7">
      <w:pPr>
        <w:pStyle w:val="ListParagraph"/>
      </w:pPr>
      <w:r>
        <w:t xml:space="preserve">The exclusive and work from home trend </w:t>
      </w:r>
      <w:r w:rsidR="00204307">
        <w:t>results</w:t>
      </w:r>
      <w:r>
        <w:t xml:space="preserve"> </w:t>
      </w:r>
      <w:r w:rsidR="00204307">
        <w:t>in</w:t>
      </w:r>
      <w:r>
        <w:t xml:space="preserve"> interaction among staff only through mediums like Mail and calls. </w:t>
      </w:r>
      <w:r w:rsidR="003C34B3">
        <w:t>These modes of work</w:t>
      </w:r>
      <w:r>
        <w:t xml:space="preserve"> are not enough conducive when compared </w:t>
      </w:r>
      <w:r w:rsidR="00204307">
        <w:t>to</w:t>
      </w:r>
      <w:r>
        <w:t xml:space="preserve"> the office atmosphere. </w:t>
      </w:r>
      <w:r w:rsidR="0055328C">
        <w:t xml:space="preserve">The new employees </w:t>
      </w:r>
      <w:r w:rsidR="003C34B3">
        <w:t>can’t</w:t>
      </w:r>
      <w:r w:rsidR="0055328C">
        <w:t xml:space="preserve"> be evaluated for their performance in this flexible work </w:t>
      </w:r>
      <w:r w:rsidR="00204307">
        <w:t>setup</w:t>
      </w:r>
      <w:r w:rsidR="0055328C">
        <w:t xml:space="preserve"> as </w:t>
      </w:r>
      <w:r w:rsidR="00204307">
        <w:t>their</w:t>
      </w:r>
      <w:r w:rsidR="0055328C">
        <w:t xml:space="preserve"> social interaction with other workers is restricted. </w:t>
      </w:r>
    </w:p>
    <w:p w14:paraId="29FE466C" w14:textId="3F977C52" w:rsidR="003C34B3" w:rsidRPr="00D969B7" w:rsidRDefault="003C34B3" w:rsidP="00D969B7">
      <w:pPr>
        <w:pStyle w:val="ListParagraph"/>
        <w:numPr>
          <w:ilvl w:val="0"/>
          <w:numId w:val="1"/>
        </w:numPr>
        <w:rPr>
          <w:b/>
          <w:bCs/>
        </w:rPr>
      </w:pPr>
      <w:r w:rsidRPr="00D969B7">
        <w:rPr>
          <w:b/>
          <w:bCs/>
        </w:rPr>
        <w:t xml:space="preserve">Lack of enthusiasm </w:t>
      </w:r>
    </w:p>
    <w:p w14:paraId="3189219E" w14:textId="7036BF9E" w:rsidR="003C34B3" w:rsidRDefault="003C34B3" w:rsidP="00D969B7">
      <w:pPr>
        <w:pStyle w:val="ListParagraph"/>
      </w:pPr>
      <w:r>
        <w:t xml:space="preserve">The remote teams are often seen </w:t>
      </w:r>
      <w:r w:rsidR="00D969B7">
        <w:t>lacking</w:t>
      </w:r>
      <w:r w:rsidR="00204307">
        <w:t xml:space="preserve"> </w:t>
      </w:r>
      <w:r>
        <w:t xml:space="preserve">in enthusiasm when working within the virtual setups which </w:t>
      </w:r>
      <w:r w:rsidR="00D969B7">
        <w:t>impacts</w:t>
      </w:r>
      <w:r>
        <w:t xml:space="preserve"> the </w:t>
      </w:r>
      <w:r w:rsidR="008B49C4">
        <w:t xml:space="preserve">intrinsic motivation of the staff. this refers to inequal motivation and commitment of the staff towards </w:t>
      </w:r>
      <w:r w:rsidR="00D969B7">
        <w:t>organization</w:t>
      </w:r>
      <w:r w:rsidR="008B49C4">
        <w:t xml:space="preserve"> goals. </w:t>
      </w:r>
      <w:r w:rsidR="00F15527">
        <w:t xml:space="preserve">work from home may seem adaptable </w:t>
      </w:r>
      <w:r w:rsidR="009D6C41">
        <w:t>in</w:t>
      </w:r>
      <w:r w:rsidR="00F15527">
        <w:t xml:space="preserve"> the initial days for employees while </w:t>
      </w:r>
      <w:r w:rsidR="0028278B">
        <w:t>after some days it becomes monotonous and also makes it borders between family time and work time gets blur. There is a negative relationship between remote work and social isolation which implies the loss of important employment resources which tend to offer social support and recognition to the staff</w:t>
      </w:r>
      <w:r w:rsidR="00337BEC">
        <w:t xml:space="preserve"> (</w:t>
      </w:r>
      <w:r w:rsidR="00337BEC" w:rsidRPr="00337BEC">
        <w:t>Toscano and Zappalà, 2020</w:t>
      </w:r>
      <w:r w:rsidR="00337BEC">
        <w:t>)</w:t>
      </w:r>
      <w:r w:rsidR="0028278B">
        <w:t xml:space="preserve">.  </w:t>
      </w:r>
    </w:p>
    <w:p w14:paraId="64E81D63" w14:textId="77777777" w:rsidR="0028278B" w:rsidRPr="00D969B7" w:rsidRDefault="0028278B" w:rsidP="0028278B">
      <w:pPr>
        <w:pStyle w:val="ListParagraph"/>
        <w:numPr>
          <w:ilvl w:val="0"/>
          <w:numId w:val="1"/>
        </w:numPr>
        <w:rPr>
          <w:b/>
          <w:bCs/>
        </w:rPr>
      </w:pPr>
      <w:r w:rsidRPr="00D969B7">
        <w:rPr>
          <w:b/>
          <w:bCs/>
        </w:rPr>
        <w:t>Isolation associated with the remote work</w:t>
      </w:r>
    </w:p>
    <w:p w14:paraId="37BC4791" w14:textId="2D0FBF4A" w:rsidR="0028278B" w:rsidRDefault="0028278B" w:rsidP="0028278B">
      <w:pPr>
        <w:pStyle w:val="ListParagraph"/>
      </w:pPr>
      <w:r>
        <w:t>During the pandemic situation, it has been noticed that the employees tend to feel isolated when they remained in that setup for a longer duration</w:t>
      </w:r>
      <w:r w:rsidR="00337BEC">
        <w:t xml:space="preserve"> (</w:t>
      </w:r>
      <w:r w:rsidR="00337BEC" w:rsidRPr="00337BEC">
        <w:t>Kaushik and Guleria, 2020</w:t>
      </w:r>
      <w:r w:rsidR="00337BEC">
        <w:t>)</w:t>
      </w:r>
      <w:r>
        <w:t xml:space="preserve">. The lack of close contact with the other employees may hinder the formation of trust among the staff and mutual respect for the organization’s goal. The Covid-19 pandemic situation has generated concerns for many people which reflects their anxiety, depression, and stress which is intense with people already suffering from poor health conditions. This has resulted in increasing wages inequality and levels of satisfaction. </w:t>
      </w:r>
    </w:p>
    <w:p w14:paraId="4E6B0958" w14:textId="77777777" w:rsidR="008B49C4" w:rsidRPr="00D969B7" w:rsidRDefault="008B49C4" w:rsidP="00D969B7">
      <w:pPr>
        <w:pStyle w:val="ListParagraph"/>
        <w:numPr>
          <w:ilvl w:val="0"/>
          <w:numId w:val="1"/>
        </w:numPr>
        <w:rPr>
          <w:b/>
          <w:bCs/>
        </w:rPr>
      </w:pPr>
      <w:r w:rsidRPr="00D969B7">
        <w:rPr>
          <w:b/>
          <w:bCs/>
        </w:rPr>
        <w:t>Stimulate Gender inequality</w:t>
      </w:r>
    </w:p>
    <w:p w14:paraId="187E1B5A" w14:textId="3E895855" w:rsidR="008B49C4" w:rsidRDefault="00D969B7" w:rsidP="00D969B7">
      <w:pPr>
        <w:pStyle w:val="ListParagraph"/>
      </w:pPr>
      <w:r>
        <w:t>It’s</w:t>
      </w:r>
      <w:r w:rsidR="008B49C4">
        <w:t xml:space="preserve"> projected that in </w:t>
      </w:r>
      <w:r>
        <w:t>the post-pandemic</w:t>
      </w:r>
      <w:r w:rsidR="008B49C4">
        <w:t xml:space="preserve"> period the workplaces will notice </w:t>
      </w:r>
      <w:r>
        <w:t>fewer</w:t>
      </w:r>
      <w:r w:rsidR="008B49C4">
        <w:t xml:space="preserve"> women employees returning to work in </w:t>
      </w:r>
      <w:r>
        <w:t xml:space="preserve">the </w:t>
      </w:r>
      <w:r w:rsidR="008B49C4">
        <w:t xml:space="preserve">office. </w:t>
      </w:r>
      <w:r>
        <w:t>A</w:t>
      </w:r>
      <w:r w:rsidR="008B49C4">
        <w:t xml:space="preserve"> permanent switch done by women employees </w:t>
      </w:r>
      <w:r>
        <w:t>to</w:t>
      </w:r>
      <w:r w:rsidR="008B49C4">
        <w:t xml:space="preserve"> home working will contribute to inequality </w:t>
      </w:r>
      <w:r>
        <w:t>in</w:t>
      </w:r>
      <w:r w:rsidR="008B49C4">
        <w:t xml:space="preserve"> </w:t>
      </w:r>
      <w:r w:rsidR="00204307">
        <w:t xml:space="preserve">the </w:t>
      </w:r>
      <w:r w:rsidR="008B49C4">
        <w:t>wo</w:t>
      </w:r>
      <w:r w:rsidR="00212CE3">
        <w:t>rkplace</w:t>
      </w:r>
      <w:r w:rsidR="00337BEC">
        <w:t xml:space="preserve"> (</w:t>
      </w:r>
      <w:r w:rsidR="00337BEC" w:rsidRPr="00337BEC">
        <w:t>Blundell et al., 2020</w:t>
      </w:r>
      <w:r w:rsidR="00337BEC">
        <w:t>)</w:t>
      </w:r>
      <w:r w:rsidR="00212CE3">
        <w:t xml:space="preserve">. traditionally </w:t>
      </w:r>
      <w:r w:rsidR="00204307">
        <w:t>it</w:t>
      </w:r>
      <w:r w:rsidR="00212CE3">
        <w:t xml:space="preserve"> found that more women than men have requested flexible work</w:t>
      </w:r>
      <w:r w:rsidR="00204307">
        <w:t>,</w:t>
      </w:r>
      <w:r w:rsidR="00212CE3">
        <w:t xml:space="preserve"> </w:t>
      </w:r>
      <w:r w:rsidR="004E6AD7">
        <w:t xml:space="preserve">particularly women with caring and child responsibilities. As per Deloitte projection companies embracing ultra-flexibility in </w:t>
      </w:r>
      <w:r w:rsidR="00045BE7">
        <w:t xml:space="preserve">the </w:t>
      </w:r>
      <w:r w:rsidR="004E6AD7">
        <w:t xml:space="preserve">workplace informing that about 20,000 UK employees can decide when they can work </w:t>
      </w:r>
      <w:r w:rsidR="00204307">
        <w:t>in the</w:t>
      </w:r>
      <w:r w:rsidR="00045BE7">
        <w:t xml:space="preserve"> </w:t>
      </w:r>
      <w:r w:rsidR="004E6AD7">
        <w:t>office</w:t>
      </w:r>
      <w:r w:rsidR="00996284">
        <w:t xml:space="preserve"> (theguardian.com, </w:t>
      </w:r>
      <w:r w:rsidR="00996284">
        <w:lastRenderedPageBreak/>
        <w:t>2022)</w:t>
      </w:r>
      <w:r w:rsidR="004E6AD7">
        <w:t>. This complete independence in choices of work environment remain in entire hands of staff may impact negatively on the</w:t>
      </w:r>
      <w:r w:rsidR="006C73B7">
        <w:t xml:space="preserve"> staff staying at home </w:t>
      </w:r>
      <w:r w:rsidR="00045BE7">
        <w:t>as they</w:t>
      </w:r>
      <w:r w:rsidR="006C73B7">
        <w:t xml:space="preserve"> tend </w:t>
      </w:r>
      <w:r w:rsidR="00204307">
        <w:t>to interact</w:t>
      </w:r>
      <w:r w:rsidR="006C73B7">
        <w:t xml:space="preserve"> with the managers and other staffs which can otherwise help in their performance and promotions. this can impact </w:t>
      </w:r>
      <w:r w:rsidR="00204307">
        <w:t>inequality</w:t>
      </w:r>
      <w:r w:rsidR="006C73B7">
        <w:t xml:space="preserve"> within the firm. </w:t>
      </w:r>
    </w:p>
    <w:p w14:paraId="3795EC49" w14:textId="5556BC7E" w:rsidR="007A6B53" w:rsidRPr="007A6B53" w:rsidRDefault="007A6B53" w:rsidP="007A6B53">
      <w:pPr>
        <w:pStyle w:val="Heading2"/>
      </w:pPr>
      <w:r>
        <w:t>Analyze the role of Human Resources in addressing the concerns of inequality that may arise from flexible working.</w:t>
      </w:r>
      <w:bookmarkEnd w:id="4"/>
    </w:p>
    <w:p w14:paraId="35C09A5C" w14:textId="3250B90D" w:rsidR="009D5142" w:rsidRDefault="006C73B7" w:rsidP="000A67FD">
      <w:r>
        <w:t xml:space="preserve">Most employment experts </w:t>
      </w:r>
      <w:r w:rsidR="00045BE7">
        <w:t>have</w:t>
      </w:r>
      <w:r>
        <w:t xml:space="preserve"> shown agreement</w:t>
      </w:r>
      <w:r w:rsidR="00045BE7">
        <w:t xml:space="preserve"> with</w:t>
      </w:r>
      <w:r>
        <w:t xml:space="preserve"> the need </w:t>
      </w:r>
      <w:r w:rsidR="00204307">
        <w:t>for a</w:t>
      </w:r>
      <w:r>
        <w:t xml:space="preserve"> flexible workplace in certain cases however they also insist on the need for </w:t>
      </w:r>
      <w:r w:rsidR="00045BE7">
        <w:t>an organization</w:t>
      </w:r>
      <w:r>
        <w:t xml:space="preserve"> to monitor and closely control how new emergi</w:t>
      </w:r>
      <w:r w:rsidR="00045BE7">
        <w:t>ng post-pandemic</w:t>
      </w:r>
      <w:r>
        <w:t xml:space="preserve"> work trends and patterns can be adapted by the firm</w:t>
      </w:r>
      <w:r w:rsidR="008E0E7B">
        <w:t xml:space="preserve"> (</w:t>
      </w:r>
      <w:r w:rsidR="008E0E7B" w:rsidRPr="008E0E7B">
        <w:t>Swain et al., 2020</w:t>
      </w:r>
      <w:r w:rsidR="008E0E7B">
        <w:t>)</w:t>
      </w:r>
      <w:r>
        <w:t xml:space="preserve">. The role of HR is crucial in building </w:t>
      </w:r>
      <w:r w:rsidR="00045BE7">
        <w:t xml:space="preserve">a </w:t>
      </w:r>
      <w:r>
        <w:t xml:space="preserve">cultural model within the </w:t>
      </w:r>
      <w:r w:rsidR="00045BE7">
        <w:t>organization</w:t>
      </w:r>
      <w:r>
        <w:t xml:space="preserve"> </w:t>
      </w:r>
      <w:r w:rsidR="00045BE7">
        <w:t>post-covid-19</w:t>
      </w:r>
      <w:r>
        <w:t xml:space="preserve"> pandemic. </w:t>
      </w:r>
      <w:r w:rsidR="00996284">
        <w:t xml:space="preserve">HR managers should be encouraging enough from seniority to staff level. </w:t>
      </w:r>
      <w:r w:rsidR="00045BE7">
        <w:t>This</w:t>
      </w:r>
      <w:r w:rsidR="00996284">
        <w:t xml:space="preserve"> HR staff has </w:t>
      </w:r>
      <w:r w:rsidR="00045BE7">
        <w:t xml:space="preserve">a </w:t>
      </w:r>
      <w:r w:rsidR="00996284">
        <w:t xml:space="preserve">role in ensuring there is no space for gender inequality and disparity by managing </w:t>
      </w:r>
      <w:r w:rsidR="00045BE7">
        <w:t xml:space="preserve">the </w:t>
      </w:r>
      <w:r w:rsidR="00996284">
        <w:t xml:space="preserve">workplace in such a way that women staff can return to their jobs. </w:t>
      </w:r>
      <w:r w:rsidR="00D969B7">
        <w:t xml:space="preserve">The HR department can take roles and responsible actions which may address the issues arising out of flexibility </w:t>
      </w:r>
      <w:r w:rsidR="00643C97">
        <w:t>and inequality.</w:t>
      </w:r>
    </w:p>
    <w:p w14:paraId="7DD775C6" w14:textId="6BF87BFA" w:rsidR="00F95290" w:rsidRDefault="00F95290" w:rsidP="003A066C">
      <w:pPr>
        <w:pStyle w:val="ListParagraph"/>
        <w:numPr>
          <w:ilvl w:val="0"/>
          <w:numId w:val="1"/>
        </w:numPr>
      </w:pPr>
      <w:r w:rsidRPr="008E0E7B">
        <w:rPr>
          <w:b/>
          <w:bCs/>
          <w:i/>
          <w:iCs/>
        </w:rPr>
        <w:t>Make a flexible work arrangement plan</w:t>
      </w:r>
      <w:r w:rsidR="004A3C74">
        <w:t xml:space="preserve">- </w:t>
      </w:r>
      <w:r>
        <w:t xml:space="preserve">HR can make a flexible work setup plan for the company which at </w:t>
      </w:r>
      <w:r w:rsidR="004A3C74">
        <w:t xml:space="preserve">the </w:t>
      </w:r>
      <w:r>
        <w:t xml:space="preserve">initial level may be ad-hoc as per the individual </w:t>
      </w:r>
      <w:r w:rsidR="004A3C74">
        <w:t>manager’s</w:t>
      </w:r>
      <w:r>
        <w:t xml:space="preserve"> preferences to ensure implementation of the business.</w:t>
      </w:r>
      <w:r w:rsidR="004A3C74">
        <w:t xml:space="preserve"> </w:t>
      </w:r>
      <w:r w:rsidR="00D21842">
        <w:t xml:space="preserve">Identification of flexible work needs suitable for the business is essential for working remotely. </w:t>
      </w:r>
    </w:p>
    <w:p w14:paraId="4D228D6C" w14:textId="18CF0F3B" w:rsidR="004A3C74" w:rsidRDefault="004A3C74" w:rsidP="003A066C">
      <w:pPr>
        <w:pStyle w:val="ListParagraph"/>
        <w:numPr>
          <w:ilvl w:val="0"/>
          <w:numId w:val="1"/>
        </w:numPr>
      </w:pPr>
      <w:r w:rsidRPr="008E0E7B">
        <w:rPr>
          <w:b/>
          <w:bCs/>
          <w:i/>
          <w:iCs/>
        </w:rPr>
        <w:t>Test flex policies</w:t>
      </w:r>
      <w:r>
        <w:t xml:space="preserve"> - A basic flex plan needs to be checked frequently for its effectiveness. HR takes problems and insights from the staff while working in flexible modes and can-do changes wherever needed. </w:t>
      </w:r>
    </w:p>
    <w:p w14:paraId="1826E52E" w14:textId="70EA7F76" w:rsidR="004A3C74" w:rsidRDefault="004A3C74" w:rsidP="003A066C">
      <w:pPr>
        <w:pStyle w:val="ListParagraph"/>
        <w:numPr>
          <w:ilvl w:val="0"/>
          <w:numId w:val="1"/>
        </w:numPr>
      </w:pPr>
      <w:r w:rsidRPr="008E0E7B">
        <w:rPr>
          <w:b/>
          <w:bCs/>
          <w:i/>
          <w:iCs/>
        </w:rPr>
        <w:t>Use of strategic tools</w:t>
      </w:r>
      <w:r>
        <w:t>- The use of performance management software ca</w:t>
      </w:r>
      <w:r w:rsidR="00E82944">
        <w:t xml:space="preserve">n be done to give fair evaluation and </w:t>
      </w:r>
      <w:r w:rsidR="00313334">
        <w:t>feedback</w:t>
      </w:r>
      <w:r w:rsidR="00E82944">
        <w:t xml:space="preserve"> to staff that may reduce inequality and foster productivity for the firm. The timely check in-outs can be facilitated using software to generate </w:t>
      </w:r>
      <w:r w:rsidR="00313334">
        <w:t>a</w:t>
      </w:r>
      <w:r w:rsidR="00E82944">
        <w:t xml:space="preserve"> sense of office timings while working remotely. </w:t>
      </w:r>
    </w:p>
    <w:p w14:paraId="00D832F9" w14:textId="55E42C59" w:rsidR="00E82944" w:rsidRDefault="00E82944" w:rsidP="003A066C">
      <w:pPr>
        <w:pStyle w:val="ListParagraph"/>
        <w:numPr>
          <w:ilvl w:val="0"/>
          <w:numId w:val="1"/>
        </w:numPr>
      </w:pPr>
      <w:r w:rsidRPr="008E0E7B">
        <w:rPr>
          <w:b/>
          <w:bCs/>
          <w:i/>
          <w:iCs/>
        </w:rPr>
        <w:t>Occasional interactions</w:t>
      </w:r>
      <w:r>
        <w:t xml:space="preserve">- Researchers found that the establishment of communication is crucial for staff engagement in remote work </w:t>
      </w:r>
      <w:r w:rsidR="00C2479A">
        <w:t>environments</w:t>
      </w:r>
      <w:r w:rsidR="008701FA">
        <w:t xml:space="preserve"> (</w:t>
      </w:r>
      <w:r w:rsidR="008701FA" w:rsidRPr="008701FA">
        <w:t>Woods, 2021</w:t>
      </w:r>
      <w:r w:rsidR="008701FA">
        <w:t>)</w:t>
      </w:r>
      <w:r>
        <w:t xml:space="preserve">. Management should learn the communication </w:t>
      </w:r>
      <w:r w:rsidR="00C2479A">
        <w:t>importance and establish</w:t>
      </w:r>
      <w:r w:rsidR="003A066C">
        <w:t xml:space="preserve"> group activities occasionally will result in more interactions and engagement. </w:t>
      </w:r>
      <w:r w:rsidR="009D6C41">
        <w:t>The lack</w:t>
      </w:r>
      <w:r w:rsidR="00086D58">
        <w:t xml:space="preserve"> of the use of </w:t>
      </w:r>
      <w:r w:rsidR="009D6C41">
        <w:t>self-service</w:t>
      </w:r>
      <w:r w:rsidR="00086D58">
        <w:t xml:space="preserve"> tools by staff members is </w:t>
      </w:r>
      <w:r w:rsidR="009D6C41">
        <w:t>challenging</w:t>
      </w:r>
      <w:r w:rsidR="00086D58">
        <w:t xml:space="preserve"> for the firms like </w:t>
      </w:r>
      <w:r w:rsidR="009D6C41">
        <w:t>Costcutter</w:t>
      </w:r>
      <w:r w:rsidR="008F53F6">
        <w:t xml:space="preserve">. </w:t>
      </w:r>
      <w:r w:rsidR="00086D58">
        <w:t xml:space="preserve"> </w:t>
      </w:r>
    </w:p>
    <w:p w14:paraId="0F1A8A8B" w14:textId="2D8624FB" w:rsidR="00B74E04" w:rsidRDefault="00B74E04" w:rsidP="00326A66">
      <w:pPr>
        <w:pStyle w:val="ListParagraph"/>
        <w:numPr>
          <w:ilvl w:val="0"/>
          <w:numId w:val="1"/>
        </w:numPr>
      </w:pPr>
      <w:r w:rsidRPr="008E0E7B">
        <w:rPr>
          <w:b/>
          <w:bCs/>
          <w:i/>
          <w:iCs/>
        </w:rPr>
        <w:lastRenderedPageBreak/>
        <w:t>Potential impact on the customers</w:t>
      </w:r>
      <w:r w:rsidR="00326A66">
        <w:t xml:space="preserve">- </w:t>
      </w:r>
      <w:r>
        <w:t xml:space="preserve">While reviewing the flexible work opinions the potential influence of the </w:t>
      </w:r>
      <w:r w:rsidR="00326A66">
        <w:t>compressed work schedules during the week</w:t>
      </w:r>
      <w:r w:rsidR="007470F0">
        <w:t xml:space="preserve">. This makes inconveniences for them and increases waiting times for them. </w:t>
      </w:r>
    </w:p>
    <w:p w14:paraId="5F8E2568" w14:textId="77777777" w:rsidR="00091000" w:rsidRDefault="00091000">
      <w:pPr>
        <w:spacing w:line="259" w:lineRule="auto"/>
        <w:jc w:val="left"/>
        <w:rPr>
          <w:rFonts w:eastAsiaTheme="majorEastAsia" w:cstheme="majorBidi"/>
          <w:b/>
          <w:color w:val="000000" w:themeColor="text1"/>
          <w:sz w:val="28"/>
          <w:szCs w:val="32"/>
        </w:rPr>
      </w:pPr>
      <w:bookmarkStart w:id="5" w:name="_Toc101176621"/>
      <w:r>
        <w:br w:type="page"/>
      </w:r>
    </w:p>
    <w:p w14:paraId="084AA016" w14:textId="506220B8" w:rsidR="00C329F8" w:rsidRDefault="00C329F8" w:rsidP="00C329F8">
      <w:pPr>
        <w:pStyle w:val="Heading1"/>
      </w:pPr>
      <w:r>
        <w:lastRenderedPageBreak/>
        <w:t>Conclusion</w:t>
      </w:r>
      <w:bookmarkEnd w:id="5"/>
    </w:p>
    <w:p w14:paraId="08E6DFA7" w14:textId="1ED3784A" w:rsidR="00292FBD" w:rsidRDefault="00292FBD" w:rsidP="00292FBD">
      <w:r>
        <w:t xml:space="preserve">This report presented flexible working in alignment with the concepts and needs of diversity, and inclusion </w:t>
      </w:r>
      <w:r w:rsidR="009D5142">
        <w:t>in</w:t>
      </w:r>
      <w:r>
        <w:t xml:space="preserve"> the workplace. Further, this report gave a detailed analysis of the case in </w:t>
      </w:r>
      <w:r w:rsidR="009D6C41">
        <w:t>favor</w:t>
      </w:r>
      <w:r>
        <w:t xml:space="preserve"> of flexibility in terms of facilitating diversity and inclusion of work. The later part </w:t>
      </w:r>
      <w:r w:rsidR="009D5142">
        <w:t>briefed on</w:t>
      </w:r>
      <w:r>
        <w:t xml:space="preserve"> a case against the Human resource in addressing the concerns associated with the integrity which arises from the availability of flexibility in working. </w:t>
      </w:r>
      <w:r w:rsidR="009D5142">
        <w:t>The report</w:t>
      </w:r>
      <w:r>
        <w:t xml:space="preserve"> </w:t>
      </w:r>
      <w:r w:rsidR="009D5142">
        <w:t>also gave the references, and statements on</w:t>
      </w:r>
      <w:r>
        <w:t xml:space="preserve"> both for and against the flexibility working in the context of the UK firm having 1000 staff strength. This study will refer to </w:t>
      </w:r>
      <w:r w:rsidR="00F36392">
        <w:t xml:space="preserve">the </w:t>
      </w:r>
      <w:r w:rsidR="009D5142">
        <w:t>organization</w:t>
      </w:r>
      <w:r>
        <w:t xml:space="preserve"> </w:t>
      </w:r>
      <w:r w:rsidR="00F36392">
        <w:t>Costcutter</w:t>
      </w:r>
      <w:r w:rsidR="009D5142">
        <w:t xml:space="preserve"> which is a UK-based retail sector firm</w:t>
      </w:r>
      <w:r>
        <w:t xml:space="preserve">. </w:t>
      </w:r>
    </w:p>
    <w:p w14:paraId="57057F06" w14:textId="77777777" w:rsidR="00292FBD" w:rsidRPr="00292FBD" w:rsidRDefault="00292FBD" w:rsidP="00292FBD"/>
    <w:p w14:paraId="75628E4B" w14:textId="77777777" w:rsidR="00C254C0" w:rsidRDefault="00C254C0">
      <w:pPr>
        <w:spacing w:line="259" w:lineRule="auto"/>
        <w:jc w:val="left"/>
        <w:rPr>
          <w:rFonts w:eastAsiaTheme="majorEastAsia" w:cstheme="majorBidi"/>
          <w:b/>
          <w:color w:val="000000" w:themeColor="text1"/>
          <w:sz w:val="28"/>
          <w:szCs w:val="32"/>
        </w:rPr>
      </w:pPr>
      <w:bookmarkStart w:id="6" w:name="_Toc101176622"/>
      <w:r>
        <w:br w:type="page"/>
      </w:r>
    </w:p>
    <w:p w14:paraId="08DB7F79" w14:textId="26646AD1" w:rsidR="00C329F8" w:rsidRDefault="00C329F8" w:rsidP="00C329F8">
      <w:pPr>
        <w:pStyle w:val="Heading1"/>
      </w:pPr>
      <w:r>
        <w:lastRenderedPageBreak/>
        <w:t>References</w:t>
      </w:r>
      <w:bookmarkEnd w:id="6"/>
      <w:r>
        <w:t xml:space="preserve"> </w:t>
      </w:r>
    </w:p>
    <w:p w14:paraId="097527AC" w14:textId="733A82EA" w:rsidR="0029152F" w:rsidRPr="00083532" w:rsidRDefault="0029152F" w:rsidP="00083532">
      <w:pPr>
        <w:ind w:left="720" w:hanging="720"/>
        <w:rPr>
          <w:shd w:val="clear" w:color="auto" w:fill="FFFFFF"/>
        </w:rPr>
      </w:pPr>
      <w:r w:rsidRPr="00083532">
        <w:rPr>
          <w:shd w:val="clear" w:color="auto" w:fill="FFFFFF"/>
        </w:rPr>
        <w:t>Blundell, R., Costa Dias, M., Joyce, R.</w:t>
      </w:r>
      <w:r w:rsidR="009D6C41" w:rsidRPr="00083532">
        <w:rPr>
          <w:shd w:val="clear" w:color="auto" w:fill="FFFFFF"/>
        </w:rPr>
        <w:t>,</w:t>
      </w:r>
      <w:r w:rsidRPr="00083532">
        <w:rPr>
          <w:shd w:val="clear" w:color="auto" w:fill="FFFFFF"/>
        </w:rPr>
        <w:t xml:space="preserve"> and Xu, X., 2020. COVID</w:t>
      </w:r>
      <w:r w:rsidRPr="00083532">
        <w:rPr>
          <w:rFonts w:ascii="Cambria Math" w:hAnsi="Cambria Math" w:cs="Cambria Math"/>
          <w:shd w:val="clear" w:color="auto" w:fill="FFFFFF"/>
        </w:rPr>
        <w:t>‐</w:t>
      </w:r>
      <w:r w:rsidRPr="00083532">
        <w:rPr>
          <w:shd w:val="clear" w:color="auto" w:fill="FFFFFF"/>
        </w:rPr>
        <w:t>19 and Inequalities. </w:t>
      </w:r>
      <w:r w:rsidRPr="00083532">
        <w:rPr>
          <w:i/>
          <w:iCs/>
          <w:shd w:val="clear" w:color="auto" w:fill="FFFFFF"/>
        </w:rPr>
        <w:t xml:space="preserve">Fiscal </w:t>
      </w:r>
      <w:r w:rsidR="009D6C41" w:rsidRPr="00083532">
        <w:rPr>
          <w:i/>
          <w:iCs/>
          <w:shd w:val="clear" w:color="auto" w:fill="FFFFFF"/>
        </w:rPr>
        <w:t>Studies</w:t>
      </w:r>
      <w:r w:rsidRPr="00083532">
        <w:rPr>
          <w:shd w:val="clear" w:color="auto" w:fill="FFFFFF"/>
        </w:rPr>
        <w:t>, </w:t>
      </w:r>
      <w:r w:rsidRPr="00083532">
        <w:rPr>
          <w:i/>
          <w:iCs/>
          <w:shd w:val="clear" w:color="auto" w:fill="FFFFFF"/>
        </w:rPr>
        <w:t>41</w:t>
      </w:r>
      <w:r w:rsidRPr="00083532">
        <w:rPr>
          <w:shd w:val="clear" w:color="auto" w:fill="FFFFFF"/>
        </w:rPr>
        <w:t>(2), pp.291-319.</w:t>
      </w:r>
    </w:p>
    <w:p w14:paraId="6E7FA33C" w14:textId="77777777" w:rsidR="0029152F" w:rsidRPr="00083532" w:rsidRDefault="0029152F" w:rsidP="00083532">
      <w:pPr>
        <w:ind w:left="720" w:hanging="720"/>
        <w:rPr>
          <w:shd w:val="clear" w:color="auto" w:fill="FFFFFF"/>
        </w:rPr>
      </w:pPr>
      <w:r w:rsidRPr="00083532">
        <w:rPr>
          <w:shd w:val="clear" w:color="auto" w:fill="FFFFFF"/>
        </w:rPr>
        <w:t xml:space="preserve">costcutter.co.uk 2022[online] Access through </w:t>
      </w:r>
      <w:r w:rsidRPr="00083532">
        <w:rPr>
          <w:i/>
          <w:iCs/>
          <w:shd w:val="clear" w:color="auto" w:fill="FFFFFF"/>
        </w:rPr>
        <w:t>https://www.costcutter.co.uk/</w:t>
      </w:r>
      <w:r w:rsidRPr="00083532">
        <w:rPr>
          <w:shd w:val="clear" w:color="auto" w:fill="FFFFFF"/>
        </w:rPr>
        <w:t xml:space="preserve"> [Accessed on 22 April 2022]</w:t>
      </w:r>
    </w:p>
    <w:p w14:paraId="31A62604" w14:textId="77777777" w:rsidR="0029152F" w:rsidRDefault="0029152F" w:rsidP="00083532">
      <w:pPr>
        <w:ind w:left="720" w:hanging="720"/>
      </w:pPr>
      <w:r w:rsidRPr="00C254C0">
        <w:t xml:space="preserve">forbes.com </w:t>
      </w:r>
      <w:r>
        <w:t xml:space="preserve">2022[online] Access through </w:t>
      </w:r>
      <w:r w:rsidRPr="00083532">
        <w:rPr>
          <w:i/>
          <w:iCs/>
        </w:rPr>
        <w:t>https://www.forbes.com/sites/forbeshumanresourcescouncil/2021/01/12/15-hr-recommended-strategies-for-achieving-true-diversity-and-inclusion/?sh=635d6f4b1a0f</w:t>
      </w:r>
      <w:r>
        <w:t xml:space="preserve"> [Accessed on 19 April 2022]</w:t>
      </w:r>
    </w:p>
    <w:p w14:paraId="4E0D2C9D" w14:textId="77777777" w:rsidR="0029152F" w:rsidRPr="00D874F2" w:rsidRDefault="0029152F" w:rsidP="00083532">
      <w:pPr>
        <w:ind w:left="720" w:hanging="720"/>
      </w:pPr>
      <w:r w:rsidRPr="00083532">
        <w:rPr>
          <w:shd w:val="clear" w:color="auto" w:fill="FFFFFF"/>
        </w:rPr>
        <w:t>Kaushik, M. and Guleria, N., 2020. The impact of pandemic COVID-19 in workplace. </w:t>
      </w:r>
      <w:r w:rsidRPr="00083532">
        <w:rPr>
          <w:i/>
          <w:iCs/>
          <w:shd w:val="clear" w:color="auto" w:fill="FFFFFF"/>
        </w:rPr>
        <w:t>European Journal of Business and Management</w:t>
      </w:r>
      <w:r w:rsidRPr="00083532">
        <w:rPr>
          <w:shd w:val="clear" w:color="auto" w:fill="FFFFFF"/>
        </w:rPr>
        <w:t>, </w:t>
      </w:r>
      <w:r w:rsidRPr="00083532">
        <w:rPr>
          <w:i/>
          <w:iCs/>
          <w:shd w:val="clear" w:color="auto" w:fill="FFFFFF"/>
        </w:rPr>
        <w:t>12</w:t>
      </w:r>
      <w:r w:rsidRPr="00083532">
        <w:rPr>
          <w:shd w:val="clear" w:color="auto" w:fill="FFFFFF"/>
        </w:rPr>
        <w:t>(15), pp.1-10.</w:t>
      </w:r>
    </w:p>
    <w:p w14:paraId="6A754F9C" w14:textId="77777777" w:rsidR="0029152F" w:rsidRPr="00E3701F" w:rsidRDefault="0029152F" w:rsidP="00083532">
      <w:pPr>
        <w:ind w:left="720" w:hanging="720"/>
      </w:pPr>
      <w:r w:rsidRPr="00083532">
        <w:rPr>
          <w:shd w:val="clear" w:color="auto" w:fill="FFFFFF"/>
        </w:rPr>
        <w:t>Klerk, J.J.D., Joubert, M. and Mosca, H.F., 2021. Is working from home the new workplace panacea? Lessons from the COVID-19 pandemic for the future world of work. </w:t>
      </w:r>
      <w:r w:rsidRPr="00083532">
        <w:rPr>
          <w:i/>
          <w:iCs/>
          <w:shd w:val="clear" w:color="auto" w:fill="FFFFFF"/>
        </w:rPr>
        <w:t>SA Journal of Industrial Psychology</w:t>
      </w:r>
      <w:r w:rsidRPr="00083532">
        <w:rPr>
          <w:shd w:val="clear" w:color="auto" w:fill="FFFFFF"/>
        </w:rPr>
        <w:t>, </w:t>
      </w:r>
      <w:r w:rsidRPr="00083532">
        <w:rPr>
          <w:i/>
          <w:iCs/>
          <w:shd w:val="clear" w:color="auto" w:fill="FFFFFF"/>
        </w:rPr>
        <w:t>47</w:t>
      </w:r>
      <w:r w:rsidRPr="00083532">
        <w:rPr>
          <w:shd w:val="clear" w:color="auto" w:fill="FFFFFF"/>
        </w:rPr>
        <w:t>(1), pp.1-14.</w:t>
      </w:r>
    </w:p>
    <w:p w14:paraId="317C05F0" w14:textId="77777777" w:rsidR="0029152F" w:rsidRPr="004F3BD6" w:rsidRDefault="0029152F" w:rsidP="00083532">
      <w:pPr>
        <w:ind w:left="720" w:hanging="720"/>
      </w:pPr>
      <w:r w:rsidRPr="00083532">
        <w:rPr>
          <w:shd w:val="clear" w:color="auto" w:fill="FFFFFF"/>
        </w:rPr>
        <w:t>Kossek, E.E. and Lee, K.H., 2021. Work-life Inclusion for Women’s Career Equality: Why it Matters and What to Do About It. </w:t>
      </w:r>
      <w:r w:rsidRPr="00083532">
        <w:rPr>
          <w:i/>
          <w:iCs/>
          <w:shd w:val="clear" w:color="auto" w:fill="FFFFFF"/>
        </w:rPr>
        <w:t>Organizational Dynamics</w:t>
      </w:r>
      <w:r w:rsidRPr="00083532">
        <w:rPr>
          <w:shd w:val="clear" w:color="auto" w:fill="FFFFFF"/>
        </w:rPr>
        <w:t>, p.100818.</w:t>
      </w:r>
    </w:p>
    <w:p w14:paraId="7DFCA219" w14:textId="77777777" w:rsidR="0029152F" w:rsidRDefault="0029152F" w:rsidP="00083532">
      <w:pPr>
        <w:ind w:left="720" w:hanging="720"/>
      </w:pPr>
      <w:r w:rsidRPr="00083532">
        <w:rPr>
          <w:shd w:val="clear" w:color="auto" w:fill="FFFFFF"/>
        </w:rPr>
        <w:t>Lewis, S. and Beauregard, T.A., 2018. The meanings of work-life balance: A cultural perspective.</w:t>
      </w:r>
    </w:p>
    <w:p w14:paraId="5FE39815" w14:textId="77777777" w:rsidR="0029152F" w:rsidRPr="004F3BD6" w:rsidRDefault="0029152F" w:rsidP="00083532">
      <w:pPr>
        <w:ind w:left="720" w:hanging="720"/>
      </w:pPr>
      <w:r w:rsidRPr="00083532">
        <w:rPr>
          <w:shd w:val="clear" w:color="auto" w:fill="FFFFFF"/>
        </w:rPr>
        <w:t>Pandita, D. and Ray, S., 2018. Talent management and employee engagement–a meta-analysis of their impact on talent retention. </w:t>
      </w:r>
      <w:r w:rsidRPr="00083532">
        <w:rPr>
          <w:i/>
          <w:iCs/>
          <w:shd w:val="clear" w:color="auto" w:fill="FFFFFF"/>
        </w:rPr>
        <w:t>Industrial and Commercial Training</w:t>
      </w:r>
      <w:r w:rsidRPr="00083532">
        <w:rPr>
          <w:shd w:val="clear" w:color="auto" w:fill="FFFFFF"/>
        </w:rPr>
        <w:t>.</w:t>
      </w:r>
    </w:p>
    <w:p w14:paraId="394E5956" w14:textId="77777777" w:rsidR="0029152F" w:rsidRPr="00D874F2" w:rsidRDefault="0029152F" w:rsidP="00083532">
      <w:pPr>
        <w:ind w:left="720" w:hanging="720"/>
      </w:pPr>
      <w:r w:rsidRPr="00083532">
        <w:rPr>
          <w:shd w:val="clear" w:color="auto" w:fill="FFFFFF"/>
        </w:rPr>
        <w:t>Singh, D., 2019. A literature review on employee retention with focus on recent trends. </w:t>
      </w:r>
      <w:r w:rsidRPr="00083532">
        <w:rPr>
          <w:i/>
          <w:iCs/>
          <w:shd w:val="clear" w:color="auto" w:fill="FFFFFF"/>
        </w:rPr>
        <w:t>International Journal of Scientific Research in Science and Technology</w:t>
      </w:r>
      <w:r w:rsidRPr="00083532">
        <w:rPr>
          <w:shd w:val="clear" w:color="auto" w:fill="FFFFFF"/>
        </w:rPr>
        <w:t>, </w:t>
      </w:r>
      <w:r w:rsidRPr="00083532">
        <w:rPr>
          <w:i/>
          <w:iCs/>
          <w:shd w:val="clear" w:color="auto" w:fill="FFFFFF"/>
        </w:rPr>
        <w:t>6</w:t>
      </w:r>
      <w:r w:rsidRPr="00083532">
        <w:rPr>
          <w:shd w:val="clear" w:color="auto" w:fill="FFFFFF"/>
        </w:rPr>
        <w:t>(1), pp.425-431.</w:t>
      </w:r>
    </w:p>
    <w:p w14:paraId="0DC60DD0" w14:textId="77777777" w:rsidR="0029152F" w:rsidRDefault="0029152F" w:rsidP="00083532">
      <w:pPr>
        <w:ind w:left="720" w:hanging="720"/>
      </w:pPr>
      <w:r w:rsidRPr="008B5E21">
        <w:t xml:space="preserve">statista.com </w:t>
      </w:r>
      <w:r>
        <w:t xml:space="preserve">2022[online] Access through </w:t>
      </w:r>
      <w:r w:rsidRPr="00083532">
        <w:rPr>
          <w:i/>
          <w:iCs/>
        </w:rPr>
        <w:t>https://www.statista.com/statistics/980129/flexible-workspace-effects-worldwide/</w:t>
      </w:r>
      <w:r>
        <w:t xml:space="preserve"> [Accessed on 19 April 2022]</w:t>
      </w:r>
    </w:p>
    <w:p w14:paraId="020CA8AD" w14:textId="77777777" w:rsidR="0029152F" w:rsidRDefault="0029152F" w:rsidP="00083532">
      <w:pPr>
        <w:ind w:left="720" w:hanging="720"/>
      </w:pPr>
      <w:r w:rsidRPr="008B5E21">
        <w:t xml:space="preserve">statista.com </w:t>
      </w:r>
      <w:r>
        <w:t xml:space="preserve">2022[online] Access through </w:t>
      </w:r>
      <w:r w:rsidRPr="00083532">
        <w:rPr>
          <w:i/>
          <w:iCs/>
        </w:rPr>
        <w:t>https://www.statista.com/statistics/312345/working-from-home-in-the-united-kingdom-levels-employed-uk-y-on-y/</w:t>
      </w:r>
      <w:r>
        <w:t xml:space="preserve"> [Accessed on 19 April 2022]</w:t>
      </w:r>
    </w:p>
    <w:p w14:paraId="3AAFAC98" w14:textId="77777777" w:rsidR="0029152F" w:rsidRPr="00083532" w:rsidRDefault="0029152F" w:rsidP="00083532">
      <w:pPr>
        <w:ind w:left="720" w:hanging="720"/>
        <w:rPr>
          <w:shd w:val="clear" w:color="auto" w:fill="FFFFFF"/>
        </w:rPr>
      </w:pPr>
      <w:r w:rsidRPr="00083532">
        <w:rPr>
          <w:shd w:val="clear" w:color="auto" w:fill="FFFFFF"/>
        </w:rPr>
        <w:lastRenderedPageBreak/>
        <w:t>Swain, V.D., Saha, K., Abowd, G.D. and De Choudhury, M., 2020, October. Social media and ubiquitous technologies for remote worker wellbeing and productivity in a post-pandemic world. In </w:t>
      </w:r>
      <w:r w:rsidRPr="00083532">
        <w:rPr>
          <w:i/>
          <w:iCs/>
          <w:shd w:val="clear" w:color="auto" w:fill="FFFFFF"/>
        </w:rPr>
        <w:t>2020 IEEE Second International Conference on Cognitive Machine Intelligence (CogMI)</w:t>
      </w:r>
      <w:r w:rsidRPr="00083532">
        <w:rPr>
          <w:shd w:val="clear" w:color="auto" w:fill="FFFFFF"/>
        </w:rPr>
        <w:t> (pp. 121-130). IEEE.</w:t>
      </w:r>
    </w:p>
    <w:p w14:paraId="007D2276" w14:textId="77777777" w:rsidR="0029152F" w:rsidRDefault="0029152F" w:rsidP="00083532">
      <w:pPr>
        <w:ind w:left="720" w:hanging="720"/>
      </w:pPr>
      <w:r w:rsidRPr="00996284">
        <w:t xml:space="preserve">theguardian.com </w:t>
      </w:r>
      <w:r>
        <w:t xml:space="preserve">2022[online] Access through </w:t>
      </w:r>
      <w:r w:rsidRPr="00996284">
        <w:t>https://www.theguardian.com/business/2021/jun/19/switch-to-more-home-working-after-covid-will-make-gender-inequality-worse</w:t>
      </w:r>
      <w:r>
        <w:t xml:space="preserve"> [Accessed on 19 April 2022]</w:t>
      </w:r>
    </w:p>
    <w:p w14:paraId="5B9FA7D0" w14:textId="77777777" w:rsidR="0029152F" w:rsidRPr="004F3BD6" w:rsidRDefault="0029152F" w:rsidP="00083532">
      <w:pPr>
        <w:ind w:left="720" w:hanging="720"/>
      </w:pPr>
      <w:r w:rsidRPr="00083532">
        <w:rPr>
          <w:shd w:val="clear" w:color="auto" w:fill="FFFFFF"/>
        </w:rPr>
        <w:t>Toscano, F. and Zappalà, S., 2020. Social isolation and stress as predictors of productivity perception and remote work satisfaction during the COVID-19 pandemic: The role of concern about the virus in a moderated double mediation. </w:t>
      </w:r>
      <w:r w:rsidRPr="00083532">
        <w:rPr>
          <w:i/>
          <w:iCs/>
          <w:shd w:val="clear" w:color="auto" w:fill="FFFFFF"/>
        </w:rPr>
        <w:t>Sustainability</w:t>
      </w:r>
      <w:r w:rsidRPr="00083532">
        <w:rPr>
          <w:shd w:val="clear" w:color="auto" w:fill="FFFFFF"/>
        </w:rPr>
        <w:t>, </w:t>
      </w:r>
      <w:r w:rsidRPr="00083532">
        <w:rPr>
          <w:i/>
          <w:iCs/>
          <w:shd w:val="clear" w:color="auto" w:fill="FFFFFF"/>
        </w:rPr>
        <w:t>12</w:t>
      </w:r>
      <w:r w:rsidRPr="00083532">
        <w:rPr>
          <w:shd w:val="clear" w:color="auto" w:fill="FFFFFF"/>
        </w:rPr>
        <w:t>(23), p.9804.</w:t>
      </w:r>
    </w:p>
    <w:p w14:paraId="16F5B114" w14:textId="77777777" w:rsidR="0029152F" w:rsidRPr="00083532" w:rsidRDefault="0029152F" w:rsidP="00083532">
      <w:pPr>
        <w:ind w:left="720" w:hanging="720"/>
        <w:rPr>
          <w:shd w:val="clear" w:color="auto" w:fill="FFFFFF"/>
        </w:rPr>
      </w:pPr>
      <w:r w:rsidRPr="00083532">
        <w:rPr>
          <w:shd w:val="clear" w:color="auto" w:fill="FFFFFF"/>
        </w:rPr>
        <w:t>Woods, M., 2021, April. Technology Impacts on Employee Engagement During Covid-19. In </w:t>
      </w:r>
      <w:r w:rsidRPr="00083532">
        <w:rPr>
          <w:i/>
          <w:iCs/>
          <w:shd w:val="clear" w:color="auto" w:fill="FFFFFF"/>
        </w:rPr>
        <w:t>The International Research &amp; Innovation Forum</w:t>
      </w:r>
      <w:r w:rsidRPr="00083532">
        <w:rPr>
          <w:shd w:val="clear" w:color="auto" w:fill="FFFFFF"/>
        </w:rPr>
        <w:t> (pp. 45-58). Springer, Cham.</w:t>
      </w:r>
    </w:p>
    <w:sectPr w:rsidR="0029152F" w:rsidRPr="0008353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95CA3" w14:textId="77777777" w:rsidR="00063E9C" w:rsidRDefault="00063E9C" w:rsidP="007A6B53">
      <w:pPr>
        <w:spacing w:after="0" w:line="240" w:lineRule="auto"/>
      </w:pPr>
      <w:r>
        <w:separator/>
      </w:r>
    </w:p>
  </w:endnote>
  <w:endnote w:type="continuationSeparator" w:id="0">
    <w:p w14:paraId="692C7EF7" w14:textId="77777777" w:rsidR="00063E9C" w:rsidRDefault="00063E9C" w:rsidP="007A6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67278"/>
      <w:docPartObj>
        <w:docPartGallery w:val="Page Numbers (Bottom of Page)"/>
        <w:docPartUnique/>
      </w:docPartObj>
    </w:sdtPr>
    <w:sdtEndPr>
      <w:rPr>
        <w:noProof/>
      </w:rPr>
    </w:sdtEndPr>
    <w:sdtContent>
      <w:p w14:paraId="7B7F67E8" w14:textId="70CCE36A" w:rsidR="007A6B53" w:rsidRDefault="007A6B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87BABD" w14:textId="77777777" w:rsidR="007A6B53" w:rsidRDefault="007A6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7BFE9" w14:textId="77777777" w:rsidR="00063E9C" w:rsidRDefault="00063E9C" w:rsidP="007A6B53">
      <w:pPr>
        <w:spacing w:after="0" w:line="240" w:lineRule="auto"/>
      </w:pPr>
      <w:r>
        <w:separator/>
      </w:r>
    </w:p>
  </w:footnote>
  <w:footnote w:type="continuationSeparator" w:id="0">
    <w:p w14:paraId="0323BD2D" w14:textId="77777777" w:rsidR="00063E9C" w:rsidRDefault="00063E9C" w:rsidP="007A6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7203"/>
    <w:multiLevelType w:val="hybridMultilevel"/>
    <w:tmpl w:val="3ED252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57D26BB"/>
    <w:multiLevelType w:val="hybridMultilevel"/>
    <w:tmpl w:val="BA9EF9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BDB529C"/>
    <w:multiLevelType w:val="hybridMultilevel"/>
    <w:tmpl w:val="230A82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1285906">
    <w:abstractNumId w:val="2"/>
  </w:num>
  <w:num w:numId="2" w16cid:durableId="957831639">
    <w:abstractNumId w:val="1"/>
  </w:num>
  <w:num w:numId="3" w16cid:durableId="602154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30"/>
    <w:rsid w:val="00000BE7"/>
    <w:rsid w:val="0001740D"/>
    <w:rsid w:val="00045BE7"/>
    <w:rsid w:val="00063E9C"/>
    <w:rsid w:val="00083532"/>
    <w:rsid w:val="00086D58"/>
    <w:rsid w:val="00091000"/>
    <w:rsid w:val="000A3C9B"/>
    <w:rsid w:val="000A53D3"/>
    <w:rsid w:val="000A67FD"/>
    <w:rsid w:val="000D39E5"/>
    <w:rsid w:val="000D5C43"/>
    <w:rsid w:val="000F6630"/>
    <w:rsid w:val="00155198"/>
    <w:rsid w:val="00180F8B"/>
    <w:rsid w:val="001B2AF3"/>
    <w:rsid w:val="001E6956"/>
    <w:rsid w:val="00204307"/>
    <w:rsid w:val="00212CE3"/>
    <w:rsid w:val="00220ADD"/>
    <w:rsid w:val="00231CBD"/>
    <w:rsid w:val="00246DD1"/>
    <w:rsid w:val="0028278B"/>
    <w:rsid w:val="0029152F"/>
    <w:rsid w:val="00292FBD"/>
    <w:rsid w:val="002F3530"/>
    <w:rsid w:val="00313334"/>
    <w:rsid w:val="00326A66"/>
    <w:rsid w:val="00337BEC"/>
    <w:rsid w:val="00347D76"/>
    <w:rsid w:val="003721F7"/>
    <w:rsid w:val="00382A99"/>
    <w:rsid w:val="003A066C"/>
    <w:rsid w:val="003C34B3"/>
    <w:rsid w:val="003E03D3"/>
    <w:rsid w:val="003F2693"/>
    <w:rsid w:val="00401E5B"/>
    <w:rsid w:val="0049327D"/>
    <w:rsid w:val="00497A55"/>
    <w:rsid w:val="004A3C74"/>
    <w:rsid w:val="004E6AD7"/>
    <w:rsid w:val="004F3BD6"/>
    <w:rsid w:val="0055328C"/>
    <w:rsid w:val="005710C5"/>
    <w:rsid w:val="0058316C"/>
    <w:rsid w:val="005B080D"/>
    <w:rsid w:val="005D032C"/>
    <w:rsid w:val="005E7B07"/>
    <w:rsid w:val="0060739D"/>
    <w:rsid w:val="00610441"/>
    <w:rsid w:val="00643C97"/>
    <w:rsid w:val="00660BFA"/>
    <w:rsid w:val="0067684E"/>
    <w:rsid w:val="00694A46"/>
    <w:rsid w:val="006C73B7"/>
    <w:rsid w:val="006D2701"/>
    <w:rsid w:val="007324A3"/>
    <w:rsid w:val="007470F0"/>
    <w:rsid w:val="007628BE"/>
    <w:rsid w:val="00777E8D"/>
    <w:rsid w:val="007968D8"/>
    <w:rsid w:val="007A6B53"/>
    <w:rsid w:val="007F7010"/>
    <w:rsid w:val="00803D99"/>
    <w:rsid w:val="00841205"/>
    <w:rsid w:val="008452ED"/>
    <w:rsid w:val="008625B8"/>
    <w:rsid w:val="008701FA"/>
    <w:rsid w:val="008A47BA"/>
    <w:rsid w:val="008A711F"/>
    <w:rsid w:val="008B49C4"/>
    <w:rsid w:val="008B5E21"/>
    <w:rsid w:val="008E0E7B"/>
    <w:rsid w:val="008F53F6"/>
    <w:rsid w:val="008F68ED"/>
    <w:rsid w:val="009010B0"/>
    <w:rsid w:val="009249EA"/>
    <w:rsid w:val="009544F1"/>
    <w:rsid w:val="00996284"/>
    <w:rsid w:val="009D5142"/>
    <w:rsid w:val="009D6C41"/>
    <w:rsid w:val="009D6F72"/>
    <w:rsid w:val="009F0375"/>
    <w:rsid w:val="00A049F2"/>
    <w:rsid w:val="00A11206"/>
    <w:rsid w:val="00A152D0"/>
    <w:rsid w:val="00A20E91"/>
    <w:rsid w:val="00A25780"/>
    <w:rsid w:val="00A6285D"/>
    <w:rsid w:val="00A6673D"/>
    <w:rsid w:val="00AB7B3B"/>
    <w:rsid w:val="00AC2A3D"/>
    <w:rsid w:val="00AE1FBC"/>
    <w:rsid w:val="00B33DB2"/>
    <w:rsid w:val="00B74E04"/>
    <w:rsid w:val="00BB4729"/>
    <w:rsid w:val="00C114A3"/>
    <w:rsid w:val="00C2479A"/>
    <w:rsid w:val="00C254C0"/>
    <w:rsid w:val="00C329F8"/>
    <w:rsid w:val="00C57C52"/>
    <w:rsid w:val="00C81076"/>
    <w:rsid w:val="00C966AF"/>
    <w:rsid w:val="00CB02EC"/>
    <w:rsid w:val="00CD4ACE"/>
    <w:rsid w:val="00D05A6D"/>
    <w:rsid w:val="00D21842"/>
    <w:rsid w:val="00D874F2"/>
    <w:rsid w:val="00D969B7"/>
    <w:rsid w:val="00DD318E"/>
    <w:rsid w:val="00DD4788"/>
    <w:rsid w:val="00DF55E0"/>
    <w:rsid w:val="00E3117F"/>
    <w:rsid w:val="00E3701F"/>
    <w:rsid w:val="00E549FB"/>
    <w:rsid w:val="00E82944"/>
    <w:rsid w:val="00ED5B36"/>
    <w:rsid w:val="00EE055A"/>
    <w:rsid w:val="00EE77C6"/>
    <w:rsid w:val="00EF1307"/>
    <w:rsid w:val="00EF2573"/>
    <w:rsid w:val="00F06725"/>
    <w:rsid w:val="00F15527"/>
    <w:rsid w:val="00F36392"/>
    <w:rsid w:val="00F83D88"/>
    <w:rsid w:val="00F95290"/>
    <w:rsid w:val="00FA67D9"/>
    <w:rsid w:val="00FC56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1039"/>
  <w15:chartTrackingRefBased/>
  <w15:docId w15:val="{4DE008D7-346E-4E67-A96E-1139ADBC8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CB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329F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A6B53"/>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7E8D"/>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777E8D"/>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C329F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A6B53"/>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7A6B5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A6B53"/>
    <w:pPr>
      <w:spacing w:after="100"/>
    </w:pPr>
  </w:style>
  <w:style w:type="paragraph" w:styleId="TOC2">
    <w:name w:val="toc 2"/>
    <w:basedOn w:val="Normal"/>
    <w:next w:val="Normal"/>
    <w:autoRedefine/>
    <w:uiPriority w:val="39"/>
    <w:unhideWhenUsed/>
    <w:rsid w:val="007A6B53"/>
    <w:pPr>
      <w:spacing w:after="100"/>
      <w:ind w:left="240"/>
    </w:pPr>
  </w:style>
  <w:style w:type="character" w:styleId="Hyperlink">
    <w:name w:val="Hyperlink"/>
    <w:basedOn w:val="DefaultParagraphFont"/>
    <w:uiPriority w:val="99"/>
    <w:unhideWhenUsed/>
    <w:rsid w:val="007A6B53"/>
    <w:rPr>
      <w:color w:val="0563C1" w:themeColor="hyperlink"/>
      <w:u w:val="single"/>
    </w:rPr>
  </w:style>
  <w:style w:type="paragraph" w:styleId="Header">
    <w:name w:val="header"/>
    <w:basedOn w:val="Normal"/>
    <w:link w:val="HeaderChar"/>
    <w:uiPriority w:val="99"/>
    <w:unhideWhenUsed/>
    <w:rsid w:val="007A6B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B53"/>
    <w:rPr>
      <w:rFonts w:ascii="Times New Roman" w:hAnsi="Times New Roman"/>
      <w:sz w:val="24"/>
    </w:rPr>
  </w:style>
  <w:style w:type="paragraph" w:styleId="Footer">
    <w:name w:val="footer"/>
    <w:basedOn w:val="Normal"/>
    <w:link w:val="FooterChar"/>
    <w:uiPriority w:val="99"/>
    <w:unhideWhenUsed/>
    <w:rsid w:val="007A6B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B53"/>
    <w:rPr>
      <w:rFonts w:ascii="Times New Roman" w:hAnsi="Times New Roman"/>
      <w:sz w:val="24"/>
    </w:rPr>
  </w:style>
  <w:style w:type="paragraph" w:styleId="ListParagraph">
    <w:name w:val="List Paragraph"/>
    <w:basedOn w:val="Normal"/>
    <w:uiPriority w:val="34"/>
    <w:qFormat/>
    <w:rsid w:val="009010B0"/>
    <w:pPr>
      <w:ind w:left="720"/>
      <w:contextualSpacing/>
    </w:pPr>
  </w:style>
  <w:style w:type="character" w:styleId="UnresolvedMention">
    <w:name w:val="Unresolved Mention"/>
    <w:basedOn w:val="DefaultParagraphFont"/>
    <w:uiPriority w:val="99"/>
    <w:semiHidden/>
    <w:unhideWhenUsed/>
    <w:rsid w:val="008B5E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9F9F2-F9E9-4B58-9BF7-A7B167DD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2989</Words>
  <Characters>17042</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marincu</dc:creator>
  <cp:keywords/>
  <dc:description/>
  <cp:lastModifiedBy>Ionut- Paul Marincu</cp:lastModifiedBy>
  <cp:revision>10</cp:revision>
  <dcterms:created xsi:type="dcterms:W3CDTF">2022-05-06T22:21:00Z</dcterms:created>
  <dcterms:modified xsi:type="dcterms:W3CDTF">2022-05-06T22:26:00Z</dcterms:modified>
</cp:coreProperties>
</file>