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82FCF" w14:textId="77777777" w:rsidR="002821A7" w:rsidRDefault="00D83D37">
      <w:pPr>
        <w:jc w:val="center"/>
        <w:rPr>
          <w:rFonts w:cs="Times New Roman"/>
        </w:rPr>
      </w:pPr>
      <w:r>
        <w:rPr>
          <w:rFonts w:cs="Times New Roman"/>
          <w:noProof/>
        </w:rPr>
        <w:drawing>
          <wp:inline distT="0" distB="0" distL="0" distR="0" wp14:anchorId="4FDCD811" wp14:editId="6659E9A0">
            <wp:extent cx="2157095" cy="862965"/>
            <wp:effectExtent l="0" t="0" r="6985" b="571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logo&#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BCEE719" w14:textId="77777777" w:rsidR="002821A7" w:rsidRDefault="002821A7">
      <w:pPr>
        <w:rPr>
          <w:rFonts w:cs="Times New Roman"/>
        </w:rPr>
      </w:pPr>
    </w:p>
    <w:p w14:paraId="0B848E31" w14:textId="77777777" w:rsidR="002821A7" w:rsidRDefault="002821A7">
      <w:pPr>
        <w:jc w:val="right"/>
        <w:rPr>
          <w:rFonts w:cs="Times New Roman"/>
          <w:szCs w:val="24"/>
        </w:rPr>
      </w:pPr>
    </w:p>
    <w:p w14:paraId="774F94AF" w14:textId="77777777" w:rsidR="002821A7" w:rsidRDefault="00D83D37">
      <w:pPr>
        <w:jc w:val="right"/>
        <w:rPr>
          <w:sz w:val="40"/>
          <w:szCs w:val="40"/>
        </w:rPr>
      </w:pPr>
      <w:r>
        <w:rPr>
          <w:sz w:val="40"/>
          <w:szCs w:val="40"/>
        </w:rPr>
        <w:t>Banking Financial Management and Financial Markets</w:t>
      </w:r>
    </w:p>
    <w:p w14:paraId="43080831" w14:textId="77777777" w:rsidR="002821A7" w:rsidRDefault="00D83D37">
      <w:pPr>
        <w:ind w:firstLineChars="900" w:firstLine="3600"/>
        <w:jc w:val="both"/>
        <w:rPr>
          <w:sz w:val="40"/>
          <w:szCs w:val="40"/>
          <w:lang w:val="en-IN"/>
        </w:rPr>
      </w:pPr>
      <w:r>
        <w:rPr>
          <w:sz w:val="40"/>
          <w:szCs w:val="40"/>
          <w:lang w:val="en-IN"/>
        </w:rPr>
        <w:t>(LCMB7012)</w:t>
      </w:r>
    </w:p>
    <w:p w14:paraId="262F1B24" w14:textId="77777777" w:rsidR="002821A7" w:rsidRDefault="002821A7">
      <w:pPr>
        <w:rPr>
          <w:rFonts w:cs="Times New Roman"/>
          <w:szCs w:val="24"/>
        </w:rPr>
      </w:pPr>
    </w:p>
    <w:p w14:paraId="7830F7A9" w14:textId="4E98E13C" w:rsidR="002821A7" w:rsidRDefault="00D83D37">
      <w:pPr>
        <w:rPr>
          <w:rFonts w:cs="Times New Roman"/>
          <w:sz w:val="28"/>
          <w:szCs w:val="28"/>
        </w:rPr>
      </w:pPr>
      <w:r>
        <w:rPr>
          <w:rFonts w:cs="Times New Roman"/>
          <w:sz w:val="28"/>
          <w:szCs w:val="28"/>
        </w:rPr>
        <w:t xml:space="preserve">Student name: </w:t>
      </w:r>
      <w:r w:rsidR="00877679">
        <w:rPr>
          <w:rFonts w:cs="Times New Roman"/>
          <w:sz w:val="28"/>
          <w:szCs w:val="28"/>
        </w:rPr>
        <w:t>Disha Nareshkumar Jain</w:t>
      </w:r>
    </w:p>
    <w:p w14:paraId="099A0875" w14:textId="1C090433" w:rsidR="002821A7" w:rsidRDefault="00D83D37">
      <w:pPr>
        <w:rPr>
          <w:rFonts w:cs="Times New Roman"/>
          <w:sz w:val="28"/>
          <w:szCs w:val="28"/>
        </w:rPr>
      </w:pPr>
      <w:r>
        <w:rPr>
          <w:rFonts w:cs="Times New Roman"/>
          <w:sz w:val="28"/>
          <w:szCs w:val="28"/>
        </w:rPr>
        <w:t xml:space="preserve">Student Number: </w:t>
      </w:r>
      <w:r w:rsidR="00877679">
        <w:rPr>
          <w:rFonts w:cs="Times New Roman"/>
          <w:sz w:val="28"/>
          <w:szCs w:val="28"/>
        </w:rPr>
        <w:t>2241838</w:t>
      </w:r>
    </w:p>
    <w:p w14:paraId="75431FEE" w14:textId="536FCA4C" w:rsidR="002821A7" w:rsidRDefault="00D83D37">
      <w:pPr>
        <w:rPr>
          <w:rFonts w:cs="Times New Roman"/>
          <w:sz w:val="28"/>
          <w:szCs w:val="28"/>
        </w:rPr>
      </w:pPr>
      <w:r>
        <w:rPr>
          <w:rFonts w:cs="Times New Roman"/>
          <w:sz w:val="28"/>
          <w:szCs w:val="28"/>
        </w:rPr>
        <w:t xml:space="preserve">Lecturer: </w:t>
      </w:r>
      <w:r w:rsidR="00877679">
        <w:rPr>
          <w:rFonts w:cs="Times New Roman"/>
          <w:sz w:val="28"/>
          <w:szCs w:val="28"/>
        </w:rPr>
        <w:t>David Coker</w:t>
      </w:r>
    </w:p>
    <w:p w14:paraId="7586C5D9" w14:textId="7EF4673A" w:rsidR="002821A7" w:rsidRDefault="00D83D37">
      <w:pPr>
        <w:rPr>
          <w:rFonts w:ascii="Times New Roman" w:hAnsi="Times New Roman"/>
          <w:sz w:val="24"/>
        </w:rPr>
      </w:pPr>
      <w:r>
        <w:rPr>
          <w:rFonts w:cs="Times New Roman"/>
          <w:sz w:val="28"/>
          <w:szCs w:val="28"/>
        </w:rPr>
        <w:t xml:space="preserve">Submission Date: </w:t>
      </w:r>
      <w:r w:rsidR="00877679">
        <w:rPr>
          <w:rFonts w:cs="Times New Roman"/>
          <w:sz w:val="28"/>
          <w:szCs w:val="28"/>
        </w:rPr>
        <w:t>05-01-2024</w:t>
      </w:r>
    </w:p>
    <w:p w14:paraId="4E611C8D" w14:textId="77777777" w:rsidR="002821A7" w:rsidRDefault="002821A7">
      <w:pPr>
        <w:spacing w:after="0" w:line="480" w:lineRule="auto"/>
        <w:jc w:val="both"/>
        <w:rPr>
          <w:rFonts w:ascii="Times New Roman" w:hAnsi="Times New Roman"/>
          <w:sz w:val="24"/>
        </w:rPr>
      </w:pPr>
    </w:p>
    <w:p w14:paraId="7E913DD6" w14:textId="77777777" w:rsidR="002821A7" w:rsidRDefault="002821A7">
      <w:pPr>
        <w:spacing w:after="0" w:line="480" w:lineRule="auto"/>
        <w:jc w:val="both"/>
        <w:rPr>
          <w:rFonts w:ascii="Times New Roman" w:hAnsi="Times New Roman"/>
          <w:sz w:val="24"/>
        </w:rPr>
      </w:pPr>
    </w:p>
    <w:p w14:paraId="24FE3B2C" w14:textId="77777777" w:rsidR="002821A7" w:rsidRDefault="002821A7">
      <w:pPr>
        <w:spacing w:after="0" w:line="480" w:lineRule="auto"/>
        <w:jc w:val="both"/>
        <w:rPr>
          <w:rFonts w:ascii="Times New Roman" w:hAnsi="Times New Roman"/>
          <w:sz w:val="24"/>
        </w:rPr>
      </w:pPr>
    </w:p>
    <w:p w14:paraId="4830C759" w14:textId="77777777" w:rsidR="002821A7" w:rsidRDefault="002821A7">
      <w:pPr>
        <w:spacing w:after="0" w:line="480" w:lineRule="auto"/>
        <w:jc w:val="both"/>
        <w:rPr>
          <w:rFonts w:ascii="Times New Roman" w:hAnsi="Times New Roman"/>
          <w:sz w:val="24"/>
        </w:rPr>
      </w:pPr>
    </w:p>
    <w:p w14:paraId="125C7C4C" w14:textId="77777777" w:rsidR="002821A7" w:rsidRDefault="002821A7">
      <w:pPr>
        <w:spacing w:after="0" w:line="480" w:lineRule="auto"/>
        <w:jc w:val="both"/>
        <w:rPr>
          <w:rFonts w:ascii="Times New Roman" w:hAnsi="Times New Roman"/>
          <w:sz w:val="24"/>
        </w:rPr>
      </w:pPr>
    </w:p>
    <w:p w14:paraId="011936B8" w14:textId="77777777" w:rsidR="002821A7" w:rsidRDefault="002821A7">
      <w:pPr>
        <w:spacing w:after="0" w:line="480" w:lineRule="auto"/>
        <w:jc w:val="both"/>
        <w:rPr>
          <w:rFonts w:ascii="Times New Roman" w:hAnsi="Times New Roman"/>
          <w:sz w:val="24"/>
        </w:rPr>
      </w:pPr>
    </w:p>
    <w:p w14:paraId="3F54F2C8" w14:textId="77777777" w:rsidR="002821A7" w:rsidRDefault="002821A7">
      <w:pPr>
        <w:spacing w:after="0" w:line="480" w:lineRule="auto"/>
        <w:jc w:val="both"/>
        <w:rPr>
          <w:rFonts w:ascii="Times New Roman" w:hAnsi="Times New Roman"/>
          <w:sz w:val="24"/>
        </w:rPr>
      </w:pPr>
    </w:p>
    <w:p w14:paraId="38F2B681" w14:textId="77777777" w:rsidR="002821A7" w:rsidRDefault="002821A7">
      <w:pPr>
        <w:spacing w:after="0" w:line="480" w:lineRule="auto"/>
        <w:jc w:val="both"/>
        <w:rPr>
          <w:rFonts w:ascii="Times New Roman" w:hAnsi="Times New Roman"/>
          <w:sz w:val="24"/>
        </w:rPr>
      </w:pPr>
    </w:p>
    <w:p w14:paraId="52503B9E" w14:textId="77777777" w:rsidR="002821A7" w:rsidRDefault="002821A7">
      <w:pPr>
        <w:rPr>
          <w:rFonts w:ascii="Times New Roman" w:hAnsi="Times New Roman" w:cs="Times New Roman"/>
          <w:sz w:val="24"/>
          <w:szCs w:val="24"/>
        </w:rPr>
      </w:pPr>
    </w:p>
    <w:p w14:paraId="6B0C048C" w14:textId="77777777" w:rsidR="002821A7" w:rsidRDefault="002821A7">
      <w:pPr>
        <w:rPr>
          <w:rFonts w:ascii="Times New Roman" w:hAnsi="Times New Roman" w:cs="Times New Roman"/>
          <w:sz w:val="24"/>
          <w:szCs w:val="24"/>
        </w:rPr>
      </w:pPr>
    </w:p>
    <w:p w14:paraId="47175B21" w14:textId="77777777" w:rsidR="002821A7" w:rsidRDefault="002821A7">
      <w:pPr>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2000330422"/>
        <w:docPartObj>
          <w:docPartGallery w:val="Table of Contents"/>
          <w:docPartUnique/>
        </w:docPartObj>
      </w:sdtPr>
      <w:sdtEndPr/>
      <w:sdtContent>
        <w:p w14:paraId="660FECF5" w14:textId="77777777" w:rsidR="002821A7" w:rsidRDefault="00D83D37">
          <w:pPr>
            <w:pStyle w:val="TOCHeading1"/>
            <w:jc w:val="center"/>
            <w:rPr>
              <w:rFonts w:ascii="Times New Roman" w:hAnsi="Times New Roman" w:cs="Times New Roman"/>
              <w:sz w:val="24"/>
              <w:szCs w:val="24"/>
            </w:rPr>
          </w:pPr>
          <w:r>
            <w:rPr>
              <w:rFonts w:ascii="Times New Roman" w:hAnsi="Times New Roman" w:cs="Times New Roman"/>
              <w:sz w:val="24"/>
              <w:szCs w:val="24"/>
            </w:rPr>
            <w:t>Table of Contents</w:t>
          </w:r>
        </w:p>
        <w:p w14:paraId="0C026965" w14:textId="77777777" w:rsidR="002821A7" w:rsidRDefault="00D83D37">
          <w:pPr>
            <w:pStyle w:val="TOC1"/>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53209397" w:history="1">
            <w:r>
              <w:rPr>
                <w:rStyle w:val="Hyperlink"/>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_Toc153209397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5391FADE" w14:textId="77777777" w:rsidR="002821A7" w:rsidRDefault="00D83D37">
          <w:pPr>
            <w:pStyle w:val="TOC1"/>
            <w:tabs>
              <w:tab w:val="right" w:leader="dot" w:pos="9350"/>
            </w:tabs>
            <w:rPr>
              <w:rFonts w:ascii="Times New Roman" w:hAnsi="Times New Roman" w:cs="Times New Roman"/>
              <w:sz w:val="24"/>
              <w:szCs w:val="24"/>
            </w:rPr>
          </w:pPr>
          <w:hyperlink w:anchor="_Toc153209398" w:history="1">
            <w:r>
              <w:rPr>
                <w:rStyle w:val="Hyperlink"/>
                <w:rFonts w:ascii="Times New Roman" w:hAnsi="Times New Roman" w:cs="Times New Roman"/>
                <w:sz w:val="24"/>
                <w:szCs w:val="24"/>
              </w:rPr>
              <w:t>1: Identification of Laws, Contracts and Regulations of US Regulatory Agencies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_Toc153209398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2251F2D0" w14:textId="77777777" w:rsidR="002821A7" w:rsidRDefault="00D83D37">
          <w:pPr>
            <w:pStyle w:val="TOC1"/>
            <w:tabs>
              <w:tab w:val="right" w:leader="dot" w:pos="9350"/>
            </w:tabs>
            <w:rPr>
              <w:rFonts w:ascii="Times New Roman" w:hAnsi="Times New Roman" w:cs="Times New Roman"/>
              <w:sz w:val="24"/>
              <w:szCs w:val="24"/>
            </w:rPr>
          </w:pPr>
          <w:hyperlink w:anchor="_Toc153209399" w:history="1">
            <w:r>
              <w:rPr>
                <w:rStyle w:val="Hyperlink"/>
                <w:rFonts w:ascii="Times New Roman" w:hAnsi="Times New Roman" w:cs="Times New Roman"/>
                <w:sz w:val="24"/>
                <w:szCs w:val="24"/>
              </w:rPr>
              <w:t>2: Laws, Contracts and Regulations of Other than US Regulatory Agencies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_Toc153209399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3CDCD913" w14:textId="77777777" w:rsidR="002821A7" w:rsidRDefault="00D83D37">
          <w:pPr>
            <w:pStyle w:val="TOC1"/>
            <w:tabs>
              <w:tab w:val="right" w:leader="dot" w:pos="9350"/>
            </w:tabs>
            <w:rPr>
              <w:rFonts w:ascii="Times New Roman" w:hAnsi="Times New Roman" w:cs="Times New Roman"/>
              <w:sz w:val="24"/>
              <w:szCs w:val="24"/>
            </w:rPr>
          </w:pPr>
          <w:hyperlink w:anchor="_Toc153209400" w:history="1">
            <w:r>
              <w:rPr>
                <w:rStyle w:val="Hyperlink"/>
                <w:rFonts w:ascii="Times New Roman" w:hAnsi="Times New Roman" w:cs="Times New Roman"/>
                <w:sz w:val="24"/>
                <w:szCs w:val="24"/>
              </w:rPr>
              <w:t>3: Effectiveness of Different Reforms to Stabilize the Financial System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_Toc153209400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hyperlink>
        </w:p>
        <w:p w14:paraId="7F807AA0" w14:textId="77777777" w:rsidR="002821A7" w:rsidRDefault="00D83D37">
          <w:pPr>
            <w:pStyle w:val="TOC1"/>
            <w:tabs>
              <w:tab w:val="right" w:leader="dot" w:pos="9350"/>
            </w:tabs>
            <w:rPr>
              <w:rFonts w:ascii="Times New Roman" w:hAnsi="Times New Roman" w:cs="Times New Roman"/>
              <w:sz w:val="24"/>
              <w:szCs w:val="24"/>
            </w:rPr>
          </w:pPr>
          <w:hyperlink w:anchor="_Toc153209401" w:history="1">
            <w:r>
              <w:rPr>
                <w:rStyle w:val="Hyperlink"/>
                <w:rFonts w:ascii="Times New Roman" w:hAnsi="Times New Roman" w:cs="Times New Roman"/>
                <w:sz w:val="24"/>
                <w:szCs w:val="24"/>
              </w:rPr>
              <w:t>4: Impact of the Identified Reforms on Selected Company (i.e. Citigroup)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_Toc153209401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hyperlink>
        </w:p>
        <w:p w14:paraId="7EED4C53" w14:textId="77777777" w:rsidR="002821A7" w:rsidRDefault="00D83D37">
          <w:pPr>
            <w:pStyle w:val="TOC1"/>
            <w:tabs>
              <w:tab w:val="right" w:leader="dot" w:pos="9350"/>
            </w:tabs>
            <w:rPr>
              <w:rFonts w:ascii="Times New Roman" w:hAnsi="Times New Roman" w:cs="Times New Roman"/>
              <w:sz w:val="24"/>
              <w:szCs w:val="24"/>
            </w:rPr>
          </w:pPr>
          <w:hyperlink w:anchor="_Toc153209402" w:history="1">
            <w:r>
              <w:rPr>
                <w:rStyle w:val="Hyperlink"/>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_Toc153209402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hyperlink>
        </w:p>
        <w:p w14:paraId="70960442" w14:textId="77777777" w:rsidR="002821A7" w:rsidRDefault="00D83D37">
          <w:pPr>
            <w:pStyle w:val="TOC1"/>
            <w:tabs>
              <w:tab w:val="right" w:leader="dot" w:pos="9350"/>
            </w:tabs>
            <w:rPr>
              <w:rFonts w:ascii="Times New Roman" w:hAnsi="Times New Roman" w:cs="Times New Roman"/>
              <w:sz w:val="24"/>
              <w:szCs w:val="24"/>
            </w:rPr>
          </w:pPr>
          <w:hyperlink w:anchor="_Toc153209403" w:history="1">
            <w:r>
              <w:rPr>
                <w:rStyle w:val="Hyperlink"/>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_Toc153209403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hyperlink>
        </w:p>
        <w:p w14:paraId="462E5EC6" w14:textId="77777777" w:rsidR="002821A7" w:rsidRDefault="00D83D37">
          <w:pPr>
            <w:rPr>
              <w:rFonts w:ascii="Times New Roman" w:hAnsi="Times New Roman" w:cs="Times New Roman"/>
              <w:sz w:val="24"/>
              <w:szCs w:val="24"/>
            </w:rPr>
          </w:pPr>
          <w:r>
            <w:rPr>
              <w:rFonts w:ascii="Times New Roman" w:hAnsi="Times New Roman" w:cs="Times New Roman"/>
              <w:sz w:val="24"/>
              <w:szCs w:val="24"/>
            </w:rPr>
            <w:fldChar w:fldCharType="end"/>
          </w:r>
        </w:p>
      </w:sdtContent>
    </w:sdt>
    <w:p w14:paraId="7BF6A313" w14:textId="77777777" w:rsidR="002821A7" w:rsidRDefault="002821A7">
      <w:pPr>
        <w:spacing w:after="0" w:line="480" w:lineRule="auto"/>
        <w:jc w:val="both"/>
        <w:rPr>
          <w:rFonts w:ascii="Times New Roman" w:hAnsi="Times New Roman" w:cs="Times New Roman"/>
          <w:sz w:val="24"/>
          <w:szCs w:val="24"/>
        </w:rPr>
      </w:pPr>
    </w:p>
    <w:p w14:paraId="3FDB053E" w14:textId="77777777" w:rsidR="002821A7" w:rsidRDefault="002821A7">
      <w:pPr>
        <w:spacing w:after="0" w:line="480" w:lineRule="auto"/>
        <w:jc w:val="both"/>
        <w:rPr>
          <w:rFonts w:ascii="Times New Roman" w:hAnsi="Times New Roman"/>
          <w:sz w:val="24"/>
        </w:rPr>
      </w:pPr>
    </w:p>
    <w:p w14:paraId="5064E062" w14:textId="77777777" w:rsidR="002821A7" w:rsidRDefault="00D83D37">
      <w:pPr>
        <w:spacing w:after="0" w:line="480" w:lineRule="auto"/>
        <w:rPr>
          <w:rFonts w:ascii="Times New Roman" w:hAnsi="Times New Roman"/>
          <w:sz w:val="24"/>
        </w:rPr>
      </w:pPr>
      <w:r>
        <w:rPr>
          <w:rFonts w:ascii="Times New Roman" w:hAnsi="Times New Roman"/>
          <w:sz w:val="24"/>
        </w:rPr>
        <w:br w:type="page"/>
      </w:r>
    </w:p>
    <w:p w14:paraId="4900E6AB" w14:textId="77777777" w:rsidR="002821A7" w:rsidRDefault="00D83D37">
      <w:pPr>
        <w:pStyle w:val="Heading1"/>
        <w:spacing w:before="0" w:line="480" w:lineRule="auto"/>
        <w:jc w:val="center"/>
        <w:rPr>
          <w:rFonts w:ascii="Times New Roman" w:hAnsi="Times New Roman"/>
          <w:sz w:val="24"/>
        </w:rPr>
      </w:pPr>
      <w:bookmarkStart w:id="0" w:name="_Toc153209397"/>
      <w:r>
        <w:rPr>
          <w:rFonts w:ascii="Times New Roman" w:hAnsi="Times New Roman"/>
          <w:sz w:val="24"/>
        </w:rPr>
        <w:lastRenderedPageBreak/>
        <w:t>Introduction</w:t>
      </w:r>
      <w:bookmarkEnd w:id="0"/>
    </w:p>
    <w:p w14:paraId="429E0A82" w14:textId="77777777" w:rsidR="002821A7" w:rsidRDefault="00D83D37">
      <w:pPr>
        <w:spacing w:after="0" w:line="480" w:lineRule="auto"/>
        <w:jc w:val="both"/>
        <w:rPr>
          <w:rFonts w:ascii="Times New Roman" w:hAnsi="Times New Roman"/>
          <w:sz w:val="24"/>
        </w:rPr>
      </w:pPr>
      <w:r>
        <w:rPr>
          <w:rFonts w:ascii="Times New Roman" w:hAnsi="Times New Roman"/>
          <w:sz w:val="24"/>
        </w:rPr>
        <w:t>This report is designed in order to undertake analysis of different concepts in the field of banking financial management and financial markets. In order to design this report, Citigroup Company has been selected. It is a public listed company of United States of America. For example, Citigroup is listed on New York Stock Exchange. It is an important aim of this report to evaluate different legislations, contracts, and regulations that were launched after 2008 financial crisis by regulatory agencies of USA.</w:t>
      </w:r>
      <w:r>
        <w:rPr>
          <w:rFonts w:ascii="Times New Roman" w:hAnsi="Times New Roman"/>
          <w:sz w:val="24"/>
        </w:rPr>
        <w:t xml:space="preserve"> It also emphasizes on identification and analysis of legislations, contracts, and regulations that were enacted by a global player other than USA after 2008 financial crisis. Main focus of this report is to evaluate effectiveness of the identified legislations and regulations to stabilize the financial system after 2008 crisis. It is an important purpose of this report to evaluate the impact of identified reforms and regulations over business model and business practices of Citigroup.</w:t>
      </w:r>
    </w:p>
    <w:p w14:paraId="4405F5A4" w14:textId="77777777" w:rsidR="002821A7" w:rsidRDefault="00D83D37">
      <w:pPr>
        <w:spacing w:after="0" w:line="480" w:lineRule="auto"/>
        <w:rPr>
          <w:rFonts w:ascii="Times New Roman" w:hAnsi="Times New Roman"/>
          <w:sz w:val="24"/>
        </w:rPr>
      </w:pPr>
      <w:r>
        <w:rPr>
          <w:rFonts w:ascii="Times New Roman" w:hAnsi="Times New Roman"/>
          <w:sz w:val="24"/>
        </w:rPr>
        <w:br w:type="page"/>
      </w:r>
    </w:p>
    <w:p w14:paraId="33AD7B4E" w14:textId="77777777" w:rsidR="002821A7" w:rsidRDefault="00D83D37">
      <w:pPr>
        <w:pStyle w:val="Heading1"/>
        <w:spacing w:before="0" w:line="480" w:lineRule="auto"/>
        <w:rPr>
          <w:rFonts w:ascii="Times New Roman" w:hAnsi="Times New Roman"/>
          <w:sz w:val="24"/>
        </w:rPr>
      </w:pPr>
      <w:bookmarkStart w:id="1" w:name="_Toc153209398"/>
      <w:r>
        <w:rPr>
          <w:rFonts w:ascii="Times New Roman" w:hAnsi="Times New Roman"/>
          <w:sz w:val="24"/>
        </w:rPr>
        <w:lastRenderedPageBreak/>
        <w:t>1: Identification of Laws, Contracts and Regulations of US Regulatory Agencies</w:t>
      </w:r>
      <w:bookmarkEnd w:id="1"/>
    </w:p>
    <w:p w14:paraId="21603A4D" w14:textId="77777777" w:rsidR="002821A7" w:rsidRDefault="00D83D37">
      <w:pPr>
        <w:spacing w:after="0" w:line="480" w:lineRule="auto"/>
        <w:jc w:val="both"/>
        <w:rPr>
          <w:rFonts w:ascii="Times New Roman" w:hAnsi="Times New Roman"/>
          <w:sz w:val="24"/>
        </w:rPr>
      </w:pPr>
      <w:r>
        <w:rPr>
          <w:rFonts w:ascii="Times New Roman" w:hAnsi="Times New Roman"/>
          <w:sz w:val="24"/>
        </w:rPr>
        <w:t>Dodd-Frank Act is an important legislation, which designed and enacted by USA after the 2008 financial crisis. After passing of legislation of Dodd-Frank Act, the economy of USA has recovered from financial crisis of 2008 in effective manner. For example, the economy of USA has experienced longest ever bull market in the history of USA after passing of this law. In reality, the USA has experienced worst economic crisis during 2007-2008 (Spano, 2021). This financial crisis was mainly caused by bad behavior o</w:t>
      </w:r>
      <w:r>
        <w:rPr>
          <w:rFonts w:ascii="Times New Roman" w:hAnsi="Times New Roman"/>
          <w:sz w:val="24"/>
        </w:rPr>
        <w:t>f banks and financial institutions in USA. Main purpose behind designing the Dodd-Frank Act is to avoid occurrence of similar incidents and behavior of banks or financial institutions of 2008 financial crisis in future.</w:t>
      </w:r>
    </w:p>
    <w:p w14:paraId="03A96315" w14:textId="77777777" w:rsidR="002821A7" w:rsidRDefault="00D83D37">
      <w:pPr>
        <w:spacing w:after="0" w:line="480" w:lineRule="auto"/>
        <w:jc w:val="both"/>
        <w:rPr>
          <w:rFonts w:ascii="Times New Roman" w:hAnsi="Times New Roman"/>
          <w:sz w:val="24"/>
        </w:rPr>
      </w:pPr>
      <w:r>
        <w:rPr>
          <w:rFonts w:ascii="Times New Roman" w:hAnsi="Times New Roman"/>
          <w:sz w:val="24"/>
        </w:rPr>
        <w:t>During the early years prior to crisis period, the financial industry deregulation was faced by US economy. These kinds of deregulations of the industry have encouraged banks and financial institutions of USA to get engaged in bigger and bigger gambles. For example, the banks and financial institutions of USA have started lending in riskier ways as compared to previous years. Due to this kind of behavior of the banks and financial institutions, the epic bubble was experienced in US economy (Frank, 2019). Th</w:t>
      </w:r>
      <w:r>
        <w:rPr>
          <w:rFonts w:ascii="Times New Roman" w:hAnsi="Times New Roman"/>
          <w:sz w:val="24"/>
        </w:rPr>
        <w:t>e housing sector bubble was faced in USA. This housing bubble has ultimately caused crashing of stock market of home and abroad as well as wrecking of banking industry. These incidents have caused the situation of worst global recessions.</w:t>
      </w:r>
    </w:p>
    <w:p w14:paraId="144ADE92"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This legislation was developed and passed by Congress. In addition to this, the law was signed by president of USA (i.e. Barak Obama) in July 2010. The full name of this legislation is the Dodd-Frank Wall Street Reform and Consumer Protection Act. This law aims at prevention of repeat of similar financial crisis in USA through stabilizing the financial system. This legislation emphasizes on wide range of financial industry activities or purpose of stabilizing the economy </w:t>
      </w:r>
      <w:r>
        <w:rPr>
          <w:rFonts w:ascii="Times New Roman" w:hAnsi="Times New Roman"/>
          <w:sz w:val="24"/>
        </w:rPr>
        <w:lastRenderedPageBreak/>
        <w:t>and financial system of USA (Spano, 2021). Provisions of this legislation establish regulatory bodies and impose various rules for effective monitoring and regulation of financial services industry. This law aims at protection of consumers from unethical business practices.</w:t>
      </w:r>
    </w:p>
    <w:p w14:paraId="17493486"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 xml:space="preserve">SEC Office of Credit </w:t>
      </w:r>
      <w:r>
        <w:rPr>
          <w:rFonts w:ascii="Times New Roman" w:hAnsi="Times New Roman"/>
          <w:b/>
          <w:i/>
          <w:sz w:val="24"/>
        </w:rPr>
        <w:t>Ratings (OCR):</w:t>
      </w:r>
    </w:p>
    <w:p w14:paraId="6E70B5F8"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The legislation of Dodd-Frank Act has </w:t>
      </w:r>
      <w:proofErr w:type="gramStart"/>
      <w:r>
        <w:rPr>
          <w:rFonts w:ascii="Times New Roman" w:hAnsi="Times New Roman"/>
          <w:sz w:val="24"/>
        </w:rPr>
        <w:t>emphasizes</w:t>
      </w:r>
      <w:proofErr w:type="gramEnd"/>
      <w:r>
        <w:rPr>
          <w:rFonts w:ascii="Times New Roman" w:hAnsi="Times New Roman"/>
          <w:sz w:val="24"/>
        </w:rPr>
        <w:t xml:space="preserve"> on creation of office of credit ratings at SEC. Main purpose of this agency is to monitor and evaluate activities of bond rating agencies such as Moody’s, Standard &amp; Poor’s, etc. Main role of these credit rating agencies is to provide information help to investors to evaluate the risks associated with purchase of bonds and other credit instruments. During the financial crisis of 2008, the credit rating agencies have played significant role in the incident of occurrence of financial crisis of 2008</w:t>
      </w:r>
      <w:r>
        <w:rPr>
          <w:rFonts w:ascii="Times New Roman" w:hAnsi="Times New Roman"/>
          <w:sz w:val="24"/>
        </w:rPr>
        <w:t>, as they provided best ratings to special financial products (Malewska, 2021). It is so because these financial products were highly risky debt instruments, but these were sold as safe investments. Main purpose behind establishment of OCR is to introduce rules for determination of credit rating of different financial instruments. OCR aims at protection of interest of public and users. It is mandatory for banks and financial institutions to maintain transparency and disclosure of the credit rating of differ</w:t>
      </w:r>
      <w:r>
        <w:rPr>
          <w:rFonts w:ascii="Times New Roman" w:hAnsi="Times New Roman"/>
          <w:sz w:val="24"/>
        </w:rPr>
        <w:t>ent financial and debt instruments. OCR has authority and powers to ask credit rating agencies to provide information about their methodology of credit rating and has right to withdraw registration of agencies with bad rating methodologies.</w:t>
      </w:r>
    </w:p>
    <w:p w14:paraId="7501DB42"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Federal Insurance Office (FIO):</w:t>
      </w:r>
    </w:p>
    <w:p w14:paraId="63457008"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In reality, the FIP exists and works under Treasury department of the United States of America. The FIO is responsible for monitoring of different aspects related to insurance sector. FIO is responsible for ensuring compliance of different insurance companies of the country with relevant legislations. In addition to this, the FIO is responsible for monitoring of way, in which </w:t>
      </w:r>
      <w:r>
        <w:rPr>
          <w:rFonts w:ascii="Times New Roman" w:hAnsi="Times New Roman"/>
          <w:sz w:val="24"/>
        </w:rPr>
        <w:lastRenderedPageBreak/>
        <w:t xml:space="preserve">underserved consumers and communities have access to affordable and accessible non-health insurance products (Frank, 2019). Apart from this, the FIO has responsibility of timely identification of symptoms and warnings signs within the insurance market that could be indicators of potential collapse of the financial markets. </w:t>
      </w:r>
      <w:proofErr w:type="gramStart"/>
      <w:r>
        <w:rPr>
          <w:rFonts w:ascii="Times New Roman" w:hAnsi="Times New Roman"/>
          <w:sz w:val="24"/>
        </w:rPr>
        <w:t>Moreover</w:t>
      </w:r>
      <w:proofErr w:type="gramEnd"/>
      <w:r>
        <w:rPr>
          <w:rFonts w:ascii="Times New Roman" w:hAnsi="Times New Roman"/>
          <w:sz w:val="24"/>
        </w:rPr>
        <w:t xml:space="preserve"> to this, the FIP performs role as a member of the FSOC. It only has the role of advisory level. It does not have any regulatory authority. This agency works closely with the NAIC</w:t>
      </w:r>
      <w:r>
        <w:rPr>
          <w:rFonts w:ascii="Times New Roman" w:hAnsi="Times New Roman"/>
          <w:sz w:val="24"/>
        </w:rPr>
        <w:t xml:space="preserve"> and provides suggestions over important international and national matters.</w:t>
      </w:r>
    </w:p>
    <w:p w14:paraId="79E7C2E3"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Seeks Hedge Funds for Registration with the SEC:</w:t>
      </w:r>
    </w:p>
    <w:p w14:paraId="4B2C7274" w14:textId="77777777" w:rsidR="002821A7" w:rsidRDefault="00D83D37">
      <w:pPr>
        <w:spacing w:after="0" w:line="480" w:lineRule="auto"/>
        <w:jc w:val="both"/>
        <w:rPr>
          <w:rFonts w:ascii="Times New Roman" w:hAnsi="Times New Roman"/>
          <w:sz w:val="24"/>
        </w:rPr>
      </w:pPr>
      <w:r>
        <w:rPr>
          <w:rFonts w:ascii="Times New Roman" w:hAnsi="Times New Roman"/>
          <w:sz w:val="24"/>
        </w:rPr>
        <w:t>Hedge fund was also identified as an important factor that drove the incident of 2008 financial crisis. In reality the Hedge fund was a complex and confusing trade in financial sector. The legislation of Dodd-Frank Act has required that all the hedge funds should be registered with the SEC (Malewska, 2021). The hedge funds should disclose information about portfolios and trades for ensuring that SEC is able to assess overall risk.</w:t>
      </w:r>
    </w:p>
    <w:p w14:paraId="032FACE1"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Strengthening the Sarbanes-Oxley Act:</w:t>
      </w:r>
    </w:p>
    <w:p w14:paraId="5707D3F5" w14:textId="77777777" w:rsidR="002821A7" w:rsidRDefault="00D83D37">
      <w:pPr>
        <w:spacing w:after="0" w:line="480" w:lineRule="auto"/>
        <w:jc w:val="both"/>
        <w:rPr>
          <w:rFonts w:ascii="Times New Roman" w:hAnsi="Times New Roman"/>
          <w:sz w:val="24"/>
        </w:rPr>
      </w:pPr>
      <w:r>
        <w:rPr>
          <w:rFonts w:ascii="Times New Roman" w:hAnsi="Times New Roman"/>
          <w:sz w:val="24"/>
        </w:rPr>
        <w:t>In reality, the Dodd-Frank Act has focused on strengthening of the Sarbanes-Oxley Act. In general, the Sarbanes-Oxley Act was designed and passed in 2002 with the purpose of minimizing risk of occurrence of corporate scandals across public limited companies like Enron. The legislation of the Sarbanes-Oxley Act has emphasized on reforming the corporate responsibility (Li, 2019). This legislation has made CEOs of the public limited companies personal responsible for accounting errors occurred in organizations</w:t>
      </w:r>
      <w:r>
        <w:rPr>
          <w:rFonts w:ascii="Times New Roman" w:hAnsi="Times New Roman"/>
          <w:sz w:val="24"/>
        </w:rPr>
        <w:t>. In addition to this, the Sarbanes-Oxley Act has provided protection to Whistleblowers in corporate world that provide information and news about incidents of bad behavior at workplace.</w:t>
      </w:r>
    </w:p>
    <w:p w14:paraId="625B3BE4" w14:textId="77777777" w:rsidR="002821A7" w:rsidRDefault="00D83D37">
      <w:pPr>
        <w:spacing w:after="0" w:line="480" w:lineRule="auto"/>
        <w:jc w:val="both"/>
        <w:rPr>
          <w:rFonts w:ascii="Times New Roman" w:hAnsi="Times New Roman"/>
          <w:sz w:val="24"/>
        </w:rPr>
      </w:pPr>
      <w:r>
        <w:rPr>
          <w:rFonts w:ascii="Times New Roman" w:hAnsi="Times New Roman"/>
          <w:sz w:val="24"/>
        </w:rPr>
        <w:lastRenderedPageBreak/>
        <w:t xml:space="preserve">The legislation of Dodd-Frank Act has </w:t>
      </w:r>
      <w:r>
        <w:rPr>
          <w:rFonts w:ascii="Times New Roman" w:hAnsi="Times New Roman"/>
          <w:sz w:val="24"/>
        </w:rPr>
        <w:t>focused on strengthening of several provisions of Sarbanes-Oxley Act. This law has developed a bounty program for whistleblowers in corporate world. According to this program, whistleblowers of different possible scandals or unethical corporate practices in corporate world would be entitled for 10-30% of the proceeds from successful litigation settlements (Malewska, 2021). This would be considered as inspiration for reporting of bad behavior in the company. This legislation has also extended statute of limi</w:t>
      </w:r>
      <w:r>
        <w:rPr>
          <w:rFonts w:ascii="Times New Roman" w:hAnsi="Times New Roman"/>
          <w:sz w:val="24"/>
        </w:rPr>
        <w:t>tation, in which a staff can submit a complaint in context of the employer from the 90 days to 180 days.</w:t>
      </w:r>
    </w:p>
    <w:p w14:paraId="61157B29"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Monitoring of Risky Derivatives:</w:t>
      </w:r>
    </w:p>
    <w:p w14:paraId="1022ABDD" w14:textId="77777777" w:rsidR="002821A7" w:rsidRDefault="00D83D37">
      <w:pPr>
        <w:spacing w:after="0" w:line="480" w:lineRule="auto"/>
        <w:jc w:val="both"/>
        <w:rPr>
          <w:rFonts w:ascii="Times New Roman" w:hAnsi="Times New Roman"/>
          <w:sz w:val="24"/>
        </w:rPr>
      </w:pPr>
      <w:r>
        <w:rPr>
          <w:rFonts w:ascii="Times New Roman" w:hAnsi="Times New Roman"/>
          <w:sz w:val="24"/>
        </w:rPr>
        <w:t>The legislation of Dodd-Frank Act has enabled SEC to effectively regulate the trading of derivatives. There is focus on ensuring effective regulation of trading of contracts between two parties in context of underlying financial assets or set of financial assets. Example of these trades involves interest rates, currencies, commodities, exchange of bonds, stocks, and the market indexes (SoRelle, 2023). The regulatory agencies have authority and power to identify risks associated with such trading practices a</w:t>
      </w:r>
      <w:r>
        <w:rPr>
          <w:rFonts w:ascii="Times New Roman" w:hAnsi="Times New Roman"/>
          <w:sz w:val="24"/>
        </w:rPr>
        <w:t>nd to take appropriate actions before occurrence of financial meltdown in the financial market or economy.</w:t>
      </w:r>
    </w:p>
    <w:p w14:paraId="1D27FA34"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The Volcker Rule:</w:t>
      </w:r>
    </w:p>
    <w:p w14:paraId="21B66A38" w14:textId="77777777" w:rsidR="002821A7" w:rsidRDefault="00D83D37">
      <w:pPr>
        <w:spacing w:after="0" w:line="480" w:lineRule="auto"/>
        <w:jc w:val="both"/>
        <w:rPr>
          <w:rFonts w:ascii="Times New Roman" w:hAnsi="Times New Roman"/>
          <w:sz w:val="24"/>
        </w:rPr>
      </w:pPr>
      <w:r>
        <w:rPr>
          <w:rFonts w:ascii="Times New Roman" w:hAnsi="Times New Roman"/>
          <w:sz w:val="24"/>
        </w:rPr>
        <w:t>Volcker rule plays an effective role to prevent banks and financial institutions from involvement in speculative trading practices. This rule prohibits the involvement of banks and financial institutions in proprietary trading. In simple words, it can be said that units of a bank or agents of a bank cannot sell or purchase derivatives, securities, commodity options, futures in the bank’s accounts. This kind of action became important because such practices were responsible to some extent for the incident of</w:t>
      </w:r>
      <w:r>
        <w:rPr>
          <w:rFonts w:ascii="Times New Roman" w:hAnsi="Times New Roman"/>
          <w:sz w:val="24"/>
        </w:rPr>
        <w:t xml:space="preserve"> financial crisis of 2008 (Li, 2019). For example, banks were found involved in practices of creating accounts and trading high risk derivatives like credit default </w:t>
      </w:r>
      <w:r>
        <w:rPr>
          <w:rFonts w:ascii="Times New Roman" w:hAnsi="Times New Roman"/>
          <w:sz w:val="24"/>
        </w:rPr>
        <w:lastRenderedPageBreak/>
        <w:t>swaps. Majority of these trading practices created huge liabilities and that lead to bankruptcy of financial institutions like AIG.</w:t>
      </w:r>
    </w:p>
    <w:p w14:paraId="6E15AB33"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According to the Volcker Rule, banks cannot use their own funds for purpose of making a profit from such trading practices. This rule asks banks to become boring, the way in which the business was in situation prior to get addicted of the trading profits. In according to this rule, the banks or financial institutions may trade, only if such trading is important for running of their business like the currency trading. </w:t>
      </w:r>
      <w:proofErr w:type="gramStart"/>
      <w:r>
        <w:rPr>
          <w:rFonts w:ascii="Times New Roman" w:hAnsi="Times New Roman"/>
          <w:sz w:val="24"/>
        </w:rPr>
        <w:t>Moreover</w:t>
      </w:r>
      <w:proofErr w:type="gramEnd"/>
      <w:r>
        <w:rPr>
          <w:rFonts w:ascii="Times New Roman" w:hAnsi="Times New Roman"/>
          <w:sz w:val="24"/>
        </w:rPr>
        <w:t xml:space="preserve"> to this, banks are also allowed to trade, if they are working on behalf of the client like as an agent, custodian or broker for the customer or client (Li, 2019). The Volcker rule has also prohibited banks or financial institutions from the sponsoring of private equity firms, hedge funds, or from investing in such investment practices.</w:t>
      </w:r>
    </w:p>
    <w:p w14:paraId="5055C0F5" w14:textId="77777777" w:rsidR="002821A7" w:rsidRDefault="00D83D37">
      <w:pPr>
        <w:spacing w:after="0" w:line="480" w:lineRule="auto"/>
        <w:jc w:val="both"/>
        <w:rPr>
          <w:rFonts w:ascii="Times New Roman" w:hAnsi="Times New Roman"/>
          <w:b/>
          <w:i/>
          <w:sz w:val="24"/>
        </w:rPr>
      </w:pPr>
      <w:r>
        <w:rPr>
          <w:rFonts w:ascii="Times New Roman" w:hAnsi="Times New Roman"/>
          <w:b/>
          <w:i/>
          <w:sz w:val="24"/>
        </w:rPr>
        <w:t>The Consumer Financial Protection Bureau:</w:t>
      </w:r>
    </w:p>
    <w:p w14:paraId="04D8538B"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One of the most notable and </w:t>
      </w:r>
      <w:proofErr w:type="gramStart"/>
      <w:r>
        <w:rPr>
          <w:rFonts w:ascii="Times New Roman" w:hAnsi="Times New Roman"/>
          <w:sz w:val="24"/>
        </w:rPr>
        <w:t>high profile</w:t>
      </w:r>
      <w:proofErr w:type="gramEnd"/>
      <w:r>
        <w:rPr>
          <w:rFonts w:ascii="Times New Roman" w:hAnsi="Times New Roman"/>
          <w:sz w:val="24"/>
        </w:rPr>
        <w:t xml:space="preserve"> regulatory bodies created by Dodd-Frank legislation is Consumer Financial Protection Bureau (CFPB). This regulatory agency was developed with the aim of protection of consumers from abusive and risky financial products. Proper authority and power </w:t>
      </w:r>
      <w:proofErr w:type="gramStart"/>
      <w:r>
        <w:rPr>
          <w:rFonts w:ascii="Times New Roman" w:hAnsi="Times New Roman"/>
          <w:sz w:val="24"/>
        </w:rPr>
        <w:t>is</w:t>
      </w:r>
      <w:proofErr w:type="gramEnd"/>
      <w:r>
        <w:rPr>
          <w:rFonts w:ascii="Times New Roman" w:hAnsi="Times New Roman"/>
          <w:sz w:val="24"/>
        </w:rPr>
        <w:t xml:space="preserve"> given to this organization for effective regulation of organizations that sell financial products in the market. CFPB also has authority to enforce legislations against the different kinds of discriminations against consumers in the field of financi</w:t>
      </w:r>
      <w:r>
        <w:rPr>
          <w:rFonts w:ascii="Times New Roman" w:hAnsi="Times New Roman"/>
          <w:sz w:val="24"/>
        </w:rPr>
        <w:t xml:space="preserve">al market. It is a true fact that financial industry of USA has experienced deregulation in recent decades, which has caused occurrence of financial crisis of 2008. Main reason behind occurrence of the crisis was that more and more financial products were designed and sold in financial market of USA with little regulations and oversight (SoRelle, 2023). The rules related to consumer loans, payday lenders, credit reporting agencies, student loan, banking fees, </w:t>
      </w:r>
      <w:proofErr w:type="spellStart"/>
      <w:r>
        <w:rPr>
          <w:rFonts w:ascii="Times New Roman" w:hAnsi="Times New Roman"/>
          <w:sz w:val="24"/>
        </w:rPr>
        <w:t>etc</w:t>
      </w:r>
      <w:proofErr w:type="spellEnd"/>
      <w:r>
        <w:rPr>
          <w:rFonts w:ascii="Times New Roman" w:hAnsi="Times New Roman"/>
          <w:sz w:val="24"/>
        </w:rPr>
        <w:t xml:space="preserve"> were poor. In addition to this, consumers we</w:t>
      </w:r>
      <w:r>
        <w:rPr>
          <w:rFonts w:ascii="Times New Roman" w:hAnsi="Times New Roman"/>
          <w:sz w:val="24"/>
        </w:rPr>
        <w:t xml:space="preserve">re sold expensive financial products. Consumers had lack of understanding of the </w:t>
      </w:r>
      <w:r>
        <w:rPr>
          <w:rFonts w:ascii="Times New Roman" w:hAnsi="Times New Roman"/>
          <w:sz w:val="24"/>
        </w:rPr>
        <w:lastRenderedPageBreak/>
        <w:t>risky financial products. These factors have also caused incident of financial crisis of 2008. CFPB has the power to impose fines over lenders, who act against its oversight and regulations. Consumes have right to make a complaint to the CFPB, if they face any issues related to the financial products.</w:t>
      </w:r>
    </w:p>
    <w:p w14:paraId="7A09BB7B" w14:textId="77777777" w:rsidR="002821A7" w:rsidRDefault="00D83D37">
      <w:pPr>
        <w:pStyle w:val="Heading1"/>
        <w:spacing w:before="0" w:line="480" w:lineRule="auto"/>
        <w:rPr>
          <w:rFonts w:ascii="Times New Roman" w:hAnsi="Times New Roman"/>
          <w:sz w:val="24"/>
        </w:rPr>
      </w:pPr>
      <w:bookmarkStart w:id="2" w:name="_Toc153209399"/>
      <w:r>
        <w:rPr>
          <w:rFonts w:ascii="Times New Roman" w:hAnsi="Times New Roman"/>
          <w:sz w:val="24"/>
        </w:rPr>
        <w:t>2: Laws, Contracts and Regulations of Other than US Regulatory Agencies</w:t>
      </w:r>
      <w:bookmarkEnd w:id="2"/>
    </w:p>
    <w:p w14:paraId="626A6288" w14:textId="77777777" w:rsidR="002821A7" w:rsidRDefault="00D83D37">
      <w:pPr>
        <w:spacing w:after="0" w:line="480" w:lineRule="auto"/>
        <w:jc w:val="both"/>
        <w:rPr>
          <w:rFonts w:ascii="Times New Roman" w:hAnsi="Times New Roman"/>
          <w:sz w:val="24"/>
        </w:rPr>
      </w:pPr>
      <w:r>
        <w:rPr>
          <w:rFonts w:ascii="Times New Roman" w:hAnsi="Times New Roman"/>
          <w:sz w:val="24"/>
        </w:rPr>
        <w:t>UK is the name of country, which is selected for identification and analysis of actions of regulatory agencies other than USA after the financial crisis of 2008. The UK government and regulatory authorities have introduced a ring-fencing regime after the incident of 2008 financial crisis. According to this regime, there is need of structural separation of certain investment banking activities from the retail banking activities. Main purpose behind the initiative of ring-fencing regime is to ensure that larg</w:t>
      </w:r>
      <w:r>
        <w:rPr>
          <w:rFonts w:ascii="Times New Roman" w:hAnsi="Times New Roman"/>
          <w:sz w:val="24"/>
        </w:rPr>
        <w:t xml:space="preserve">e retail banking organizations are less likely to fail. This regime also aims at ensuring that if the banks fail, </w:t>
      </w:r>
      <w:proofErr w:type="gramStart"/>
      <w:r>
        <w:rPr>
          <w:rFonts w:ascii="Times New Roman" w:hAnsi="Times New Roman"/>
          <w:sz w:val="24"/>
        </w:rPr>
        <w:t>than</w:t>
      </w:r>
      <w:proofErr w:type="gramEnd"/>
      <w:r>
        <w:rPr>
          <w:rFonts w:ascii="Times New Roman" w:hAnsi="Times New Roman"/>
          <w:sz w:val="24"/>
        </w:rPr>
        <w:t xml:space="preserve"> state support can directly be provided for saving the retail bank without any need for deployment of money of taxpayers for rescue of the investment bank within the larger group. This regime was set-out in FSMA, PRA rulebook, and certain legislations (GLI, 2023). In reality, the ring-fencing regime is applicable over all UK-incorporated banks with minimum core deposit of 25 million GBP. Thi</w:t>
      </w:r>
      <w:r>
        <w:rPr>
          <w:rFonts w:ascii="Times New Roman" w:hAnsi="Times New Roman"/>
          <w:sz w:val="24"/>
        </w:rPr>
        <w:t xml:space="preserve">s deposit involves the deposits from small corporate clients and the retail clients. The </w:t>
      </w:r>
      <w:proofErr w:type="gramStart"/>
      <w:r>
        <w:rPr>
          <w:rFonts w:ascii="Times New Roman" w:hAnsi="Times New Roman"/>
          <w:sz w:val="24"/>
        </w:rPr>
        <w:t>ring fenced</w:t>
      </w:r>
      <w:proofErr w:type="gramEnd"/>
      <w:r>
        <w:rPr>
          <w:rFonts w:ascii="Times New Roman" w:hAnsi="Times New Roman"/>
          <w:sz w:val="24"/>
        </w:rPr>
        <w:t xml:space="preserve"> banks have certain prohibitions over dealings in investment products like investment funds, derivatives, and securities as a principal.</w:t>
      </w:r>
    </w:p>
    <w:p w14:paraId="2652D732"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The regulatory authorities of United Kingdom have mandated minimum ratio of capital to total assets. The total assets of banks and financial institutions are weighted according to level of risk. Common equity capital of banks should be at least 4.5% of the total risk weighted assets. The UK banks have to meet requirement of at least 3% leverage ratio. The regulatory bodies of UK </w:t>
      </w:r>
      <w:r>
        <w:rPr>
          <w:rFonts w:ascii="Times New Roman" w:hAnsi="Times New Roman"/>
          <w:sz w:val="24"/>
        </w:rPr>
        <w:lastRenderedPageBreak/>
        <w:t>have emphasized on separation of investment banking from the retail banking. There are various types of ways of minimizing the risk of occurrence of similar financial risk in the future in UK banking and finance sector such as use of regulatory requirement constraints, separation of retail banking and investment banking, restriction over high risk financial and lending products, etc. There should also be restrictions over banking and financial organizations to act as primary dealer for any EU member state g</w:t>
      </w:r>
      <w:r>
        <w:rPr>
          <w:rFonts w:ascii="Times New Roman" w:hAnsi="Times New Roman"/>
          <w:sz w:val="24"/>
        </w:rPr>
        <w:t>overnment debt issuance. Restrictions are also imposed over banks of UK offering the direct electronic access to the trading venues of EU.</w:t>
      </w:r>
    </w:p>
    <w:p w14:paraId="53166032" w14:textId="77777777" w:rsidR="002821A7" w:rsidRDefault="00D83D37">
      <w:pPr>
        <w:spacing w:after="0" w:line="480" w:lineRule="auto"/>
        <w:jc w:val="both"/>
        <w:rPr>
          <w:rFonts w:ascii="Times New Roman" w:hAnsi="Times New Roman"/>
          <w:sz w:val="24"/>
        </w:rPr>
      </w:pPr>
      <w:r>
        <w:rPr>
          <w:rFonts w:ascii="Times New Roman" w:hAnsi="Times New Roman"/>
          <w:sz w:val="24"/>
        </w:rPr>
        <w:t>There is also focus on tightening of capital standards for the banking and financial organizations. Main purpose behind this initiative is to ensure that banks and financial organizations are resilient enough to incidents of modest changes in the value of their assets. This situation is often experienced during economic downturn in the country. The government of UK has also focused on development of new regulatory body, which is known as The Financial Conduct Authority. This authority has duty of monitoring</w:t>
      </w:r>
      <w:r>
        <w:rPr>
          <w:rFonts w:ascii="Times New Roman" w:hAnsi="Times New Roman"/>
          <w:sz w:val="24"/>
        </w:rPr>
        <w:t xml:space="preserve"> of the conduct of banks or financial organizations as well as individuals working in them. This authority has also enhanced the individual accountability of senior managers and directors of banks for excessive risk taking and short-termism. Prudential Regulation Authority was created in UK in 2013. It is also an important arm of the Bank of England (Parliament UK, 2023). This authority has responsibility to ensure that all the banks and financial institutions have living wills to support the regulatory aut</w:t>
      </w:r>
      <w:r>
        <w:rPr>
          <w:rFonts w:ascii="Times New Roman" w:hAnsi="Times New Roman"/>
          <w:sz w:val="24"/>
        </w:rPr>
        <w:t>horities of country to wind them down in predictable and quick manner in the situation of failure. The new financial policy committee has power and responsibility for making sure that financial system of UK is stable. The committee has used this kind of power at the time of October 2014, when housing prices were feared to increase significantly.</w:t>
      </w:r>
    </w:p>
    <w:p w14:paraId="1C753F80" w14:textId="77777777" w:rsidR="002821A7" w:rsidRDefault="00D83D37">
      <w:pPr>
        <w:spacing w:after="0" w:line="480" w:lineRule="auto"/>
        <w:jc w:val="both"/>
        <w:rPr>
          <w:rFonts w:ascii="Times New Roman" w:hAnsi="Times New Roman"/>
          <w:sz w:val="24"/>
        </w:rPr>
      </w:pPr>
      <w:r>
        <w:rPr>
          <w:rFonts w:ascii="Times New Roman" w:hAnsi="Times New Roman"/>
          <w:sz w:val="24"/>
        </w:rPr>
        <w:lastRenderedPageBreak/>
        <w:t>The UK Government has emphasized on introducing reforms in the regulatory environment for purpose of minimizing the risk of recurrence of financial crisis in future. Main purpose of the financial reforms in country is to minimize risk of bank failures and the impacts of such failures over economy and financial system at large. The UK government has focused on reforming the regulation of the financial system. In this regard, the government has focused on creation of FPC (i.e. financial policy committee). Pri</w:t>
      </w:r>
      <w:r>
        <w:rPr>
          <w:rFonts w:ascii="Times New Roman" w:hAnsi="Times New Roman"/>
          <w:sz w:val="24"/>
        </w:rPr>
        <w:t xml:space="preserve">mary responsibility of the FPC is to timely identify, monitor, and mitigate risks that are exposed to financial stability in the economy. The FPC has also emphasized on ensuring that holistic approach has been used by different regulators for safeguarding the financial stability in economy (Buckle and Thompson, 2020). The banks of United Kingdom have focused on build-up of capital resources since the incident of financial crisis of 2008. The risk-weighted capital ratio of banks has become doubled since the </w:t>
      </w:r>
      <w:r>
        <w:rPr>
          <w:rFonts w:ascii="Times New Roman" w:hAnsi="Times New Roman"/>
          <w:sz w:val="24"/>
        </w:rPr>
        <w:t>incident of financial crisis of 2008 n United Kingdom. However, this level is in line with the level considered by FPC as suitable in context of potential losses for the UK banking system.</w:t>
      </w:r>
    </w:p>
    <w:p w14:paraId="5911C31A"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In reality, the annual stress test of banks and financial institutions is conducted by Bank of England across UK. Main purpose of this stress test is to ensure that banks and financial institutions are capable of surviving during several financial stresses in the economy.  Judgment was provided by FPC in 2016 that banking system of UK is appropriate. It was outlined by the FPC that banking system of country is aggregately capitalized for effectively supporting the economy in broad, severe, and synchronized </w:t>
      </w:r>
      <w:r>
        <w:rPr>
          <w:rFonts w:ascii="Times New Roman" w:hAnsi="Times New Roman"/>
          <w:sz w:val="24"/>
        </w:rPr>
        <w:t xml:space="preserve">stress scenarios. Example of such financial stress scenarios involves an independent stress of misconduct cost, global recession caused due to shock to financial markets, and/ or recession within the domestic economy of UK (SoRelle, 2023). In simple words, it may be said that central bank and regulatory authorities of UK have used approach of exploratory scenario for purpose of investigating the resilience of financial </w:t>
      </w:r>
      <w:r>
        <w:rPr>
          <w:rFonts w:ascii="Times New Roman" w:hAnsi="Times New Roman"/>
          <w:sz w:val="24"/>
        </w:rPr>
        <w:lastRenderedPageBreak/>
        <w:t xml:space="preserve">system of country to different types of risks. This kind of scenario may not be directly </w:t>
      </w:r>
      <w:r>
        <w:rPr>
          <w:rFonts w:ascii="Times New Roman" w:hAnsi="Times New Roman"/>
          <w:sz w:val="24"/>
        </w:rPr>
        <w:t>linked with the financial cycles of economy.</w:t>
      </w:r>
    </w:p>
    <w:p w14:paraId="19769FBA"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Main purpose of UK government of UK behind regulatory reforms is to ensure that in the event of failure of banks, the situation can be effectively managed for protection of wider financial sector and the economy. The regulatory authorities </w:t>
      </w:r>
      <w:proofErr w:type="gramStart"/>
      <w:r>
        <w:rPr>
          <w:rFonts w:ascii="Times New Roman" w:hAnsi="Times New Roman"/>
          <w:sz w:val="24"/>
        </w:rPr>
        <w:t>emphasizes</w:t>
      </w:r>
      <w:proofErr w:type="gramEnd"/>
      <w:r>
        <w:rPr>
          <w:rFonts w:ascii="Times New Roman" w:hAnsi="Times New Roman"/>
          <w:sz w:val="24"/>
        </w:rPr>
        <w:t xml:space="preserve"> on taking appropriate actions in timely manner in event of failure of a bank or financial institution in a manner, that further fall of the organization can be prevented (Hood and Piotrowska, 2023). This way, the organization can be saves from going through process of disorderly insolvency.</w:t>
      </w:r>
    </w:p>
    <w:p w14:paraId="76DA6FE5" w14:textId="77777777" w:rsidR="002821A7" w:rsidRDefault="00D83D37">
      <w:pPr>
        <w:spacing w:after="0" w:line="480" w:lineRule="auto"/>
        <w:jc w:val="both"/>
        <w:rPr>
          <w:rFonts w:ascii="Times New Roman" w:hAnsi="Times New Roman"/>
          <w:sz w:val="24"/>
        </w:rPr>
      </w:pPr>
      <w:r>
        <w:rPr>
          <w:rFonts w:ascii="Times New Roman" w:hAnsi="Times New Roman"/>
          <w:sz w:val="24"/>
        </w:rPr>
        <w:t>The government and regulatory authorities of United Kingdom have designed and passed the Financial Services (Banking Reform) Act 2013 as an initiative to safeguard the economy from risk of financial crisis in the future. Main purpose of this legislation is to require the large banks and financial organizations of UK to separate the investment banking practices from core retail banking practices by year 2019. This reform is also called as the ring fencing. This legislation has enabled the resolution authorit</w:t>
      </w:r>
      <w:r>
        <w:rPr>
          <w:rFonts w:ascii="Times New Roman" w:hAnsi="Times New Roman"/>
          <w:sz w:val="24"/>
        </w:rPr>
        <w:t>ies of country to resolve the investment banking and retail banking activities separately, if needed (OBR UK, 2023). These reforms have also focused on ensuring that the treatment of retail banking services of the banks can be undertaken separately from the large balance sheets supporting the investment banking activities.</w:t>
      </w:r>
    </w:p>
    <w:p w14:paraId="35038F6A" w14:textId="77777777" w:rsidR="002821A7" w:rsidRDefault="00D83D37">
      <w:pPr>
        <w:spacing w:after="0" w:line="480" w:lineRule="auto"/>
        <w:jc w:val="both"/>
        <w:rPr>
          <w:rFonts w:ascii="Times New Roman" w:hAnsi="Times New Roman"/>
          <w:sz w:val="24"/>
        </w:rPr>
      </w:pPr>
      <w:r>
        <w:rPr>
          <w:rFonts w:ascii="Times New Roman" w:hAnsi="Times New Roman"/>
          <w:sz w:val="24"/>
        </w:rPr>
        <w:t>Example of another important initiative of the government and regulatory authorities of UK after event of 2008 financial crisis is implementation of comprehensive bank resolution regime. This special resolution regime of United Kingdom has been designed for effectively managing the failure of organizations in financial industry of country. For example, proper authority and power has been provided to Bank of England to ‘bail-in’ the creditors and shareholders of the failed banks. In reality, the tool of ‘bai</w:t>
      </w:r>
      <w:r>
        <w:rPr>
          <w:rFonts w:ascii="Times New Roman" w:hAnsi="Times New Roman"/>
          <w:sz w:val="24"/>
        </w:rPr>
        <w:t xml:space="preserve">l-in’ is used by central bank of country for purpose of </w:t>
      </w:r>
      <w:r>
        <w:rPr>
          <w:rFonts w:ascii="Times New Roman" w:hAnsi="Times New Roman"/>
          <w:sz w:val="24"/>
        </w:rPr>
        <w:lastRenderedPageBreak/>
        <w:t>recapitalizing the organization through usage of company’s own resources and absorbing the losses of failed bank or financial organization (OBR UK, 2023). In the recent time periods, the banks of United Kingdom have issued large quantity of loss absorbing debt instruments, which are appropriate for this purpose.</w:t>
      </w:r>
    </w:p>
    <w:p w14:paraId="64A1ACA6"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The regulatory authorities of United Kingdom have also communicated that the wake of or response to financial crisis of 2008 would not apply to the retail focused banks. It was confirmed by the government of UK rules related to accountability of </w:t>
      </w:r>
      <w:proofErr w:type="gramStart"/>
      <w:r>
        <w:rPr>
          <w:rFonts w:ascii="Times New Roman" w:hAnsi="Times New Roman"/>
          <w:sz w:val="24"/>
        </w:rPr>
        <w:t>high level</w:t>
      </w:r>
      <w:proofErr w:type="gramEnd"/>
      <w:r>
        <w:rPr>
          <w:rFonts w:ascii="Times New Roman" w:hAnsi="Times New Roman"/>
          <w:sz w:val="24"/>
        </w:rPr>
        <w:t xml:space="preserve"> financial executives of banks will be reviewed. The government of UK has introduced a senior manager regime for the banking firms in 2016. According to this reform, the individuals like senior managers and senior financial executives may face penalties for their poor decision making, poor, work culture, and poor conduct at the workplace (CNBC, 2023). This change has been announced by the government authorities in Edinburgh Reforms. This document has also communicated information about reforms and</w:t>
      </w:r>
      <w:r>
        <w:rPr>
          <w:rFonts w:ascii="Times New Roman" w:hAnsi="Times New Roman"/>
          <w:sz w:val="24"/>
        </w:rPr>
        <w:t xml:space="preserve"> review of rules related to listing on stock exchange, rules related to short selling, real estate investment trusts, and insurer’s balance sheets.</w:t>
      </w:r>
    </w:p>
    <w:p w14:paraId="29693FA9" w14:textId="77777777" w:rsidR="002821A7" w:rsidRDefault="00D83D37">
      <w:pPr>
        <w:spacing w:after="0" w:line="480" w:lineRule="auto"/>
        <w:jc w:val="both"/>
        <w:rPr>
          <w:rFonts w:ascii="Times New Roman" w:hAnsi="Times New Roman"/>
          <w:sz w:val="24"/>
        </w:rPr>
      </w:pPr>
      <w:r>
        <w:rPr>
          <w:rFonts w:ascii="Times New Roman" w:hAnsi="Times New Roman"/>
          <w:sz w:val="24"/>
        </w:rPr>
        <w:t>Jeremy Haunt is the name of finance minister of United Kingdom. He expressed his opinion and intention that status of UK should be recognized as one of the most dynamic, open, and competitive financial service hubs at global level. The government authorities have focused on eliminating the bottlenecks of existing legislations governing the banking and finance sector of UK. Government authorities of UK have also focused on introducing reforms in a manner to capitalize the freedoms offered by the Brexit. Main</w:t>
      </w:r>
      <w:r>
        <w:rPr>
          <w:rFonts w:ascii="Times New Roman" w:hAnsi="Times New Roman"/>
          <w:sz w:val="24"/>
        </w:rPr>
        <w:t xml:space="preserve"> focus of the regulatory authorities is on achievement of sustainable economic performance in country. The cap on banker’s bonuses was also removed by UK authorities. The government and regulatory authorities of UK have focused on creation of stable financial system in the country (CNBC, 2023). </w:t>
      </w:r>
      <w:proofErr w:type="gramStart"/>
      <w:r>
        <w:rPr>
          <w:rFonts w:ascii="Times New Roman" w:hAnsi="Times New Roman"/>
          <w:sz w:val="24"/>
        </w:rPr>
        <w:t>Moreover</w:t>
      </w:r>
      <w:proofErr w:type="gramEnd"/>
      <w:r>
        <w:rPr>
          <w:rFonts w:ascii="Times New Roman" w:hAnsi="Times New Roman"/>
          <w:sz w:val="24"/>
        </w:rPr>
        <w:t xml:space="preserve"> to this, the </w:t>
      </w:r>
      <w:r>
        <w:rPr>
          <w:rFonts w:ascii="Times New Roman" w:hAnsi="Times New Roman"/>
          <w:sz w:val="24"/>
        </w:rPr>
        <w:lastRenderedPageBreak/>
        <w:t>government has focused on introducing regulatory reforms for purpose of enhancing competitiveness of the UK financial service sector. There is focus on making the regulations of banking and fina</w:t>
      </w:r>
      <w:r>
        <w:rPr>
          <w:rFonts w:ascii="Times New Roman" w:hAnsi="Times New Roman"/>
          <w:sz w:val="24"/>
        </w:rPr>
        <w:t>ncial industry more efficient for achieving greater financial stability in the country. Long-term growth of the financial service sector of a country is possible only through effective regulations for regulating the industry and its market players.</w:t>
      </w:r>
    </w:p>
    <w:p w14:paraId="45BC0AB0" w14:textId="77777777" w:rsidR="002821A7" w:rsidRDefault="00D83D37">
      <w:pPr>
        <w:pStyle w:val="Heading1"/>
        <w:spacing w:before="0" w:line="480" w:lineRule="auto"/>
        <w:rPr>
          <w:rFonts w:ascii="Times New Roman" w:hAnsi="Times New Roman"/>
          <w:sz w:val="24"/>
        </w:rPr>
      </w:pPr>
      <w:bookmarkStart w:id="3" w:name="_Toc153209400"/>
      <w:r>
        <w:rPr>
          <w:rFonts w:ascii="Times New Roman" w:hAnsi="Times New Roman"/>
          <w:sz w:val="24"/>
        </w:rPr>
        <w:t>3: Effectiveness of Different Reforms to Stabilize the Financial System</w:t>
      </w:r>
      <w:bookmarkEnd w:id="3"/>
    </w:p>
    <w:p w14:paraId="59F2E90A"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In reality, the reforms and actions taken by both US regulatory authorities and UK regulatory authorities are effective for enhancing stability of the financial system of resistive economies. The government of United Kingdom has </w:t>
      </w:r>
      <w:proofErr w:type="spellStart"/>
      <w:r>
        <w:rPr>
          <w:rFonts w:ascii="Times New Roman" w:hAnsi="Times New Roman"/>
          <w:sz w:val="24"/>
        </w:rPr>
        <w:t>takes</w:t>
      </w:r>
      <w:proofErr w:type="spellEnd"/>
      <w:r>
        <w:rPr>
          <w:rFonts w:ascii="Times New Roman" w:hAnsi="Times New Roman"/>
          <w:sz w:val="24"/>
        </w:rPr>
        <w:t xml:space="preserve"> various types of actions for purpose of stabilizing the financial system. Nationalization of banks is also a part of such initiatives. For example, various banks of the county have been nationalized after the financial crisis of 2008 for enhancing stability of the financial system. Example of these banks includes Lloyds Banking Group and Royal Bank of Scotland (RBS) (Buckle and Thompson, 2020). Main purpose behind initiative of nationalization of banks is to ensure that these banks have sufficient cap</w:t>
      </w:r>
      <w:r>
        <w:rPr>
          <w:rFonts w:ascii="Times New Roman" w:hAnsi="Times New Roman"/>
          <w:sz w:val="24"/>
        </w:rPr>
        <w:t xml:space="preserve">ital to consistently run their lending operations to the households and businesses. In reality, the initiative of nationalization of banks was </w:t>
      </w:r>
      <w:proofErr w:type="spellStart"/>
      <w:r>
        <w:rPr>
          <w:rFonts w:ascii="Times New Roman" w:hAnsi="Times New Roman"/>
          <w:sz w:val="24"/>
        </w:rPr>
        <w:t>take</w:t>
      </w:r>
      <w:proofErr w:type="spellEnd"/>
      <w:r>
        <w:rPr>
          <w:rFonts w:ascii="Times New Roman" w:hAnsi="Times New Roman"/>
          <w:sz w:val="24"/>
        </w:rPr>
        <w:t xml:space="preserve"> by government authorities of both UK and USA.</w:t>
      </w:r>
    </w:p>
    <w:p w14:paraId="56E2FC13"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In reality, the government of UK has taken multiple initiatives for enhancing the stability </w:t>
      </w:r>
      <w:proofErr w:type="spellStart"/>
      <w:r>
        <w:rPr>
          <w:rFonts w:ascii="Times New Roman" w:hAnsi="Times New Roman"/>
          <w:sz w:val="24"/>
        </w:rPr>
        <w:t>f</w:t>
      </w:r>
      <w:proofErr w:type="spellEnd"/>
      <w:r>
        <w:rPr>
          <w:rFonts w:ascii="Times New Roman" w:hAnsi="Times New Roman"/>
          <w:sz w:val="24"/>
        </w:rPr>
        <w:t xml:space="preserve"> its financial system in economy. An important positive support introduced by government was the deposit protection scheme. Under this scheme, the money of saver or depositor is insured up to certain extent. Main purpose behind such protection is to ensure protection of businesses and households in the situation of failure of one or more banks in the country. Government of UK has also started providing guarantee to banking and financial organizations for offering loan to small and medium enterprises (Hood </w:t>
      </w:r>
      <w:r>
        <w:rPr>
          <w:rFonts w:ascii="Times New Roman" w:hAnsi="Times New Roman"/>
          <w:sz w:val="24"/>
        </w:rPr>
        <w:t xml:space="preserve">and Piotrowska, 2023). This scheme is called as the </w:t>
      </w:r>
      <w:r>
        <w:rPr>
          <w:rFonts w:ascii="Times New Roman" w:hAnsi="Times New Roman"/>
          <w:sz w:val="24"/>
        </w:rPr>
        <w:lastRenderedPageBreak/>
        <w:t>enterprise finance guarantee scheme. In addition to this, Financial Services Act of 2012 is also an important reform, which was undertaken by UK government. Under this reform, the government has focused on enhancing oversight and transparency of financial industry as well as to strengthening consumer protections.</w:t>
      </w:r>
    </w:p>
    <w:p w14:paraId="5CED3DC4"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The legislation of Dodd-Frank Act has mandated the close monitoring of the largest financial and banking institutions including the large insurance companies in USA by the Federal Reserve. This legislation has required annual stress test of different banking and financial organizations in country for ensuring that banks and financial institutions are well prepared for any incidents of financial crisis or recession in the future. The stress test is conducted for different kinds of hypothetical scenarios for </w:t>
      </w:r>
      <w:r>
        <w:rPr>
          <w:rFonts w:ascii="Times New Roman" w:hAnsi="Times New Roman"/>
          <w:sz w:val="24"/>
        </w:rPr>
        <w:t>evaluation of influence of different types of possible financial shocks very stability of the organizations (</w:t>
      </w:r>
      <w:proofErr w:type="spellStart"/>
      <w:r>
        <w:rPr>
          <w:rFonts w:ascii="Times New Roman" w:hAnsi="Times New Roman"/>
          <w:sz w:val="24"/>
        </w:rPr>
        <w:t>Saguato</w:t>
      </w:r>
      <w:proofErr w:type="spellEnd"/>
      <w:r>
        <w:rPr>
          <w:rFonts w:ascii="Times New Roman" w:hAnsi="Times New Roman"/>
          <w:sz w:val="24"/>
        </w:rPr>
        <w:t xml:space="preserve">, 2021). During these kinds of tests, if the organization has found having lack of capital for different financial scenario, than Federal Reserve may take decisions related to putting a cap on dividends or suspending decision related to buyback of shares. Main purpose behind such actions is to ensure that banks and financial institutions are strong enough to survive in hard economic times and </w:t>
      </w:r>
      <w:r>
        <w:rPr>
          <w:rFonts w:ascii="Times New Roman" w:hAnsi="Times New Roman"/>
          <w:sz w:val="24"/>
        </w:rPr>
        <w:t>to lend to the struggling businesses.</w:t>
      </w:r>
    </w:p>
    <w:p w14:paraId="14677261"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Main purpose behind development of FSOC is to ensure that banks and other financial organizations do not become “too big to fail”. This kind of decision becomes important due to past experience of incidents of the financial crisis during 2008. For example, the banks and financial organizations during the crisis were too large and essential for functioning of the financial system of country. Due to this reason, the government of USA was forced to save these banks or financial institutions from their own bad </w:t>
      </w:r>
      <w:r>
        <w:rPr>
          <w:rFonts w:ascii="Times New Roman" w:hAnsi="Times New Roman"/>
          <w:sz w:val="24"/>
        </w:rPr>
        <w:t xml:space="preserve">decisions. In reality, the FSOC has been provided tools by the Dodd-Frank Act for prevention of organizations from becoming too large </w:t>
      </w:r>
      <w:r>
        <w:rPr>
          <w:rFonts w:ascii="Times New Roman" w:hAnsi="Times New Roman"/>
          <w:sz w:val="24"/>
        </w:rPr>
        <w:lastRenderedPageBreak/>
        <w:t>and essential to the economy. This council (i.e. FSOC) is composed of Federal Reserve Officials and the Treasury Department officials (</w:t>
      </w:r>
      <w:proofErr w:type="spellStart"/>
      <w:r>
        <w:rPr>
          <w:rFonts w:ascii="Times New Roman" w:hAnsi="Times New Roman"/>
          <w:sz w:val="24"/>
        </w:rPr>
        <w:t>Saguato</w:t>
      </w:r>
      <w:proofErr w:type="spellEnd"/>
      <w:r>
        <w:rPr>
          <w:rFonts w:ascii="Times New Roman" w:hAnsi="Times New Roman"/>
          <w:sz w:val="24"/>
        </w:rPr>
        <w:t>, 2021). Valuable advice is also provided to this council by academics and the industry experts. This council has responsibility to identify and evaluate risks exposed to financial stability of the economy and to take appropriate action</w:t>
      </w:r>
      <w:r>
        <w:rPr>
          <w:rFonts w:ascii="Times New Roman" w:hAnsi="Times New Roman"/>
          <w:sz w:val="24"/>
        </w:rPr>
        <w:t xml:space="preserve">s. This council has power to impose regulatory restrictions </w:t>
      </w:r>
      <w:proofErr w:type="spellStart"/>
      <w:r>
        <w:rPr>
          <w:rFonts w:ascii="Times New Roman" w:hAnsi="Times New Roman"/>
          <w:sz w:val="24"/>
        </w:rPr>
        <w:t>o</w:t>
      </w:r>
      <w:proofErr w:type="spellEnd"/>
      <w:r>
        <w:rPr>
          <w:rFonts w:ascii="Times New Roman" w:hAnsi="Times New Roman"/>
          <w:sz w:val="24"/>
        </w:rPr>
        <w:t xml:space="preserve"> the companies that are found posing major risk to the economy.</w:t>
      </w:r>
    </w:p>
    <w:p w14:paraId="5F9BB579" w14:textId="77777777" w:rsidR="002821A7" w:rsidRDefault="00D83D37">
      <w:pPr>
        <w:pStyle w:val="Heading1"/>
        <w:spacing w:before="0" w:line="480" w:lineRule="auto"/>
        <w:rPr>
          <w:rFonts w:ascii="Times New Roman" w:hAnsi="Times New Roman"/>
          <w:sz w:val="24"/>
        </w:rPr>
      </w:pPr>
      <w:bookmarkStart w:id="4" w:name="_Toc153209401"/>
      <w:r>
        <w:rPr>
          <w:rFonts w:ascii="Times New Roman" w:hAnsi="Times New Roman"/>
          <w:sz w:val="24"/>
        </w:rPr>
        <w:t>4: Impact of the Identified Reforms on Selected Company (i.e. Citigroup)</w:t>
      </w:r>
      <w:bookmarkEnd w:id="4"/>
    </w:p>
    <w:p w14:paraId="738DD2AC" w14:textId="77777777" w:rsidR="002821A7" w:rsidRDefault="00D83D37">
      <w:pPr>
        <w:spacing w:after="0" w:line="480" w:lineRule="auto"/>
        <w:jc w:val="both"/>
        <w:rPr>
          <w:rFonts w:ascii="Times New Roman" w:hAnsi="Times New Roman"/>
          <w:sz w:val="24"/>
        </w:rPr>
      </w:pPr>
      <w:r>
        <w:rPr>
          <w:rFonts w:ascii="Times New Roman" w:hAnsi="Times New Roman"/>
          <w:sz w:val="24"/>
        </w:rPr>
        <w:t>Citigroup is the name of public listed company, which is selected from banking and finance sector of USA for development of this section. The regulatory reforms of United States of America, which were taken after financial crisis of 2008, have significantly affected the Citigroup Bank. Nationalization of banks is an important reform of the government of USA. The nationalization of Citigroup was performed by Government of USA in July 2009. Total bailout package of $45 billion was invested by US government fo</w:t>
      </w:r>
      <w:r>
        <w:rPr>
          <w:rFonts w:ascii="Times New Roman" w:hAnsi="Times New Roman"/>
          <w:sz w:val="24"/>
        </w:rPr>
        <w:t>r the nationalization of Citigroup Inc. It was confirmed by the US government (i.e. The Treasury) that it has sold out 2.4 billion Citigroup shares to the private investors. The price of this issue was quoted as $4.35 per share. By use of this process, an amount of $10.5 billion was raised by the government (LA Times, 2023). After the crashing of financial system of country, the government injects amount of $25 billion at initial stage in late 2008. After a time period of 3 months, an additional amount of $</w:t>
      </w:r>
      <w:r>
        <w:rPr>
          <w:rFonts w:ascii="Times New Roman" w:hAnsi="Times New Roman"/>
          <w:sz w:val="24"/>
        </w:rPr>
        <w:t xml:space="preserve">20 billon was injected by the government due to worsening condition of the bank. This bank had faced massive losses due to mortgages and other loans. The Citigroup has </w:t>
      </w:r>
      <w:proofErr w:type="gramStart"/>
      <w:r>
        <w:rPr>
          <w:rFonts w:ascii="Times New Roman" w:hAnsi="Times New Roman"/>
          <w:sz w:val="24"/>
        </w:rPr>
        <w:t>make</w:t>
      </w:r>
      <w:proofErr w:type="gramEnd"/>
      <w:r>
        <w:rPr>
          <w:rFonts w:ascii="Times New Roman" w:hAnsi="Times New Roman"/>
          <w:sz w:val="24"/>
        </w:rPr>
        <w:t xml:space="preserve"> repayment of bailout package of $20 billion in the month of December, 2009. At the same time remaining stake of preference shares was converted by the bank into common shares into 7.7 billion equity shares. Price of these shares was $3.25 per share.</w:t>
      </w:r>
    </w:p>
    <w:p w14:paraId="22D80A05" w14:textId="77777777" w:rsidR="002821A7" w:rsidRDefault="00D83D37">
      <w:pPr>
        <w:spacing w:after="0" w:line="480" w:lineRule="auto"/>
        <w:jc w:val="both"/>
        <w:rPr>
          <w:rFonts w:ascii="Times New Roman" w:hAnsi="Times New Roman"/>
          <w:sz w:val="24"/>
        </w:rPr>
      </w:pPr>
      <w:r>
        <w:rPr>
          <w:rFonts w:ascii="Times New Roman" w:hAnsi="Times New Roman"/>
          <w:sz w:val="24"/>
        </w:rPr>
        <w:lastRenderedPageBreak/>
        <w:t>The resolution plan of Citigroup was seriously very weak as identified and reported by regulatory authorities. The regulatory authorities of USA have imposed fine of $400 million on the Citigroup. It is so because the issue of misstatement was identified in financial disclosure of Citigroup. It has misstated the value of its subprime mortgage assets by $40 billion. The class action was taken by shareholders against the Citigroup claiming securities fraud against the company. The authorities of Citigroup hav</w:t>
      </w:r>
      <w:r>
        <w:rPr>
          <w:rFonts w:ascii="Times New Roman" w:hAnsi="Times New Roman"/>
          <w:sz w:val="24"/>
        </w:rPr>
        <w:t>e agreed to pay total fine of $7 billion as the civil fraud penalty (</w:t>
      </w:r>
      <w:proofErr w:type="spellStart"/>
      <w:r>
        <w:rPr>
          <w:rFonts w:ascii="Times New Roman" w:hAnsi="Times New Roman"/>
          <w:sz w:val="24"/>
        </w:rPr>
        <w:t>Rueters</w:t>
      </w:r>
      <w:proofErr w:type="spellEnd"/>
      <w:r>
        <w:rPr>
          <w:rFonts w:ascii="Times New Roman" w:hAnsi="Times New Roman"/>
          <w:sz w:val="24"/>
        </w:rPr>
        <w:t>, 2023). This is a largest civil fraud penalty, which was ever taken by the US Justice Department. This decision has been arrived in the case after passing of time period of six years of the occurrence of the financial crisis. According to the agreement signed with bank, the Citigroup will make payment of the fine of $4.5 billion in cash. At the same time, remaining amount of fine (i.e. $2.5 billion) will be provided by Citigroup as</w:t>
      </w:r>
      <w:r>
        <w:rPr>
          <w:rFonts w:ascii="Times New Roman" w:hAnsi="Times New Roman"/>
          <w:sz w:val="24"/>
        </w:rPr>
        <w:t xml:space="preserve"> aid to the </w:t>
      </w:r>
      <w:proofErr w:type="gramStart"/>
      <w:r>
        <w:rPr>
          <w:rFonts w:ascii="Times New Roman" w:hAnsi="Times New Roman"/>
          <w:sz w:val="24"/>
        </w:rPr>
        <w:t>low income</w:t>
      </w:r>
      <w:proofErr w:type="gramEnd"/>
      <w:r>
        <w:rPr>
          <w:rFonts w:ascii="Times New Roman" w:hAnsi="Times New Roman"/>
          <w:sz w:val="24"/>
        </w:rPr>
        <w:t xml:space="preserve"> tenants and struggling homeowners. Out of the total cash fine of $4.5 billion, $500million will be paid by Citigroup to the Federal Deposit Insurance Corp and five state attorneys general for the resolution of claims. In addition to this, payment of $4 billion will be made by bank to the Justice Department.</w:t>
      </w:r>
    </w:p>
    <w:p w14:paraId="55052D45"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In reality, the resolution plan of Citigroup was very poor. For example, the poor data quality issue was identified in the resolution plan of </w:t>
      </w:r>
      <w:r>
        <w:rPr>
          <w:rFonts w:ascii="Times New Roman" w:hAnsi="Times New Roman"/>
          <w:sz w:val="24"/>
        </w:rPr>
        <w:t>Citigroup. The authorities of Citigroup were asked to improve the resolution plan as soon as possible. After the analysis of resolution plan presented by Citigroup in 2021, it was claimed by regulatory agencies that the updated resolution plan of 2021 has successfully addressed the identified shortcomings (Federal Reserve, 2023). In this regard, the feedback letters were provided by the regulatory agencies to the company. It was also noted that the continued developments of capabilities and strategies can f</w:t>
      </w:r>
      <w:r>
        <w:rPr>
          <w:rFonts w:ascii="Times New Roman" w:hAnsi="Times New Roman"/>
          <w:sz w:val="24"/>
        </w:rPr>
        <w:t>urther enhance the quality of this plan.</w:t>
      </w:r>
    </w:p>
    <w:p w14:paraId="42A68689" w14:textId="77777777" w:rsidR="002821A7" w:rsidRDefault="00D83D37">
      <w:pPr>
        <w:spacing w:after="0" w:line="480" w:lineRule="auto"/>
        <w:rPr>
          <w:rFonts w:ascii="Times New Roman" w:hAnsi="Times New Roman"/>
          <w:sz w:val="24"/>
        </w:rPr>
      </w:pPr>
      <w:r>
        <w:rPr>
          <w:rFonts w:ascii="Times New Roman" w:hAnsi="Times New Roman"/>
          <w:sz w:val="24"/>
        </w:rPr>
        <w:lastRenderedPageBreak/>
        <w:br w:type="page"/>
      </w:r>
    </w:p>
    <w:p w14:paraId="098400C7" w14:textId="77777777" w:rsidR="002821A7" w:rsidRDefault="00D83D37">
      <w:pPr>
        <w:pStyle w:val="Heading1"/>
        <w:spacing w:before="0" w:line="480" w:lineRule="auto"/>
        <w:jc w:val="center"/>
        <w:rPr>
          <w:rFonts w:ascii="Times New Roman" w:hAnsi="Times New Roman"/>
          <w:sz w:val="24"/>
        </w:rPr>
      </w:pPr>
      <w:bookmarkStart w:id="5" w:name="_Toc153209402"/>
      <w:r>
        <w:rPr>
          <w:rFonts w:ascii="Times New Roman" w:hAnsi="Times New Roman"/>
          <w:sz w:val="24"/>
        </w:rPr>
        <w:lastRenderedPageBreak/>
        <w:t>Conclusion</w:t>
      </w:r>
      <w:bookmarkEnd w:id="5"/>
    </w:p>
    <w:p w14:paraId="281E7EF4" w14:textId="77777777" w:rsidR="002821A7" w:rsidRDefault="00D83D37">
      <w:pPr>
        <w:spacing w:after="0" w:line="480" w:lineRule="auto"/>
        <w:jc w:val="both"/>
        <w:rPr>
          <w:rFonts w:ascii="Times New Roman" w:hAnsi="Times New Roman"/>
          <w:sz w:val="24"/>
        </w:rPr>
      </w:pPr>
      <w:r>
        <w:rPr>
          <w:rFonts w:ascii="Times New Roman" w:hAnsi="Times New Roman"/>
          <w:sz w:val="24"/>
        </w:rPr>
        <w:t>On basis of above analysis, it may be summarized that financial crisis of 2008 has occurred due to lack of effective regulations for regulating the banking and fiancé sector of USA. The banks and financial authorities were found involved in selling risky financial assets and risky loans in the financial markets. Credit rating agencies have also not performed their role in effectively rate the financial products. It is a finding of the report that various actions were taken by Government and regulatory autho</w:t>
      </w:r>
      <w:r>
        <w:rPr>
          <w:rFonts w:ascii="Times New Roman" w:hAnsi="Times New Roman"/>
          <w:sz w:val="24"/>
        </w:rPr>
        <w:t>rities of USA after incident of financial crisis of 2008. Example of these initiatives involves establishment of new regulatory agencies, regulatory reforms, nationalization of banks, imposing penalty, launching of new laws like Dodd-Frank Act, Strengthening the Sarbanes-Oxley Act, etc.</w:t>
      </w:r>
    </w:p>
    <w:p w14:paraId="34F91402" w14:textId="77777777" w:rsidR="002821A7" w:rsidRDefault="00D83D37">
      <w:pPr>
        <w:spacing w:after="0" w:line="480" w:lineRule="auto"/>
        <w:rPr>
          <w:rFonts w:ascii="Times New Roman" w:hAnsi="Times New Roman"/>
          <w:sz w:val="24"/>
        </w:rPr>
      </w:pPr>
      <w:r>
        <w:rPr>
          <w:rFonts w:ascii="Times New Roman" w:hAnsi="Times New Roman"/>
          <w:sz w:val="24"/>
        </w:rPr>
        <w:br w:type="page"/>
      </w:r>
    </w:p>
    <w:p w14:paraId="52816180" w14:textId="77777777" w:rsidR="002821A7" w:rsidRDefault="00D83D37">
      <w:pPr>
        <w:pStyle w:val="Heading1"/>
        <w:spacing w:before="0" w:line="480" w:lineRule="auto"/>
        <w:jc w:val="center"/>
        <w:rPr>
          <w:rFonts w:ascii="Times New Roman" w:hAnsi="Times New Roman"/>
          <w:sz w:val="24"/>
        </w:rPr>
      </w:pPr>
      <w:bookmarkStart w:id="6" w:name="_Toc153209403"/>
      <w:r>
        <w:rPr>
          <w:rFonts w:ascii="Times New Roman" w:hAnsi="Times New Roman"/>
          <w:sz w:val="24"/>
        </w:rPr>
        <w:lastRenderedPageBreak/>
        <w:t>References</w:t>
      </w:r>
      <w:bookmarkEnd w:id="6"/>
    </w:p>
    <w:p w14:paraId="48863DFF" w14:textId="77777777" w:rsidR="002821A7" w:rsidRDefault="00D83D37">
      <w:pPr>
        <w:spacing w:after="0" w:line="480" w:lineRule="auto"/>
        <w:jc w:val="both"/>
        <w:rPr>
          <w:rFonts w:ascii="Times New Roman" w:hAnsi="Times New Roman"/>
          <w:sz w:val="24"/>
        </w:rPr>
      </w:pPr>
      <w:r>
        <w:rPr>
          <w:rFonts w:ascii="Times New Roman" w:hAnsi="Times New Roman"/>
          <w:sz w:val="24"/>
        </w:rPr>
        <w:t>Buckle, M. and Thompson, J. (2020) The UK financial system: Theory and Practice. In </w:t>
      </w:r>
      <w:r>
        <w:rPr>
          <w:rFonts w:ascii="Times New Roman" w:hAnsi="Times New Roman"/>
          <w:i/>
          <w:iCs/>
          <w:sz w:val="24"/>
        </w:rPr>
        <w:t>The UK financial system (fifth edition)</w:t>
      </w:r>
      <w:r>
        <w:rPr>
          <w:rFonts w:ascii="Times New Roman" w:hAnsi="Times New Roman"/>
          <w:sz w:val="24"/>
        </w:rPr>
        <w:t xml:space="preserve">. Manchester University </w:t>
      </w:r>
      <w:r>
        <w:rPr>
          <w:rFonts w:ascii="Times New Roman" w:hAnsi="Times New Roman"/>
          <w:sz w:val="24"/>
        </w:rPr>
        <w:t>Press.</w:t>
      </w:r>
    </w:p>
    <w:p w14:paraId="610538F3"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CNBC (2023) </w:t>
      </w:r>
      <w:r>
        <w:rPr>
          <w:rFonts w:ascii="Times New Roman" w:hAnsi="Times New Roman"/>
          <w:i/>
          <w:sz w:val="24"/>
        </w:rPr>
        <w:t>UK announces major overhaul of its financial sector in attempt to spur growth.</w:t>
      </w:r>
      <w:r>
        <w:rPr>
          <w:rFonts w:ascii="Times New Roman" w:hAnsi="Times New Roman"/>
          <w:sz w:val="24"/>
        </w:rPr>
        <w:t xml:space="preserve"> [Online]. Available at: </w:t>
      </w:r>
      <w:hyperlink r:id="rId8" w:history="1">
        <w:r>
          <w:rPr>
            <w:rStyle w:val="Hyperlink"/>
            <w:rFonts w:ascii="Times New Roman" w:hAnsi="Times New Roman"/>
            <w:sz w:val="24"/>
          </w:rPr>
          <w:t>https://www.cnbc.com/2022/12/09/uk-announces-major-overhaul-of-its-financial-sector-in-attempt-to-spur-growth.html</w:t>
        </w:r>
      </w:hyperlink>
      <w:r>
        <w:rPr>
          <w:rFonts w:ascii="Times New Roman" w:hAnsi="Times New Roman"/>
          <w:sz w:val="24"/>
        </w:rPr>
        <w:t xml:space="preserve"> (Accessed: 11 December 2023).</w:t>
      </w:r>
    </w:p>
    <w:p w14:paraId="2066AFE6"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Federal Reserve (2023) </w:t>
      </w:r>
      <w:r>
        <w:rPr>
          <w:rFonts w:ascii="Times New Roman" w:hAnsi="Times New Roman"/>
          <w:i/>
          <w:sz w:val="24"/>
        </w:rPr>
        <w:t>Agencies announce results of resolution plan review for largest and most complex domestic banks.</w:t>
      </w:r>
      <w:r>
        <w:rPr>
          <w:rFonts w:ascii="Times New Roman" w:hAnsi="Times New Roman"/>
          <w:sz w:val="24"/>
        </w:rPr>
        <w:t xml:space="preserve"> [Online]. Available at: </w:t>
      </w:r>
      <w:hyperlink r:id="rId9" w:anchor=":~:text=In%20Citigroup's%20resolution%20plan%2C%20the,its%20October%202020%20enforcement%20action" w:history="1">
        <w:r>
          <w:rPr>
            <w:rStyle w:val="Hyperlink"/>
            <w:rFonts w:ascii="Times New Roman" w:hAnsi="Times New Roman"/>
            <w:sz w:val="24"/>
          </w:rPr>
          <w:t>https://www.federalreserve.gov/newsevents/pressreleases/bcreg20221123a.htm#:~:text=In%20Citigroup's%20resolution%20plan%2C%20the,its%20October%202020%20enforcement%20action</w:t>
        </w:r>
      </w:hyperlink>
      <w:r>
        <w:rPr>
          <w:rFonts w:ascii="Times New Roman" w:hAnsi="Times New Roman"/>
          <w:sz w:val="24"/>
        </w:rPr>
        <w:t>. (Accessed: 11 December 2023).</w:t>
      </w:r>
    </w:p>
    <w:p w14:paraId="1E76DA6E" w14:textId="77777777" w:rsidR="002821A7" w:rsidRDefault="00D83D37">
      <w:pPr>
        <w:spacing w:after="0" w:line="480" w:lineRule="auto"/>
        <w:jc w:val="both"/>
        <w:rPr>
          <w:rFonts w:ascii="Times New Roman" w:hAnsi="Times New Roman"/>
          <w:sz w:val="24"/>
        </w:rPr>
      </w:pPr>
      <w:r>
        <w:rPr>
          <w:rFonts w:ascii="Times New Roman" w:hAnsi="Times New Roman"/>
          <w:sz w:val="24"/>
        </w:rPr>
        <w:t>Frank, B. (2019) The economic and political implications of the Dodd-Frank Act. In </w:t>
      </w:r>
      <w:r>
        <w:rPr>
          <w:rFonts w:ascii="Times New Roman" w:hAnsi="Times New Roman"/>
          <w:i/>
          <w:iCs/>
          <w:sz w:val="24"/>
        </w:rPr>
        <w:t>After the crash: Financial crises and regulatory responses</w:t>
      </w:r>
      <w:r>
        <w:rPr>
          <w:rFonts w:ascii="Times New Roman" w:hAnsi="Times New Roman"/>
          <w:sz w:val="24"/>
        </w:rPr>
        <w:t> (pp. 261-280). Columbia University Press.</w:t>
      </w:r>
    </w:p>
    <w:p w14:paraId="50A67990"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GLI (2023) </w:t>
      </w:r>
      <w:r>
        <w:rPr>
          <w:rFonts w:ascii="Times New Roman" w:hAnsi="Times New Roman"/>
          <w:i/>
          <w:sz w:val="24"/>
        </w:rPr>
        <w:t>Banking Laws and Regulations 2023 | United Kingdom.</w:t>
      </w:r>
      <w:r>
        <w:rPr>
          <w:rFonts w:ascii="Times New Roman" w:hAnsi="Times New Roman"/>
          <w:sz w:val="24"/>
        </w:rPr>
        <w:t xml:space="preserve"> [Online]. Available at: </w:t>
      </w:r>
      <w:hyperlink r:id="rId10" w:anchor=":~:text=In%20the%20aftermath%20of%20the,activities%20from%20retail%20banking%20activities" w:history="1">
        <w:r>
          <w:rPr>
            <w:rStyle w:val="Hyperlink"/>
            <w:rFonts w:ascii="Times New Roman" w:hAnsi="Times New Roman"/>
            <w:sz w:val="24"/>
          </w:rPr>
          <w:t>https://www.globallegalinsights.com/practice-areas/banking-and-finance-laws-and-regulations/united-kingdom#:~:text=In%20the%20aftermath%20of%20the,activities%20from%20retail%20banking%20activities</w:t>
        </w:r>
      </w:hyperlink>
      <w:r>
        <w:rPr>
          <w:rFonts w:ascii="Times New Roman" w:hAnsi="Times New Roman"/>
          <w:sz w:val="24"/>
        </w:rPr>
        <w:t>. (Accessed: 11 December 2023).</w:t>
      </w:r>
    </w:p>
    <w:p w14:paraId="1D926DB8"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Hood, C. and Piotrowska, B.M. (2023) Who loves input controls? What happened to “outputs not inputs” in UK Public Financial Management, and </w:t>
      </w:r>
      <w:proofErr w:type="gramStart"/>
      <w:r>
        <w:rPr>
          <w:rFonts w:ascii="Times New Roman" w:hAnsi="Times New Roman"/>
          <w:sz w:val="24"/>
        </w:rPr>
        <w:t>why?.</w:t>
      </w:r>
      <w:proofErr w:type="gramEnd"/>
      <w:r>
        <w:rPr>
          <w:rFonts w:ascii="Times New Roman" w:hAnsi="Times New Roman"/>
          <w:sz w:val="24"/>
        </w:rPr>
        <w:t> </w:t>
      </w:r>
      <w:r>
        <w:rPr>
          <w:rFonts w:ascii="Times New Roman" w:hAnsi="Times New Roman"/>
          <w:i/>
          <w:iCs/>
          <w:sz w:val="24"/>
        </w:rPr>
        <w:t>Public Administration</w:t>
      </w:r>
      <w:r>
        <w:rPr>
          <w:rFonts w:ascii="Times New Roman" w:hAnsi="Times New Roman"/>
          <w:sz w:val="24"/>
        </w:rPr>
        <w:t>, </w:t>
      </w:r>
      <w:r>
        <w:rPr>
          <w:rFonts w:ascii="Times New Roman" w:hAnsi="Times New Roman"/>
          <w:i/>
          <w:iCs/>
          <w:sz w:val="24"/>
        </w:rPr>
        <w:t>101</w:t>
      </w:r>
      <w:r>
        <w:rPr>
          <w:rFonts w:ascii="Times New Roman" w:hAnsi="Times New Roman"/>
          <w:sz w:val="24"/>
        </w:rPr>
        <w:t>(1), pp. 303-317.</w:t>
      </w:r>
    </w:p>
    <w:p w14:paraId="1587EE9C"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LA Times (2023) </w:t>
      </w:r>
      <w:r>
        <w:rPr>
          <w:rFonts w:ascii="Times New Roman" w:hAnsi="Times New Roman"/>
          <w:i/>
          <w:sz w:val="24"/>
        </w:rPr>
        <w:t>U.S. turns a $12-billion profit on Citigroup bailout.</w:t>
      </w:r>
      <w:r>
        <w:rPr>
          <w:rFonts w:ascii="Times New Roman" w:hAnsi="Times New Roman"/>
          <w:sz w:val="24"/>
        </w:rPr>
        <w:t xml:space="preserve"> [Online]. Available at: </w:t>
      </w:r>
      <w:hyperlink r:id="rId11" w:anchor=":~:text=Taxpayers%20earned%20a%20%2412%2Dbillion,%244.35%20apiece%2C%20raising%20%2410.5%20billion" w:history="1">
        <w:r>
          <w:rPr>
            <w:rStyle w:val="Hyperlink"/>
            <w:rFonts w:ascii="Times New Roman" w:hAnsi="Times New Roman"/>
            <w:sz w:val="24"/>
          </w:rPr>
          <w:t>https://www.latimes.com/archives/la-xpm-2010-dec-08-la-fi-citigroup-treasury-20101208-</w:t>
        </w:r>
        <w:r>
          <w:rPr>
            <w:rStyle w:val="Hyperlink"/>
            <w:rFonts w:ascii="Times New Roman" w:hAnsi="Times New Roman"/>
            <w:sz w:val="24"/>
          </w:rPr>
          <w:lastRenderedPageBreak/>
          <w:t>story.html#:~:text=Taxpayers%20earned%20a%20%2412%2Dbillion,%244.35%20apiece%2C%20raising%20%2410.5%20billion</w:t>
        </w:r>
      </w:hyperlink>
      <w:r>
        <w:rPr>
          <w:rFonts w:ascii="Times New Roman" w:hAnsi="Times New Roman"/>
          <w:sz w:val="24"/>
        </w:rPr>
        <w:t>. (Accessed: 11 December 2023).</w:t>
      </w:r>
    </w:p>
    <w:p w14:paraId="1AD98415"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Li, C. (2019) Examining the Influence of the Volcker Rule </w:t>
      </w:r>
      <w:proofErr w:type="gramStart"/>
      <w:r>
        <w:rPr>
          <w:rFonts w:ascii="Times New Roman" w:hAnsi="Times New Roman"/>
          <w:sz w:val="24"/>
        </w:rPr>
        <w:t>On</w:t>
      </w:r>
      <w:proofErr w:type="gramEnd"/>
      <w:r>
        <w:rPr>
          <w:rFonts w:ascii="Times New Roman" w:hAnsi="Times New Roman"/>
          <w:sz w:val="24"/>
        </w:rPr>
        <w:t xml:space="preserve"> Post-Crisis Credit Risk Management Conditions in the US Financial Institutions, pp. 01-18.</w:t>
      </w:r>
    </w:p>
    <w:p w14:paraId="25ACCFF4" w14:textId="77777777" w:rsidR="002821A7" w:rsidRDefault="00D83D37">
      <w:pPr>
        <w:spacing w:after="0" w:line="480" w:lineRule="auto"/>
        <w:jc w:val="both"/>
        <w:rPr>
          <w:rFonts w:ascii="Times New Roman" w:hAnsi="Times New Roman"/>
          <w:sz w:val="24"/>
        </w:rPr>
      </w:pPr>
      <w:r>
        <w:rPr>
          <w:rFonts w:ascii="Times New Roman" w:hAnsi="Times New Roman"/>
          <w:sz w:val="24"/>
        </w:rPr>
        <w:t>Malewska, A. (2021) Failed Attempt to Break Up the Oligopoly in Sovereign Credit Rating Market after Financial Crises. </w:t>
      </w:r>
      <w:r>
        <w:rPr>
          <w:rFonts w:ascii="Times New Roman" w:hAnsi="Times New Roman"/>
          <w:i/>
          <w:iCs/>
          <w:sz w:val="24"/>
        </w:rPr>
        <w:t>Contemporary Economics</w:t>
      </w:r>
      <w:r>
        <w:rPr>
          <w:rFonts w:ascii="Times New Roman" w:hAnsi="Times New Roman"/>
          <w:sz w:val="24"/>
        </w:rPr>
        <w:t>, </w:t>
      </w:r>
      <w:r>
        <w:rPr>
          <w:rFonts w:ascii="Times New Roman" w:hAnsi="Times New Roman"/>
          <w:i/>
          <w:iCs/>
          <w:sz w:val="24"/>
        </w:rPr>
        <w:t>15</w:t>
      </w:r>
      <w:r>
        <w:rPr>
          <w:rFonts w:ascii="Times New Roman" w:hAnsi="Times New Roman"/>
          <w:sz w:val="24"/>
        </w:rPr>
        <w:t>(2), pp. 153-163.</w:t>
      </w:r>
    </w:p>
    <w:p w14:paraId="71B29190"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OBR UK (2023) </w:t>
      </w:r>
      <w:r>
        <w:rPr>
          <w:rFonts w:ascii="Times New Roman" w:hAnsi="Times New Roman"/>
          <w:i/>
          <w:sz w:val="24"/>
        </w:rPr>
        <w:t>The Government’s regulatory response to the financial crisis.</w:t>
      </w:r>
      <w:r>
        <w:rPr>
          <w:rFonts w:ascii="Times New Roman" w:hAnsi="Times New Roman"/>
          <w:sz w:val="24"/>
        </w:rPr>
        <w:t xml:space="preserve"> [Online]. Available at: </w:t>
      </w:r>
      <w:hyperlink r:id="rId12" w:history="1">
        <w:r>
          <w:rPr>
            <w:rStyle w:val="Hyperlink"/>
            <w:rFonts w:ascii="Times New Roman" w:hAnsi="Times New Roman"/>
            <w:sz w:val="24"/>
          </w:rPr>
          <w:t>https://obr.uk/box/the-governments-regulatory-response-to-the-financial-crisis/</w:t>
        </w:r>
      </w:hyperlink>
      <w:r>
        <w:rPr>
          <w:rFonts w:ascii="Times New Roman" w:hAnsi="Times New Roman"/>
          <w:sz w:val="24"/>
        </w:rPr>
        <w:t xml:space="preserve"> (Accessed: 11 December 2023).</w:t>
      </w:r>
    </w:p>
    <w:p w14:paraId="6A873DEA"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Parliament UK (2023) </w:t>
      </w:r>
      <w:r>
        <w:rPr>
          <w:rFonts w:ascii="Times New Roman" w:hAnsi="Times New Roman"/>
          <w:i/>
          <w:sz w:val="24"/>
        </w:rPr>
        <w:t>Regulating banks after 2008: Key issues for the 2015 Parliament.</w:t>
      </w:r>
      <w:r>
        <w:rPr>
          <w:rFonts w:ascii="Times New Roman" w:hAnsi="Times New Roman"/>
          <w:sz w:val="24"/>
        </w:rPr>
        <w:t xml:space="preserve"> [Online]. Available at: </w:t>
      </w:r>
      <w:hyperlink r:id="rId13" w:history="1">
        <w:r>
          <w:rPr>
            <w:rStyle w:val="Hyperlink"/>
            <w:rFonts w:ascii="Times New Roman" w:hAnsi="Times New Roman"/>
            <w:sz w:val="24"/>
          </w:rPr>
          <w:t>https://www.parliament.uk/business/publications/research/key-issues-parliament-2015/economy-public-finances/regulating-banks/</w:t>
        </w:r>
      </w:hyperlink>
      <w:r>
        <w:rPr>
          <w:rFonts w:ascii="Times New Roman" w:hAnsi="Times New Roman"/>
          <w:sz w:val="24"/>
        </w:rPr>
        <w:t xml:space="preserve"> (Accessed: 11 December 2023).</w:t>
      </w:r>
    </w:p>
    <w:p w14:paraId="615F3CE8" w14:textId="77777777" w:rsidR="002821A7" w:rsidRDefault="00D83D37">
      <w:pPr>
        <w:spacing w:after="0" w:line="480" w:lineRule="auto"/>
        <w:jc w:val="both"/>
        <w:rPr>
          <w:rFonts w:ascii="Times New Roman" w:hAnsi="Times New Roman"/>
          <w:sz w:val="24"/>
        </w:rPr>
      </w:pPr>
      <w:r>
        <w:rPr>
          <w:rFonts w:ascii="Times New Roman" w:hAnsi="Times New Roman"/>
          <w:sz w:val="24"/>
        </w:rPr>
        <w:t xml:space="preserve">Reuters (2023) </w:t>
      </w:r>
      <w:r>
        <w:rPr>
          <w:rFonts w:ascii="Times New Roman" w:hAnsi="Times New Roman"/>
          <w:i/>
          <w:sz w:val="24"/>
        </w:rPr>
        <w:t>Citigroup to pay $7 billion to settle U.S. mortgage probe.</w:t>
      </w:r>
      <w:r>
        <w:rPr>
          <w:rFonts w:ascii="Times New Roman" w:hAnsi="Times New Roman"/>
          <w:sz w:val="24"/>
        </w:rPr>
        <w:t xml:space="preserve"> [Online]. Available at: </w:t>
      </w:r>
      <w:hyperlink r:id="rId14" w:anchor=":~:text=(Reuters)%20%2D%20Citigroup%20Inc%20has,by%20the%20U.S.%20Justice%20Department" w:history="1">
        <w:r>
          <w:rPr>
            <w:rStyle w:val="Hyperlink"/>
            <w:rFonts w:ascii="Times New Roman" w:hAnsi="Times New Roman"/>
            <w:sz w:val="24"/>
          </w:rPr>
          <w:t>https://www.reuters.com/article/us-citigroup-settlement-doj-idUSKBN0FJ13120140714/#:~:text=(Reuters)%20%2D%20Citigroup%20Inc%20has,by%20the%20U.S.%20Justice%20Department</w:t>
        </w:r>
      </w:hyperlink>
      <w:r>
        <w:rPr>
          <w:rFonts w:ascii="Times New Roman" w:hAnsi="Times New Roman"/>
          <w:sz w:val="24"/>
        </w:rPr>
        <w:t>. (Accessed: 11 December 2023).</w:t>
      </w:r>
    </w:p>
    <w:p w14:paraId="1DB076A3" w14:textId="77777777" w:rsidR="002821A7" w:rsidRDefault="00D83D37">
      <w:pPr>
        <w:spacing w:after="0" w:line="480" w:lineRule="auto"/>
        <w:jc w:val="both"/>
        <w:rPr>
          <w:rFonts w:ascii="Times New Roman" w:hAnsi="Times New Roman"/>
          <w:sz w:val="24"/>
        </w:rPr>
      </w:pPr>
      <w:proofErr w:type="spellStart"/>
      <w:r>
        <w:rPr>
          <w:rFonts w:ascii="Times New Roman" w:hAnsi="Times New Roman"/>
          <w:sz w:val="24"/>
        </w:rPr>
        <w:t>Saguato</w:t>
      </w:r>
      <w:proofErr w:type="spellEnd"/>
      <w:r>
        <w:rPr>
          <w:rFonts w:ascii="Times New Roman" w:hAnsi="Times New Roman"/>
          <w:sz w:val="24"/>
        </w:rPr>
        <w:t>, P. (2021) Rethinking the Financial Stability Oversight Council. </w:t>
      </w:r>
      <w:r>
        <w:rPr>
          <w:rFonts w:ascii="Times New Roman" w:hAnsi="Times New Roman"/>
          <w:i/>
          <w:iCs/>
          <w:sz w:val="24"/>
        </w:rPr>
        <w:t>Va. L. &amp; Bus. Rev.</w:t>
      </w:r>
      <w:r>
        <w:rPr>
          <w:rFonts w:ascii="Times New Roman" w:hAnsi="Times New Roman"/>
          <w:sz w:val="24"/>
        </w:rPr>
        <w:t>, </w:t>
      </w:r>
      <w:r>
        <w:rPr>
          <w:rFonts w:ascii="Times New Roman" w:hAnsi="Times New Roman"/>
          <w:i/>
          <w:iCs/>
          <w:sz w:val="24"/>
        </w:rPr>
        <w:t>16</w:t>
      </w:r>
      <w:r>
        <w:rPr>
          <w:rFonts w:ascii="Times New Roman" w:hAnsi="Times New Roman"/>
          <w:sz w:val="24"/>
        </w:rPr>
        <w:t>, pp. 505.</w:t>
      </w:r>
    </w:p>
    <w:p w14:paraId="15C40357" w14:textId="77777777" w:rsidR="002821A7" w:rsidRDefault="00D83D37">
      <w:pPr>
        <w:spacing w:after="0" w:line="480" w:lineRule="auto"/>
        <w:jc w:val="both"/>
        <w:rPr>
          <w:rFonts w:ascii="Times New Roman" w:hAnsi="Times New Roman"/>
          <w:sz w:val="24"/>
        </w:rPr>
      </w:pPr>
      <w:r>
        <w:rPr>
          <w:rFonts w:ascii="Times New Roman" w:hAnsi="Times New Roman"/>
          <w:sz w:val="24"/>
        </w:rPr>
        <w:t>SoRelle, M.E. (2023) Privatizing financial protection: regulatory feedback and the politics of financial reform. </w:t>
      </w:r>
      <w:r>
        <w:rPr>
          <w:rFonts w:ascii="Times New Roman" w:hAnsi="Times New Roman"/>
          <w:i/>
          <w:iCs/>
          <w:sz w:val="24"/>
        </w:rPr>
        <w:t>American Political Science Review</w:t>
      </w:r>
      <w:r>
        <w:rPr>
          <w:rFonts w:ascii="Times New Roman" w:hAnsi="Times New Roman"/>
          <w:sz w:val="24"/>
        </w:rPr>
        <w:t>, </w:t>
      </w:r>
      <w:r>
        <w:rPr>
          <w:rFonts w:ascii="Times New Roman" w:hAnsi="Times New Roman"/>
          <w:i/>
          <w:iCs/>
          <w:sz w:val="24"/>
        </w:rPr>
        <w:t>117</w:t>
      </w:r>
      <w:r>
        <w:rPr>
          <w:rFonts w:ascii="Times New Roman" w:hAnsi="Times New Roman"/>
          <w:sz w:val="24"/>
        </w:rPr>
        <w:t>(3), pp. 985-1003.</w:t>
      </w:r>
    </w:p>
    <w:p w14:paraId="1BC0D5F5" w14:textId="77777777" w:rsidR="002821A7" w:rsidRDefault="00D83D37">
      <w:pPr>
        <w:spacing w:after="0" w:line="480" w:lineRule="auto"/>
        <w:jc w:val="both"/>
        <w:rPr>
          <w:rFonts w:ascii="Times New Roman" w:hAnsi="Times New Roman"/>
          <w:sz w:val="24"/>
        </w:rPr>
      </w:pPr>
      <w:r>
        <w:rPr>
          <w:rFonts w:ascii="Times New Roman" w:hAnsi="Times New Roman"/>
          <w:sz w:val="24"/>
        </w:rPr>
        <w:t>Spano, D. (2021) The 2008 financial recession and the Dodd-Frank act. </w:t>
      </w:r>
      <w:r>
        <w:rPr>
          <w:rFonts w:ascii="Times New Roman" w:hAnsi="Times New Roman"/>
          <w:i/>
          <w:iCs/>
          <w:sz w:val="24"/>
        </w:rPr>
        <w:t>HOLISTICA–Journal of Business and Public Administration</w:t>
      </w:r>
      <w:r>
        <w:rPr>
          <w:rFonts w:ascii="Times New Roman" w:hAnsi="Times New Roman"/>
          <w:sz w:val="24"/>
        </w:rPr>
        <w:t>, </w:t>
      </w:r>
      <w:r>
        <w:rPr>
          <w:rFonts w:ascii="Times New Roman" w:hAnsi="Times New Roman"/>
          <w:i/>
          <w:iCs/>
          <w:sz w:val="24"/>
        </w:rPr>
        <w:t>12</w:t>
      </w:r>
      <w:r>
        <w:rPr>
          <w:rFonts w:ascii="Times New Roman" w:hAnsi="Times New Roman"/>
          <w:sz w:val="24"/>
        </w:rPr>
        <w:t>(1), pp. 1-10.</w:t>
      </w:r>
    </w:p>
    <w:sectPr w:rsidR="002821A7">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14EA7" w14:textId="77777777" w:rsidR="002821A7" w:rsidRDefault="00D83D37">
      <w:pPr>
        <w:spacing w:line="240" w:lineRule="auto"/>
      </w:pPr>
      <w:r>
        <w:separator/>
      </w:r>
    </w:p>
  </w:endnote>
  <w:endnote w:type="continuationSeparator" w:id="0">
    <w:p w14:paraId="79CC517E" w14:textId="77777777" w:rsidR="002821A7" w:rsidRDefault="00D83D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default"/>
    <w:sig w:usb0="E1002EFF" w:usb1="C000605B" w:usb2="00000029" w:usb3="00000000" w:csb0="200101FF" w:csb1="2028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AEF12" w14:textId="77777777" w:rsidR="002821A7" w:rsidRDefault="00D83D37">
      <w:pPr>
        <w:spacing w:after="0"/>
      </w:pPr>
      <w:r>
        <w:separator/>
      </w:r>
    </w:p>
  </w:footnote>
  <w:footnote w:type="continuationSeparator" w:id="0">
    <w:p w14:paraId="7DE89228" w14:textId="77777777" w:rsidR="002821A7" w:rsidRDefault="00D83D3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sz w:val="24"/>
      </w:rPr>
      <w:id w:val="1728228657"/>
      <w:docPartObj>
        <w:docPartGallery w:val="AutoText"/>
      </w:docPartObj>
    </w:sdtPr>
    <w:sdtEndPr/>
    <w:sdtContent>
      <w:p w14:paraId="1654E1F3" w14:textId="77777777" w:rsidR="002821A7" w:rsidRDefault="00D83D37">
        <w:pPr>
          <w:pStyle w:val="Header"/>
          <w:jc w:val="right"/>
          <w:rPr>
            <w:rFonts w:ascii="Times New Roman" w:hAnsi="Times New Roman"/>
            <w:sz w:val="24"/>
          </w:rPr>
        </w:pPr>
        <w:r>
          <w:rPr>
            <w:rFonts w:ascii="Times New Roman" w:hAnsi="Times New Roman"/>
            <w:sz w:val="24"/>
          </w:rPr>
          <w:t>Banking Financial Management and Financial Markets</w:t>
        </w:r>
        <w:r>
          <w:rPr>
            <w:rFonts w:ascii="Times New Roman" w:hAnsi="Times New Roman"/>
            <w:sz w:val="24"/>
          </w:rPr>
          <w:t xml:space="preserve">     </w:t>
        </w:r>
        <w:r>
          <w:rPr>
            <w:rFonts w:ascii="Times New Roman" w:hAnsi="Times New Roman"/>
            <w:sz w:val="24"/>
          </w:rPr>
          <w:fldChar w:fldCharType="begin"/>
        </w:r>
        <w:r>
          <w:rPr>
            <w:rFonts w:ascii="Times New Roman" w:hAnsi="Times New Roman"/>
            <w:sz w:val="24"/>
          </w:rPr>
          <w:instrText xml:space="preserve"> PAGE   \* MERGEFORMAT </w:instrText>
        </w:r>
        <w:r>
          <w:rPr>
            <w:rFonts w:ascii="Times New Roman" w:hAnsi="Times New Roman"/>
            <w:sz w:val="24"/>
          </w:rPr>
          <w:fldChar w:fldCharType="separate"/>
        </w:r>
        <w:r>
          <w:rPr>
            <w:rFonts w:ascii="Times New Roman" w:hAnsi="Times New Roman"/>
            <w:sz w:val="24"/>
          </w:rPr>
          <w:t>18</w:t>
        </w:r>
        <w:r>
          <w:rPr>
            <w:rFonts w:ascii="Times New Roman" w:hAnsi="Times New Roman"/>
            <w:sz w:val="24"/>
          </w:rPr>
          <w:fldChar w:fldCharType="end"/>
        </w:r>
      </w:p>
    </w:sdtContent>
  </w:sdt>
  <w:p w14:paraId="516CF4C1" w14:textId="77777777" w:rsidR="002821A7" w:rsidRDefault="002821A7">
    <w:pPr>
      <w:pStyle w:val="Header"/>
      <w:rPr>
        <w:rFonts w:ascii="Times New Roman" w:hAnsi="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48E"/>
    <w:rsid w:val="00015101"/>
    <w:rsid w:val="00015B73"/>
    <w:rsid w:val="00030457"/>
    <w:rsid w:val="00031867"/>
    <w:rsid w:val="00035959"/>
    <w:rsid w:val="00041795"/>
    <w:rsid w:val="000427FD"/>
    <w:rsid w:val="00042F60"/>
    <w:rsid w:val="0005158E"/>
    <w:rsid w:val="0005390C"/>
    <w:rsid w:val="00056340"/>
    <w:rsid w:val="00057C51"/>
    <w:rsid w:val="00064B6C"/>
    <w:rsid w:val="00064DA8"/>
    <w:rsid w:val="00075B84"/>
    <w:rsid w:val="00083CDF"/>
    <w:rsid w:val="0009174F"/>
    <w:rsid w:val="00096420"/>
    <w:rsid w:val="000A1893"/>
    <w:rsid w:val="000A7E34"/>
    <w:rsid w:val="000C305B"/>
    <w:rsid w:val="000D07EF"/>
    <w:rsid w:val="000D0FFF"/>
    <w:rsid w:val="000D1744"/>
    <w:rsid w:val="000D553F"/>
    <w:rsid w:val="000E0EAC"/>
    <w:rsid w:val="000E1C1E"/>
    <w:rsid w:val="000E3DA1"/>
    <w:rsid w:val="000E54AC"/>
    <w:rsid w:val="000E6BA9"/>
    <w:rsid w:val="000F0A33"/>
    <w:rsid w:val="000F37A5"/>
    <w:rsid w:val="000F3EB3"/>
    <w:rsid w:val="000F7AD4"/>
    <w:rsid w:val="000F7AE0"/>
    <w:rsid w:val="00107361"/>
    <w:rsid w:val="00111B66"/>
    <w:rsid w:val="00113F79"/>
    <w:rsid w:val="00113FBA"/>
    <w:rsid w:val="001221CB"/>
    <w:rsid w:val="00123537"/>
    <w:rsid w:val="001376A4"/>
    <w:rsid w:val="00141882"/>
    <w:rsid w:val="00145C05"/>
    <w:rsid w:val="00150B7B"/>
    <w:rsid w:val="00160C1C"/>
    <w:rsid w:val="00170004"/>
    <w:rsid w:val="00176DAC"/>
    <w:rsid w:val="001861E3"/>
    <w:rsid w:val="00190491"/>
    <w:rsid w:val="001910C9"/>
    <w:rsid w:val="00191CB2"/>
    <w:rsid w:val="001930AF"/>
    <w:rsid w:val="001A0693"/>
    <w:rsid w:val="001A1091"/>
    <w:rsid w:val="001A3467"/>
    <w:rsid w:val="001A5152"/>
    <w:rsid w:val="001A5282"/>
    <w:rsid w:val="001B260F"/>
    <w:rsid w:val="001B2A59"/>
    <w:rsid w:val="001C099A"/>
    <w:rsid w:val="001C55D3"/>
    <w:rsid w:val="001C5DA5"/>
    <w:rsid w:val="001D16FA"/>
    <w:rsid w:val="001D5544"/>
    <w:rsid w:val="001F5681"/>
    <w:rsid w:val="001F66AC"/>
    <w:rsid w:val="00202BEE"/>
    <w:rsid w:val="0020669B"/>
    <w:rsid w:val="0022725B"/>
    <w:rsid w:val="00254A98"/>
    <w:rsid w:val="002554F0"/>
    <w:rsid w:val="00257DCE"/>
    <w:rsid w:val="00262193"/>
    <w:rsid w:val="002678DB"/>
    <w:rsid w:val="002764C7"/>
    <w:rsid w:val="002821A7"/>
    <w:rsid w:val="002946A0"/>
    <w:rsid w:val="002A2932"/>
    <w:rsid w:val="002A4031"/>
    <w:rsid w:val="002A4091"/>
    <w:rsid w:val="002C3378"/>
    <w:rsid w:val="002D09F9"/>
    <w:rsid w:val="002D6F9D"/>
    <w:rsid w:val="002F2196"/>
    <w:rsid w:val="002F4FB5"/>
    <w:rsid w:val="00302F88"/>
    <w:rsid w:val="0031012B"/>
    <w:rsid w:val="00317B28"/>
    <w:rsid w:val="003248EA"/>
    <w:rsid w:val="00324F35"/>
    <w:rsid w:val="0033072C"/>
    <w:rsid w:val="00333A9B"/>
    <w:rsid w:val="00335944"/>
    <w:rsid w:val="00335BAC"/>
    <w:rsid w:val="003441EF"/>
    <w:rsid w:val="00344D38"/>
    <w:rsid w:val="00346FC9"/>
    <w:rsid w:val="0035255E"/>
    <w:rsid w:val="00352E96"/>
    <w:rsid w:val="00353252"/>
    <w:rsid w:val="00362FDF"/>
    <w:rsid w:val="00363E9F"/>
    <w:rsid w:val="00370409"/>
    <w:rsid w:val="003864E2"/>
    <w:rsid w:val="00387FE7"/>
    <w:rsid w:val="0039581C"/>
    <w:rsid w:val="003963BD"/>
    <w:rsid w:val="0039712B"/>
    <w:rsid w:val="003A2D02"/>
    <w:rsid w:val="003B32F8"/>
    <w:rsid w:val="003B42F6"/>
    <w:rsid w:val="003B5683"/>
    <w:rsid w:val="003B5AB8"/>
    <w:rsid w:val="003C1C72"/>
    <w:rsid w:val="003C7543"/>
    <w:rsid w:val="003D14FB"/>
    <w:rsid w:val="003D514F"/>
    <w:rsid w:val="003D6ACE"/>
    <w:rsid w:val="003E035F"/>
    <w:rsid w:val="003E64CB"/>
    <w:rsid w:val="003E744A"/>
    <w:rsid w:val="003E7AAA"/>
    <w:rsid w:val="0040415B"/>
    <w:rsid w:val="00405381"/>
    <w:rsid w:val="00421310"/>
    <w:rsid w:val="00432D02"/>
    <w:rsid w:val="004347F6"/>
    <w:rsid w:val="004378C1"/>
    <w:rsid w:val="00442E80"/>
    <w:rsid w:val="00446C6D"/>
    <w:rsid w:val="004554A6"/>
    <w:rsid w:val="00457649"/>
    <w:rsid w:val="004634B8"/>
    <w:rsid w:val="00463DB1"/>
    <w:rsid w:val="00473B02"/>
    <w:rsid w:val="00473CF4"/>
    <w:rsid w:val="00477767"/>
    <w:rsid w:val="00480B46"/>
    <w:rsid w:val="00481584"/>
    <w:rsid w:val="00490A90"/>
    <w:rsid w:val="004B0468"/>
    <w:rsid w:val="004B09E8"/>
    <w:rsid w:val="004B2754"/>
    <w:rsid w:val="004B3395"/>
    <w:rsid w:val="004B763F"/>
    <w:rsid w:val="004B79A8"/>
    <w:rsid w:val="004C64FC"/>
    <w:rsid w:val="004D6478"/>
    <w:rsid w:val="004F5D6C"/>
    <w:rsid w:val="0050183C"/>
    <w:rsid w:val="0051104A"/>
    <w:rsid w:val="00520D5D"/>
    <w:rsid w:val="00526BB9"/>
    <w:rsid w:val="00527A1E"/>
    <w:rsid w:val="005305F1"/>
    <w:rsid w:val="005372CE"/>
    <w:rsid w:val="005433EF"/>
    <w:rsid w:val="0056305A"/>
    <w:rsid w:val="00563C27"/>
    <w:rsid w:val="00563EE8"/>
    <w:rsid w:val="00571F80"/>
    <w:rsid w:val="00572304"/>
    <w:rsid w:val="00572508"/>
    <w:rsid w:val="00574410"/>
    <w:rsid w:val="00582689"/>
    <w:rsid w:val="00594312"/>
    <w:rsid w:val="005A5EC3"/>
    <w:rsid w:val="005C12D0"/>
    <w:rsid w:val="005C1553"/>
    <w:rsid w:val="005C2572"/>
    <w:rsid w:val="005D245F"/>
    <w:rsid w:val="005E1218"/>
    <w:rsid w:val="005E2E7F"/>
    <w:rsid w:val="005E3B83"/>
    <w:rsid w:val="005F13BD"/>
    <w:rsid w:val="005F2E63"/>
    <w:rsid w:val="005F3FB7"/>
    <w:rsid w:val="005F66EE"/>
    <w:rsid w:val="005F67E7"/>
    <w:rsid w:val="005F6C66"/>
    <w:rsid w:val="00606886"/>
    <w:rsid w:val="0060772B"/>
    <w:rsid w:val="006138CB"/>
    <w:rsid w:val="00622221"/>
    <w:rsid w:val="00623E9F"/>
    <w:rsid w:val="006240C3"/>
    <w:rsid w:val="006244DB"/>
    <w:rsid w:val="006247FF"/>
    <w:rsid w:val="00625485"/>
    <w:rsid w:val="00625C87"/>
    <w:rsid w:val="00632BA8"/>
    <w:rsid w:val="00637188"/>
    <w:rsid w:val="00644660"/>
    <w:rsid w:val="00653C39"/>
    <w:rsid w:val="00664EFC"/>
    <w:rsid w:val="00683392"/>
    <w:rsid w:val="006860EE"/>
    <w:rsid w:val="00692BFE"/>
    <w:rsid w:val="00693E85"/>
    <w:rsid w:val="0069519F"/>
    <w:rsid w:val="006A2CB9"/>
    <w:rsid w:val="006A746D"/>
    <w:rsid w:val="006B3459"/>
    <w:rsid w:val="006C031E"/>
    <w:rsid w:val="006C3CC0"/>
    <w:rsid w:val="006C5DF3"/>
    <w:rsid w:val="006E2061"/>
    <w:rsid w:val="006E39C5"/>
    <w:rsid w:val="006E644D"/>
    <w:rsid w:val="006E793C"/>
    <w:rsid w:val="006F0C26"/>
    <w:rsid w:val="006F7FB5"/>
    <w:rsid w:val="00704185"/>
    <w:rsid w:val="00704BB0"/>
    <w:rsid w:val="00704FE7"/>
    <w:rsid w:val="007053A5"/>
    <w:rsid w:val="00705F4A"/>
    <w:rsid w:val="00713328"/>
    <w:rsid w:val="00715F26"/>
    <w:rsid w:val="0073084A"/>
    <w:rsid w:val="00752E02"/>
    <w:rsid w:val="00757337"/>
    <w:rsid w:val="00771A28"/>
    <w:rsid w:val="00773293"/>
    <w:rsid w:val="00773F80"/>
    <w:rsid w:val="00776A16"/>
    <w:rsid w:val="007822C8"/>
    <w:rsid w:val="007832EF"/>
    <w:rsid w:val="00783A4A"/>
    <w:rsid w:val="0078509B"/>
    <w:rsid w:val="007852A9"/>
    <w:rsid w:val="007852F5"/>
    <w:rsid w:val="0078655B"/>
    <w:rsid w:val="007934BD"/>
    <w:rsid w:val="007A2175"/>
    <w:rsid w:val="007A2EA1"/>
    <w:rsid w:val="007A566A"/>
    <w:rsid w:val="007A63DB"/>
    <w:rsid w:val="007B5921"/>
    <w:rsid w:val="007B771E"/>
    <w:rsid w:val="007B7B35"/>
    <w:rsid w:val="007B7CC8"/>
    <w:rsid w:val="007E0DC1"/>
    <w:rsid w:val="007F293B"/>
    <w:rsid w:val="00812F75"/>
    <w:rsid w:val="0081572E"/>
    <w:rsid w:val="00815CD8"/>
    <w:rsid w:val="00823606"/>
    <w:rsid w:val="00823647"/>
    <w:rsid w:val="00824497"/>
    <w:rsid w:val="008251EB"/>
    <w:rsid w:val="00825613"/>
    <w:rsid w:val="00831905"/>
    <w:rsid w:val="00832F95"/>
    <w:rsid w:val="008355FA"/>
    <w:rsid w:val="00841A67"/>
    <w:rsid w:val="00843FA6"/>
    <w:rsid w:val="008442C4"/>
    <w:rsid w:val="00847E7A"/>
    <w:rsid w:val="00856E78"/>
    <w:rsid w:val="00860889"/>
    <w:rsid w:val="00864BFA"/>
    <w:rsid w:val="008670E8"/>
    <w:rsid w:val="0087511B"/>
    <w:rsid w:val="00877679"/>
    <w:rsid w:val="00877E6A"/>
    <w:rsid w:val="008802FF"/>
    <w:rsid w:val="00885AB8"/>
    <w:rsid w:val="00886396"/>
    <w:rsid w:val="008905BE"/>
    <w:rsid w:val="0089641C"/>
    <w:rsid w:val="00897226"/>
    <w:rsid w:val="008A2A9B"/>
    <w:rsid w:val="008A3897"/>
    <w:rsid w:val="008A420E"/>
    <w:rsid w:val="008A44A9"/>
    <w:rsid w:val="008A46D0"/>
    <w:rsid w:val="008A4E35"/>
    <w:rsid w:val="008A7255"/>
    <w:rsid w:val="008B230C"/>
    <w:rsid w:val="008B77AE"/>
    <w:rsid w:val="008C0183"/>
    <w:rsid w:val="008C0239"/>
    <w:rsid w:val="008C0BD5"/>
    <w:rsid w:val="008C4B04"/>
    <w:rsid w:val="008E6A6D"/>
    <w:rsid w:val="008F01C4"/>
    <w:rsid w:val="00907F2C"/>
    <w:rsid w:val="00920372"/>
    <w:rsid w:val="009203F4"/>
    <w:rsid w:val="00926BF5"/>
    <w:rsid w:val="00927B9B"/>
    <w:rsid w:val="00930754"/>
    <w:rsid w:val="009426A1"/>
    <w:rsid w:val="009654D9"/>
    <w:rsid w:val="00965D35"/>
    <w:rsid w:val="00966C98"/>
    <w:rsid w:val="009829F5"/>
    <w:rsid w:val="00985953"/>
    <w:rsid w:val="00985CF2"/>
    <w:rsid w:val="009900CC"/>
    <w:rsid w:val="00991928"/>
    <w:rsid w:val="009964DB"/>
    <w:rsid w:val="00996A4D"/>
    <w:rsid w:val="009A400A"/>
    <w:rsid w:val="009A5986"/>
    <w:rsid w:val="009A68FB"/>
    <w:rsid w:val="009A7E99"/>
    <w:rsid w:val="009B13D9"/>
    <w:rsid w:val="009B1ACC"/>
    <w:rsid w:val="009B66EA"/>
    <w:rsid w:val="009B7D1C"/>
    <w:rsid w:val="009C2638"/>
    <w:rsid w:val="009D4C7B"/>
    <w:rsid w:val="009F499B"/>
    <w:rsid w:val="00A04BB5"/>
    <w:rsid w:val="00A05A42"/>
    <w:rsid w:val="00A11007"/>
    <w:rsid w:val="00A117D1"/>
    <w:rsid w:val="00A12DC0"/>
    <w:rsid w:val="00A1508A"/>
    <w:rsid w:val="00A20215"/>
    <w:rsid w:val="00A21615"/>
    <w:rsid w:val="00A22615"/>
    <w:rsid w:val="00A2380C"/>
    <w:rsid w:val="00A25298"/>
    <w:rsid w:val="00A26C65"/>
    <w:rsid w:val="00A36C07"/>
    <w:rsid w:val="00A37807"/>
    <w:rsid w:val="00A37F23"/>
    <w:rsid w:val="00A40E0F"/>
    <w:rsid w:val="00A50B89"/>
    <w:rsid w:val="00A54422"/>
    <w:rsid w:val="00A546D6"/>
    <w:rsid w:val="00A6245E"/>
    <w:rsid w:val="00A70C6A"/>
    <w:rsid w:val="00A80B50"/>
    <w:rsid w:val="00A8121B"/>
    <w:rsid w:val="00A82BD4"/>
    <w:rsid w:val="00A839C5"/>
    <w:rsid w:val="00A846DE"/>
    <w:rsid w:val="00A8666F"/>
    <w:rsid w:val="00A93BE2"/>
    <w:rsid w:val="00A9716C"/>
    <w:rsid w:val="00AA01E8"/>
    <w:rsid w:val="00AA4B34"/>
    <w:rsid w:val="00AA66F1"/>
    <w:rsid w:val="00AA7B87"/>
    <w:rsid w:val="00AB0D0D"/>
    <w:rsid w:val="00AB1054"/>
    <w:rsid w:val="00AC2E44"/>
    <w:rsid w:val="00AD0C54"/>
    <w:rsid w:val="00AD0DA4"/>
    <w:rsid w:val="00AD4B25"/>
    <w:rsid w:val="00AD5D80"/>
    <w:rsid w:val="00AD7161"/>
    <w:rsid w:val="00AE48AD"/>
    <w:rsid w:val="00AE6C03"/>
    <w:rsid w:val="00AF02EC"/>
    <w:rsid w:val="00AF351F"/>
    <w:rsid w:val="00AF6CB2"/>
    <w:rsid w:val="00B1173C"/>
    <w:rsid w:val="00B1730B"/>
    <w:rsid w:val="00B17765"/>
    <w:rsid w:val="00B310D3"/>
    <w:rsid w:val="00B320DD"/>
    <w:rsid w:val="00B34E19"/>
    <w:rsid w:val="00B35EC9"/>
    <w:rsid w:val="00B37D7B"/>
    <w:rsid w:val="00B425EA"/>
    <w:rsid w:val="00B531B3"/>
    <w:rsid w:val="00B53787"/>
    <w:rsid w:val="00B547EB"/>
    <w:rsid w:val="00B6324B"/>
    <w:rsid w:val="00B71D0B"/>
    <w:rsid w:val="00B73E70"/>
    <w:rsid w:val="00B74EA9"/>
    <w:rsid w:val="00B752F7"/>
    <w:rsid w:val="00B8037F"/>
    <w:rsid w:val="00B82E75"/>
    <w:rsid w:val="00B86CD0"/>
    <w:rsid w:val="00B907D0"/>
    <w:rsid w:val="00B90CCD"/>
    <w:rsid w:val="00B91276"/>
    <w:rsid w:val="00B97B1E"/>
    <w:rsid w:val="00B97CC5"/>
    <w:rsid w:val="00BB2C3D"/>
    <w:rsid w:val="00BC3D8F"/>
    <w:rsid w:val="00BC69DB"/>
    <w:rsid w:val="00BE1AEE"/>
    <w:rsid w:val="00BE39A1"/>
    <w:rsid w:val="00BE434A"/>
    <w:rsid w:val="00BF528A"/>
    <w:rsid w:val="00BF6947"/>
    <w:rsid w:val="00C122D2"/>
    <w:rsid w:val="00C14379"/>
    <w:rsid w:val="00C16046"/>
    <w:rsid w:val="00C23512"/>
    <w:rsid w:val="00C24785"/>
    <w:rsid w:val="00C2500C"/>
    <w:rsid w:val="00C33200"/>
    <w:rsid w:val="00C404FE"/>
    <w:rsid w:val="00C41742"/>
    <w:rsid w:val="00C463A4"/>
    <w:rsid w:val="00C659CD"/>
    <w:rsid w:val="00C67466"/>
    <w:rsid w:val="00C67A96"/>
    <w:rsid w:val="00C8174C"/>
    <w:rsid w:val="00C832C4"/>
    <w:rsid w:val="00C84D83"/>
    <w:rsid w:val="00C91C16"/>
    <w:rsid w:val="00C92D8E"/>
    <w:rsid w:val="00C935BA"/>
    <w:rsid w:val="00CA3E3A"/>
    <w:rsid w:val="00CA5864"/>
    <w:rsid w:val="00CB2B66"/>
    <w:rsid w:val="00CB75BA"/>
    <w:rsid w:val="00CC745D"/>
    <w:rsid w:val="00CD1363"/>
    <w:rsid w:val="00CD348E"/>
    <w:rsid w:val="00CE1C1A"/>
    <w:rsid w:val="00CF1A58"/>
    <w:rsid w:val="00CF7134"/>
    <w:rsid w:val="00D01F5C"/>
    <w:rsid w:val="00D10888"/>
    <w:rsid w:val="00D1201B"/>
    <w:rsid w:val="00D13EB4"/>
    <w:rsid w:val="00D1743A"/>
    <w:rsid w:val="00D20FD6"/>
    <w:rsid w:val="00D22315"/>
    <w:rsid w:val="00D26B42"/>
    <w:rsid w:val="00D3139A"/>
    <w:rsid w:val="00D5077E"/>
    <w:rsid w:val="00D5266E"/>
    <w:rsid w:val="00D56ACD"/>
    <w:rsid w:val="00D61830"/>
    <w:rsid w:val="00D643EB"/>
    <w:rsid w:val="00D7146E"/>
    <w:rsid w:val="00D81474"/>
    <w:rsid w:val="00D81795"/>
    <w:rsid w:val="00D83D37"/>
    <w:rsid w:val="00D86FED"/>
    <w:rsid w:val="00D87CF9"/>
    <w:rsid w:val="00D95C68"/>
    <w:rsid w:val="00D97BED"/>
    <w:rsid w:val="00DA34D6"/>
    <w:rsid w:val="00DA7477"/>
    <w:rsid w:val="00DB3A18"/>
    <w:rsid w:val="00DB61F5"/>
    <w:rsid w:val="00DB7E02"/>
    <w:rsid w:val="00DC15D5"/>
    <w:rsid w:val="00DC249C"/>
    <w:rsid w:val="00DD11BB"/>
    <w:rsid w:val="00DE20D6"/>
    <w:rsid w:val="00DF3343"/>
    <w:rsid w:val="00DF5484"/>
    <w:rsid w:val="00E06CAC"/>
    <w:rsid w:val="00E07F77"/>
    <w:rsid w:val="00E107BD"/>
    <w:rsid w:val="00E128FF"/>
    <w:rsid w:val="00E13725"/>
    <w:rsid w:val="00E15D4B"/>
    <w:rsid w:val="00E161FB"/>
    <w:rsid w:val="00E22EDF"/>
    <w:rsid w:val="00E47520"/>
    <w:rsid w:val="00E515AF"/>
    <w:rsid w:val="00E52F57"/>
    <w:rsid w:val="00E55BF9"/>
    <w:rsid w:val="00E5694A"/>
    <w:rsid w:val="00E77B97"/>
    <w:rsid w:val="00E805E7"/>
    <w:rsid w:val="00E8376E"/>
    <w:rsid w:val="00E84CA5"/>
    <w:rsid w:val="00E85A53"/>
    <w:rsid w:val="00E90B83"/>
    <w:rsid w:val="00E910FC"/>
    <w:rsid w:val="00E91877"/>
    <w:rsid w:val="00EB024B"/>
    <w:rsid w:val="00EB04B4"/>
    <w:rsid w:val="00EB3D85"/>
    <w:rsid w:val="00EB78BE"/>
    <w:rsid w:val="00EC2D1F"/>
    <w:rsid w:val="00EC42C9"/>
    <w:rsid w:val="00EC7787"/>
    <w:rsid w:val="00ED2A66"/>
    <w:rsid w:val="00ED7C39"/>
    <w:rsid w:val="00EF2928"/>
    <w:rsid w:val="00EF5522"/>
    <w:rsid w:val="00F04911"/>
    <w:rsid w:val="00F0656B"/>
    <w:rsid w:val="00F12056"/>
    <w:rsid w:val="00F14449"/>
    <w:rsid w:val="00F1759B"/>
    <w:rsid w:val="00F17760"/>
    <w:rsid w:val="00F208E9"/>
    <w:rsid w:val="00F20C87"/>
    <w:rsid w:val="00F2532F"/>
    <w:rsid w:val="00F349D4"/>
    <w:rsid w:val="00F35533"/>
    <w:rsid w:val="00F356C6"/>
    <w:rsid w:val="00F41576"/>
    <w:rsid w:val="00F427E0"/>
    <w:rsid w:val="00F42A53"/>
    <w:rsid w:val="00F613E7"/>
    <w:rsid w:val="00F62FCC"/>
    <w:rsid w:val="00F672D1"/>
    <w:rsid w:val="00F738BA"/>
    <w:rsid w:val="00F80358"/>
    <w:rsid w:val="00F80870"/>
    <w:rsid w:val="00F83A95"/>
    <w:rsid w:val="00F90EBD"/>
    <w:rsid w:val="00F934BC"/>
    <w:rsid w:val="00F97609"/>
    <w:rsid w:val="00FA316C"/>
    <w:rsid w:val="00FA57ED"/>
    <w:rsid w:val="00FA6C65"/>
    <w:rsid w:val="00FB022E"/>
    <w:rsid w:val="00FB1B38"/>
    <w:rsid w:val="00FB2866"/>
    <w:rsid w:val="00FC2FBF"/>
    <w:rsid w:val="00FD1E5D"/>
    <w:rsid w:val="00FD76C3"/>
    <w:rsid w:val="00FE091E"/>
    <w:rsid w:val="00FE2EF6"/>
    <w:rsid w:val="00FE5995"/>
    <w:rsid w:val="00FF04F2"/>
    <w:rsid w:val="00FF0C68"/>
    <w:rsid w:val="00FF3E6C"/>
    <w:rsid w:val="00FF7E15"/>
    <w:rsid w:val="753D57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A7A4F"/>
  <w15:docId w15:val="{24249C1E-93FF-4C7A-AB10-B082CF0BF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val="en-US" w:eastAsia="en-US"/>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Footer">
    <w:name w:val="footer"/>
    <w:basedOn w:val="Normal"/>
    <w:link w:val="FooterChar"/>
    <w:uiPriority w:val="99"/>
    <w:semiHidden/>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TOC1">
    <w:name w:val="toc 1"/>
    <w:basedOn w:val="Normal"/>
    <w:next w:val="Normal"/>
    <w:uiPriority w:val="39"/>
    <w:unhideWhenUsed/>
    <w:qFormat/>
    <w:pPr>
      <w:spacing w:after="100"/>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365F91" w:themeColor="accent1" w:themeShade="BF"/>
      <w:sz w:val="28"/>
      <w:szCs w:val="28"/>
    </w:rPr>
  </w:style>
  <w:style w:type="paragraph" w:customStyle="1" w:styleId="TOCHeading1">
    <w:name w:val="TOC Heading1"/>
    <w:basedOn w:val="Heading1"/>
    <w:next w:val="Normal"/>
    <w:uiPriority w:val="39"/>
    <w:semiHidden/>
    <w:unhideWhenUsed/>
    <w:qFormat/>
    <w:pPr>
      <w:outlineLvl w:val="9"/>
    </w:pPr>
  </w:style>
  <w:style w:type="character" w:customStyle="1" w:styleId="BalloonTextChar">
    <w:name w:val="Balloon Text Char"/>
    <w:basedOn w:val="DefaultParagraphFont"/>
    <w:link w:val="BalloonText"/>
    <w:uiPriority w:val="99"/>
    <w:semiHidden/>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nbc.com/2022/12/09/uk-announces-major-overhaul-of-its-financial-sector-in-attempt-to-spur-growth.html" TargetMode="External"/><Relationship Id="rId13" Type="http://schemas.openxmlformats.org/officeDocument/2006/relationships/hyperlink" Target="https://www.parliament.uk/business/publications/research/key-issues-parliament-2015/economy-public-finances/regulating-bank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obr.uk/box/the-governments-regulatory-response-to-the-financial-cri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atimes.com/archives/la-xpm-2010-dec-08-la-fi-citigroup-treasury-20101208-story.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loballegalinsights.com/practice-areas/banking-and-finance-laws-and-regulations/united-kingdom" TargetMode="External"/><Relationship Id="rId4" Type="http://schemas.openxmlformats.org/officeDocument/2006/relationships/webSettings" Target="webSettings.xml"/><Relationship Id="rId9" Type="http://schemas.openxmlformats.org/officeDocument/2006/relationships/hyperlink" Target="https://www.federalreserve.gov/newsevents/pressreleases/bcreg20221123a.htm" TargetMode="External"/><Relationship Id="rId14" Type="http://schemas.openxmlformats.org/officeDocument/2006/relationships/hyperlink" Target="https://www.reuters.com/article/us-citigroup-settlement-doj-idUSKBN0FJ13120140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5F4983-83FF-4096-A3CE-B96564F1DFA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5348</Words>
  <Characters>30486</Characters>
  <Application>Microsoft Office Word</Application>
  <DocSecurity>0</DocSecurity>
  <Lines>254</Lines>
  <Paragraphs>71</Paragraphs>
  <ScaleCrop>false</ScaleCrop>
  <Company>by adguard</Company>
  <LinksUpToDate>false</LinksUpToDate>
  <CharactersWithSpaces>35763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Disha Jain</cp:lastModifiedBy>
  <cp:revision>2</cp:revision>
  <dcterms:created xsi:type="dcterms:W3CDTF">2023-12-19T10:19:00Z</dcterms:created>
  <dcterms:modified xsi:type="dcterms:W3CDTF">2023-12-19T10:19:00Z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1033-12.2.0.13359</vt:lpwstr>
  </property>
  <property fmtid="{D5CDD505-2E9C-101B-9397-08002B2CF9AE}" pid="3" name="ICV">
    <vt:lpwstr>98799B5C1846472F8A37F9A4B5F46793_13</vt:lpwstr>
  </property>
</Properties>
</file>