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4AE76" w14:textId="31BE209F" w:rsidR="003A7190" w:rsidRPr="00EA5015" w:rsidRDefault="00EA5015" w:rsidP="00EA5015">
      <w:pPr>
        <w:rPr>
          <w:rFonts w:ascii="Arial" w:hAnsi="Arial" w:cs="Arial"/>
          <w:sz w:val="24"/>
          <w:szCs w:val="24"/>
        </w:rPr>
      </w:pPr>
      <w:r w:rsidRPr="00EA5015">
        <w:rPr>
          <w:rFonts w:ascii="Arial" w:hAnsi="Arial" w:cs="Arial"/>
          <w:sz w:val="24"/>
          <w:szCs w:val="24"/>
        </w:rPr>
        <w:t>Assignment One: Task Two</w:t>
      </w:r>
    </w:p>
    <w:p w14:paraId="298E3827" w14:textId="4E70B018" w:rsidR="00EA5015" w:rsidRPr="00EA5015" w:rsidRDefault="00EA5015" w:rsidP="00EA5015">
      <w:pPr>
        <w:rPr>
          <w:rFonts w:ascii="Arial" w:hAnsi="Arial" w:cs="Arial"/>
          <w:sz w:val="24"/>
          <w:szCs w:val="24"/>
        </w:rPr>
      </w:pPr>
      <w:r w:rsidRPr="00EA5015">
        <w:rPr>
          <w:rFonts w:ascii="Arial" w:hAnsi="Arial" w:cs="Arial"/>
          <w:sz w:val="24"/>
          <w:szCs w:val="24"/>
        </w:rPr>
        <w:t xml:space="preserve">Stuart Davies-Jaynes </w:t>
      </w:r>
    </w:p>
    <w:p w14:paraId="1B632D26" w14:textId="773BDBEB" w:rsidR="00EA5015" w:rsidRPr="00EA5015" w:rsidRDefault="00EA5015" w:rsidP="00EA5015">
      <w:pPr>
        <w:rPr>
          <w:rFonts w:ascii="Arial" w:hAnsi="Arial" w:cs="Arial"/>
          <w:sz w:val="24"/>
          <w:szCs w:val="24"/>
          <w:u w:val="single"/>
        </w:rPr>
      </w:pPr>
      <w:r w:rsidRPr="00EA5015">
        <w:rPr>
          <w:rFonts w:ascii="Arial" w:hAnsi="Arial" w:cs="Arial"/>
          <w:sz w:val="24"/>
          <w:szCs w:val="24"/>
          <w:u w:val="single"/>
        </w:rPr>
        <w:t>Infographic Word Text</w:t>
      </w:r>
    </w:p>
    <w:p w14:paraId="2CFB7F4A" w14:textId="3C7A0D6F" w:rsidR="00EA5015" w:rsidRPr="00EA5015" w:rsidRDefault="00EA5015" w:rsidP="00EA5015">
      <w:pPr>
        <w:rPr>
          <w:rStyle w:val="oypena"/>
          <w:rFonts w:ascii="Arial" w:hAnsi="Arial" w:cs="Arial"/>
          <w:sz w:val="24"/>
          <w:szCs w:val="24"/>
        </w:rPr>
      </w:pPr>
      <w:r w:rsidRPr="00EA5015">
        <w:rPr>
          <w:rStyle w:val="oypena"/>
          <w:rFonts w:ascii="Arial" w:hAnsi="Arial" w:cs="Arial"/>
          <w:sz w:val="24"/>
          <w:szCs w:val="24"/>
        </w:rPr>
        <w:t>The PESTLE analysis tool enables organisations to examine the effects of six external factors (Political, Economic, Social, Technological, Legal and Environmental) on their business (Marmol and Feys, 2015). By analysing these factors, businesses can make informed decisions to influence their strategy and identify potential external threats and opportunities in their industry. Used in isolation, PESTLE analysis users risk oversimplification or information overload, leading to flawed decisions. Assumptions may prove unfounded, and the fast-paced changes make future predictions challenging (CIPD, 2023a). For assessing internal factors, organisations typically combine other tools, such as SWOT analysis (Strengths, Weaknesses, Opportunities, Threats). Within the business world, the practice of categorising internal and external factors often serves as a common initial step in the strategic planning process (Helms and Nixon, 2010). To assess potential threats arising from competitive rivalry, influential buyers, formidable suppliers, possible new entrants, and alternative products, organisations may also wish to adopt Porter’s Five Forces tool (Dobbs, 2014). The following illustrates how Legal, Technological, and Political factors impact Bluestone National Park Resorts.</w:t>
      </w:r>
    </w:p>
    <w:p w14:paraId="76B11BFC" w14:textId="77777777" w:rsidR="00EA5015" w:rsidRPr="00EA5015" w:rsidRDefault="00EA5015" w:rsidP="00EA5015">
      <w:pPr>
        <w:rPr>
          <w:rStyle w:val="oypena"/>
          <w:rFonts w:ascii="Arial" w:hAnsi="Arial" w:cs="Arial"/>
          <w:sz w:val="24"/>
          <w:szCs w:val="24"/>
          <w:u w:val="single"/>
        </w:rPr>
      </w:pPr>
      <w:r w:rsidRPr="00EA5015">
        <w:rPr>
          <w:rStyle w:val="oypena"/>
          <w:rFonts w:ascii="Arial" w:hAnsi="Arial" w:cs="Arial"/>
          <w:sz w:val="24"/>
          <w:szCs w:val="24"/>
          <w:u w:val="single"/>
        </w:rPr>
        <w:t>Legal</w:t>
      </w:r>
    </w:p>
    <w:p w14:paraId="1730CBFF" w14:textId="1FA777F1" w:rsidR="00EA5015" w:rsidRPr="00EA5015" w:rsidRDefault="00EA5015" w:rsidP="00EA5015">
      <w:pPr>
        <w:rPr>
          <w:rFonts w:ascii="Arial" w:hAnsi="Arial" w:cs="Arial"/>
          <w:sz w:val="24"/>
          <w:szCs w:val="24"/>
          <w:u w:val="single"/>
        </w:rPr>
      </w:pPr>
      <w:r w:rsidRPr="00EA5015">
        <w:rPr>
          <w:rFonts w:ascii="Arial" w:eastAsia="Times New Roman" w:hAnsi="Arial" w:cs="Arial"/>
          <w:kern w:val="0"/>
          <w:sz w:val="24"/>
          <w:szCs w:val="24"/>
          <w:lang w:eastAsia="en-GB"/>
          <w14:ligatures w14:val="none"/>
        </w:rPr>
        <w:t xml:space="preserve">Bluestone is subject to UK employment law factors that shape our HR strategy. Employment law oversees the interaction between employers and employees, defining the expectations employers have for their workers, outlining permissible requests employers can make of employees, and safeguarding the rights of employees in the workplace (CIPD, 2023b). </w:t>
      </w:r>
    </w:p>
    <w:p w14:paraId="460EAA29" w14:textId="28A0BC06"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 xml:space="preserve">It is illegal to pay below the National Minimum Wage or National Living Wage, as well as to falsify pay records (ACAS, 2023). This law ensures our employees receive fair compensation for their services. If Bluestone neglect to pay the NMW we would not only violate our legal obligations to our employees but also contribute to suppressing the wages of individuals working within our local communities , leading to poor employee relations, disengaged employees and damage our employee brand (Gov UK, 2023). This could have a detrimental </w:t>
      </w:r>
      <w:r w:rsidR="00355436" w:rsidRPr="00EA5015">
        <w:rPr>
          <w:rFonts w:ascii="Arial" w:eastAsia="Times New Roman" w:hAnsi="Arial" w:cs="Arial"/>
          <w:kern w:val="0"/>
          <w:sz w:val="24"/>
          <w:szCs w:val="24"/>
          <w:lang w:eastAsia="en-GB"/>
          <w14:ligatures w14:val="none"/>
        </w:rPr>
        <w:t>effect</w:t>
      </w:r>
      <w:r w:rsidRPr="00EA5015">
        <w:rPr>
          <w:rFonts w:ascii="Arial" w:eastAsia="Times New Roman" w:hAnsi="Arial" w:cs="Arial"/>
          <w:kern w:val="0"/>
          <w:sz w:val="24"/>
          <w:szCs w:val="24"/>
          <w:lang w:eastAsia="en-GB"/>
          <w14:ligatures w14:val="none"/>
        </w:rPr>
        <w:t xml:space="preserve"> on attracting future applicants. Get to know the pay rates.</w:t>
      </w:r>
    </w:p>
    <w:p w14:paraId="3BA2CD66" w14:textId="77777777"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 xml:space="preserve">Working Time Regulations 1998 (WTR), govern employee working hours, breaks, and paid leave. Adhering to the WTR will promote positive well-being of our employees, prevent excessive working hours, and ensure adequate time for rest and recreation. Doing so will result in reduced absenteeism, improved </w:t>
      </w:r>
      <w:proofErr w:type="gramStart"/>
      <w:r w:rsidRPr="00EA5015">
        <w:rPr>
          <w:rFonts w:ascii="Arial" w:eastAsia="Times New Roman" w:hAnsi="Arial" w:cs="Arial"/>
          <w:kern w:val="0"/>
          <w:sz w:val="24"/>
          <w:szCs w:val="24"/>
          <w:lang w:eastAsia="en-GB"/>
          <w14:ligatures w14:val="none"/>
        </w:rPr>
        <w:t>productivity</w:t>
      </w:r>
      <w:proofErr w:type="gramEnd"/>
      <w:r w:rsidRPr="00EA5015">
        <w:rPr>
          <w:rFonts w:ascii="Arial" w:eastAsia="Times New Roman" w:hAnsi="Arial" w:cs="Arial"/>
          <w:kern w:val="0"/>
          <w:sz w:val="24"/>
          <w:szCs w:val="24"/>
          <w:lang w:eastAsia="en-GB"/>
          <w14:ligatures w14:val="none"/>
        </w:rPr>
        <w:t xml:space="preserve"> and H&amp;S at Bluestone. (People Management, 2023a). </w:t>
      </w:r>
    </w:p>
    <w:p w14:paraId="6FAE881C" w14:textId="77777777"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lastRenderedPageBreak/>
        <w:t xml:space="preserve">The Equality Act 2010 provides legal protection for employees against discrimination in the workplace (Gov UK, 2013). The laws </w:t>
      </w:r>
      <w:proofErr w:type="gramStart"/>
      <w:r w:rsidRPr="00EA5015">
        <w:rPr>
          <w:rFonts w:ascii="Arial" w:eastAsia="Times New Roman" w:hAnsi="Arial" w:cs="Arial"/>
          <w:kern w:val="0"/>
          <w:sz w:val="24"/>
          <w:szCs w:val="24"/>
          <w:lang w:eastAsia="en-GB"/>
          <w14:ligatures w14:val="none"/>
        </w:rPr>
        <w:t>prohibits</w:t>
      </w:r>
      <w:proofErr w:type="gramEnd"/>
      <w:r w:rsidRPr="00EA5015">
        <w:rPr>
          <w:rFonts w:ascii="Arial" w:eastAsia="Times New Roman" w:hAnsi="Arial" w:cs="Arial"/>
          <w:kern w:val="0"/>
          <w:sz w:val="24"/>
          <w:szCs w:val="24"/>
          <w:lang w:eastAsia="en-GB"/>
          <w14:ligatures w14:val="none"/>
        </w:rPr>
        <w:t xml:space="preserve"> unfair treatment based on characteristics such as age, gender, race, disability, and sexual orientation. Ensuring equal opportunities and fair treatment is not only a legal requirement but also contributes to creating a diverse and inclusive workforce. Establishing an equitable culture fosters a sense of belonging for our employees, which will develop into an improved retention, productivity, </w:t>
      </w:r>
      <w:proofErr w:type="gramStart"/>
      <w:r w:rsidRPr="00EA5015">
        <w:rPr>
          <w:rFonts w:ascii="Arial" w:eastAsia="Times New Roman" w:hAnsi="Arial" w:cs="Arial"/>
          <w:kern w:val="0"/>
          <w:sz w:val="24"/>
          <w:szCs w:val="24"/>
          <w:lang w:eastAsia="en-GB"/>
          <w14:ligatures w14:val="none"/>
        </w:rPr>
        <w:t>engagement</w:t>
      </w:r>
      <w:proofErr w:type="gramEnd"/>
      <w:r w:rsidRPr="00EA5015">
        <w:rPr>
          <w:rFonts w:ascii="Arial" w:eastAsia="Times New Roman" w:hAnsi="Arial" w:cs="Arial"/>
          <w:kern w:val="0"/>
          <w:sz w:val="24"/>
          <w:szCs w:val="24"/>
          <w:lang w:eastAsia="en-GB"/>
          <w14:ligatures w14:val="none"/>
        </w:rPr>
        <w:t xml:space="preserve"> and an optimum guest experience (Manuel and Karloff, 2020).</w:t>
      </w:r>
    </w:p>
    <w:p w14:paraId="08595626" w14:textId="77777777" w:rsidR="00EA5015" w:rsidRDefault="00EA5015" w:rsidP="00EA5015">
      <w:pPr>
        <w:rPr>
          <w:rFonts w:ascii="Arial" w:hAnsi="Arial" w:cs="Arial"/>
          <w:sz w:val="24"/>
          <w:szCs w:val="24"/>
          <w:u w:val="single"/>
        </w:rPr>
      </w:pPr>
    </w:p>
    <w:p w14:paraId="1FF779EC" w14:textId="73791CF8" w:rsidR="00EA5015" w:rsidRPr="00EA5015" w:rsidRDefault="00EA5015" w:rsidP="00EA5015">
      <w:pPr>
        <w:rPr>
          <w:rFonts w:ascii="Arial" w:hAnsi="Arial" w:cs="Arial"/>
          <w:sz w:val="24"/>
          <w:szCs w:val="24"/>
          <w:u w:val="single"/>
        </w:rPr>
      </w:pPr>
      <w:r w:rsidRPr="00EA5015">
        <w:rPr>
          <w:rFonts w:ascii="Arial" w:hAnsi="Arial" w:cs="Arial"/>
          <w:sz w:val="24"/>
          <w:szCs w:val="24"/>
          <w:u w:val="single"/>
        </w:rPr>
        <w:t>Technological</w:t>
      </w:r>
    </w:p>
    <w:p w14:paraId="1D8E6175" w14:textId="77777777"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 xml:space="preserve">Technology continues to have a significant influence our HR strategy, including reshaping the way we learn and interact with our guests (CIPD, 2017). According to ACAS (2017) it will primarily enhance work productivity by automating tasks, saving employees time, easing physical demands, and providing valuable data to enabling the business to make better informed decisions. These are just some of the ways in which the external technology </w:t>
      </w:r>
      <w:proofErr w:type="gramStart"/>
      <w:r w:rsidRPr="00EA5015">
        <w:rPr>
          <w:rFonts w:ascii="Arial" w:eastAsia="Times New Roman" w:hAnsi="Arial" w:cs="Arial"/>
          <w:kern w:val="0"/>
          <w:sz w:val="24"/>
          <w:szCs w:val="24"/>
          <w:lang w:eastAsia="en-GB"/>
          <w14:ligatures w14:val="none"/>
        </w:rPr>
        <w:t>affect</w:t>
      </w:r>
      <w:proofErr w:type="gramEnd"/>
      <w:r w:rsidRPr="00EA5015">
        <w:rPr>
          <w:rFonts w:ascii="Arial" w:eastAsia="Times New Roman" w:hAnsi="Arial" w:cs="Arial"/>
          <w:kern w:val="0"/>
          <w:sz w:val="24"/>
          <w:szCs w:val="24"/>
          <w:lang w:eastAsia="en-GB"/>
          <w14:ligatures w14:val="none"/>
        </w:rPr>
        <w:t xml:space="preserve"> our business.</w:t>
      </w:r>
    </w:p>
    <w:p w14:paraId="7A3D8411" w14:textId="77777777"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 xml:space="preserve">The adoption of digital platforms and online booking systems within the sector has revolutionised how guests plan and book their holidays, offering convenience and flexibility (Bearne, 2016). As a result, our HR strategies must prioritise digital literacy and proficiency among employees. Our training initiatives should be designed to ensure that our staff can adeptly navigate and leverage these online platforms to enhance the guest experience (Florkowski, 2019). Failing to </w:t>
      </w:r>
      <w:proofErr w:type="spellStart"/>
      <w:r w:rsidRPr="00EA5015">
        <w:rPr>
          <w:rFonts w:ascii="Arial" w:eastAsia="Times New Roman" w:hAnsi="Arial" w:cs="Arial"/>
          <w:kern w:val="0"/>
          <w:sz w:val="24"/>
          <w:szCs w:val="24"/>
          <w:lang w:eastAsia="en-GB"/>
          <w14:ligatures w14:val="none"/>
        </w:rPr>
        <w:t>to</w:t>
      </w:r>
      <w:proofErr w:type="spellEnd"/>
      <w:r w:rsidRPr="00EA5015">
        <w:rPr>
          <w:rFonts w:ascii="Arial" w:eastAsia="Times New Roman" w:hAnsi="Arial" w:cs="Arial"/>
          <w:kern w:val="0"/>
          <w:sz w:val="24"/>
          <w:szCs w:val="24"/>
          <w:lang w:eastAsia="en-GB"/>
          <w14:ligatures w14:val="none"/>
        </w:rPr>
        <w:t xml:space="preserve"> provide our employees with appropriate skills could lead to frustration, poor productivity, higher levels of absenteeism and ultimately a poor guest experience.</w:t>
      </w:r>
    </w:p>
    <w:p w14:paraId="250073B8" w14:textId="77777777"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 xml:space="preserve">Bluestone requires ‘big data analytics’ to enable the business to gain insights into customer behaviour and make data-driven decisions to enhance overall efficiency and improve company performance (Sun, 2019). This impacts our HR strategy to ensure our recruitment practices seek candidates with technological expertise. Hiring employees well-versed in emerging technologies will ensure we remain at the forefront of innovation which is a positive experience for both staff and guests. According to Ahuja (2018) we should optimise this within our employer brand as it serves as a powerful business tool, aligning the company's values and HR policies with the corporate brand, this is key to attracting the best possible talent. </w:t>
      </w:r>
    </w:p>
    <w:p w14:paraId="1D6410EB" w14:textId="77777777"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 xml:space="preserve">The growth of Artificial Intelligence (AI) will eventually influence our and transform our HR strategy by automating recruitment processes, enhancing employee engagement through personalised experiences, and improving learning and </w:t>
      </w:r>
      <w:r w:rsidRPr="00EA5015">
        <w:rPr>
          <w:rFonts w:ascii="Arial" w:eastAsia="Times New Roman" w:hAnsi="Arial" w:cs="Arial"/>
          <w:kern w:val="0"/>
          <w:sz w:val="24"/>
          <w:szCs w:val="24"/>
          <w:lang w:eastAsia="en-GB"/>
          <w14:ligatures w14:val="none"/>
        </w:rPr>
        <w:lastRenderedPageBreak/>
        <w:t>development with adaptive platforms (CIPD, 2023c). We should educate our teams to accompany AI in its implementation ensuring ethical considerations are at the forefront (People Management, 2023b). AI can bring cost efficiencies to core administration tasks allowing individuals to flourish in their roles through their own creativity and skills growth.</w:t>
      </w:r>
    </w:p>
    <w:p w14:paraId="5AD976A2" w14:textId="77777777" w:rsidR="00EA5015" w:rsidRDefault="00EA5015" w:rsidP="00EA5015">
      <w:pPr>
        <w:rPr>
          <w:rFonts w:ascii="Arial" w:hAnsi="Arial" w:cs="Arial"/>
          <w:sz w:val="24"/>
          <w:szCs w:val="24"/>
          <w:u w:val="single"/>
        </w:rPr>
      </w:pPr>
    </w:p>
    <w:p w14:paraId="62CAEBF4" w14:textId="664AB39D" w:rsidR="00EA5015" w:rsidRPr="00EA5015" w:rsidRDefault="00EA5015" w:rsidP="00EA5015">
      <w:pPr>
        <w:rPr>
          <w:rFonts w:ascii="Arial" w:hAnsi="Arial" w:cs="Arial"/>
          <w:sz w:val="24"/>
          <w:szCs w:val="24"/>
          <w:u w:val="single"/>
        </w:rPr>
      </w:pPr>
      <w:r w:rsidRPr="00EA5015">
        <w:rPr>
          <w:rFonts w:ascii="Arial" w:hAnsi="Arial" w:cs="Arial"/>
          <w:sz w:val="24"/>
          <w:szCs w:val="24"/>
          <w:u w:val="single"/>
        </w:rPr>
        <w:t>Political</w:t>
      </w:r>
    </w:p>
    <w:p w14:paraId="69728F99" w14:textId="77777777"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The government have a significant influence on Bluestone through various policies, regulations, and decisions, these will also differ between the views of different political parties (Taylor and Perkins, 2021). Here are some ways in which political factors can impact Bluestone.</w:t>
      </w:r>
    </w:p>
    <w:p w14:paraId="6AFBBD0B" w14:textId="77777777"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 xml:space="preserve">Shifts in immigration policies and workforce regulations can influence the accessibility labour within our industry. Notably, Brexit has significantly altered the UK's association with the European Union, limiting the movement of resource (CIPD, 2019). This is particularly evident in the case of low-skilled workers, a significant target resource group of Bluestone. Incorporating these changes into our HR strategy is imperative to navigate evolving visa requirements. Additionally, we must intensify efforts to attract and retain local talent, failure to do so could result in employees becoming over-worked resulting in increased absenteeism and higher rates of attrition. </w:t>
      </w:r>
    </w:p>
    <w:p w14:paraId="56902E61" w14:textId="77777777" w:rsidR="00EA5015" w:rsidRP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Government funding within learning development can influence Bluestone’s budgets and resource allocation. This has a direct correlation to our HR strategies to optimise the use of available resources, aligning training and development programs with government priorities, and leveraging any available financial support for employee initiatives. According to (Taylor, 2019) accessing and promoting government funded learning programmes such as apprenticeships is essential if we want to encourage employees to stay, failure to do so could result in higher employee attrition levels and poor productivity due to low employee morale.</w:t>
      </w:r>
    </w:p>
    <w:p w14:paraId="4C0658C1" w14:textId="63A91491" w:rsidR="00EA5015" w:rsidRDefault="00EA5015" w:rsidP="00EA5015">
      <w:pPr>
        <w:spacing w:before="100" w:beforeAutospacing="1" w:after="100" w:afterAutospacing="1" w:line="345" w:lineRule="atLeast"/>
        <w:rPr>
          <w:rFonts w:ascii="Arial" w:eastAsia="Times New Roman" w:hAnsi="Arial" w:cs="Arial"/>
          <w:kern w:val="0"/>
          <w:sz w:val="24"/>
          <w:szCs w:val="24"/>
          <w:lang w:eastAsia="en-GB"/>
          <w14:ligatures w14:val="none"/>
        </w:rPr>
      </w:pPr>
      <w:r w:rsidRPr="00EA5015">
        <w:rPr>
          <w:rFonts w:ascii="Arial" w:eastAsia="Times New Roman" w:hAnsi="Arial" w:cs="Arial"/>
          <w:kern w:val="0"/>
          <w:sz w:val="24"/>
          <w:szCs w:val="24"/>
          <w:lang w:eastAsia="en-GB"/>
          <w14:ligatures w14:val="none"/>
        </w:rPr>
        <w:t xml:space="preserve">Changes in taxation and trade policies can affect our bottom line and strategic HR planning. In April 2023, the primary corporate tax rate rose from 19% to 25% (Keep, 2023) having a profound impact on our available funds to spend on HR investments. </w:t>
      </w:r>
      <w:proofErr w:type="gramStart"/>
      <w:r w:rsidRPr="00EA5015">
        <w:rPr>
          <w:rFonts w:ascii="Arial" w:eastAsia="Times New Roman" w:hAnsi="Arial" w:cs="Arial"/>
          <w:kern w:val="0"/>
          <w:sz w:val="24"/>
          <w:szCs w:val="24"/>
          <w:lang w:eastAsia="en-GB"/>
          <w14:ligatures w14:val="none"/>
        </w:rPr>
        <w:t>Thus</w:t>
      </w:r>
      <w:proofErr w:type="gramEnd"/>
      <w:r w:rsidRPr="00EA5015">
        <w:rPr>
          <w:rFonts w:ascii="Arial" w:eastAsia="Times New Roman" w:hAnsi="Arial" w:cs="Arial"/>
          <w:kern w:val="0"/>
          <w:sz w:val="24"/>
          <w:szCs w:val="24"/>
          <w:lang w:eastAsia="en-GB"/>
          <w14:ligatures w14:val="none"/>
        </w:rPr>
        <w:t xml:space="preserve"> forcing the business to consider the key HR priorities and employ alternative solutions within a limited budget. Employee benefits can be non-cash provisions within the reward package to enable us to foster positive employee morale and engagement (CIPD, 2023d).</w:t>
      </w:r>
    </w:p>
    <w:p w14:paraId="448FEEDB" w14:textId="77777777" w:rsidR="000F2953" w:rsidRPr="00333069" w:rsidRDefault="000F2953" w:rsidP="000F2953">
      <w:pPr>
        <w:rPr>
          <w:rFonts w:ascii="Arial" w:hAnsi="Arial" w:cs="Arial"/>
          <w:b/>
          <w:bCs/>
          <w:sz w:val="24"/>
          <w:szCs w:val="24"/>
        </w:rPr>
      </w:pPr>
      <w:r w:rsidRPr="00333069">
        <w:rPr>
          <w:rFonts w:ascii="Arial" w:hAnsi="Arial" w:cs="Arial"/>
          <w:b/>
          <w:bCs/>
          <w:sz w:val="24"/>
          <w:szCs w:val="24"/>
        </w:rPr>
        <w:lastRenderedPageBreak/>
        <w:t>Reference List</w:t>
      </w:r>
    </w:p>
    <w:p w14:paraId="60CB1302" w14:textId="77777777" w:rsidR="000F2953" w:rsidRPr="00333069" w:rsidRDefault="000F2953" w:rsidP="000F2953">
      <w:pPr>
        <w:rPr>
          <w:rFonts w:ascii="Arial" w:hAnsi="Arial" w:cs="Arial"/>
          <w:sz w:val="24"/>
          <w:szCs w:val="24"/>
        </w:rPr>
      </w:pPr>
    </w:p>
    <w:p w14:paraId="69A5308E" w14:textId="77777777"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 xml:space="preserve">ACAS (2017) </w:t>
      </w:r>
      <w:r w:rsidRPr="00333069">
        <w:rPr>
          <w:rFonts w:ascii="Arial" w:hAnsi="Arial" w:cs="Arial"/>
          <w:i/>
          <w:iCs/>
        </w:rPr>
        <w:t>Mind over machines: New technology and employment relations | www.acas.org.uk</w:t>
      </w:r>
      <w:r w:rsidRPr="00333069">
        <w:rPr>
          <w:rFonts w:ascii="Arial" w:hAnsi="Arial" w:cs="Arial"/>
        </w:rPr>
        <w:t>. Available at: https://www.acas.org.uk/mind-over-machines-new-technology-and-employment-relations/html (Accessed: 22 November 2023)</w:t>
      </w:r>
    </w:p>
    <w:p w14:paraId="0144A8F5" w14:textId="77777777" w:rsidR="000F2953" w:rsidRPr="00333069" w:rsidRDefault="000F2953" w:rsidP="000F2953">
      <w:pPr>
        <w:spacing w:after="0" w:line="240" w:lineRule="auto"/>
        <w:rPr>
          <w:rFonts w:ascii="Arial" w:eastAsia="Times New Roman" w:hAnsi="Arial" w:cs="Arial"/>
          <w:kern w:val="0"/>
          <w:sz w:val="24"/>
          <w:szCs w:val="24"/>
          <w:lang w:eastAsia="en-GB"/>
          <w14:ligatures w14:val="none"/>
        </w:rPr>
      </w:pPr>
      <w:r w:rsidRPr="00333069">
        <w:rPr>
          <w:rFonts w:ascii="Arial" w:eastAsia="Times New Roman" w:hAnsi="Arial" w:cs="Arial"/>
          <w:kern w:val="0"/>
          <w:sz w:val="24"/>
          <w:szCs w:val="24"/>
          <w:lang w:eastAsia="en-GB"/>
          <w14:ligatures w14:val="none"/>
        </w:rPr>
        <w:t xml:space="preserve">Ahuja, V. (2018). </w:t>
      </w:r>
      <w:r w:rsidRPr="00333069">
        <w:rPr>
          <w:rFonts w:ascii="Arial" w:eastAsia="Times New Roman" w:hAnsi="Arial" w:cs="Arial"/>
          <w:i/>
          <w:iCs/>
          <w:kern w:val="0"/>
          <w:sz w:val="24"/>
          <w:szCs w:val="24"/>
          <w:lang w:eastAsia="en-GB"/>
          <w14:ligatures w14:val="none"/>
        </w:rPr>
        <w:t>Multidisciplinary perspectives on human capital and information technology professionals</w:t>
      </w:r>
      <w:r w:rsidRPr="00333069">
        <w:rPr>
          <w:rFonts w:ascii="Arial" w:eastAsia="Times New Roman" w:hAnsi="Arial" w:cs="Arial"/>
          <w:kern w:val="0"/>
          <w:sz w:val="24"/>
          <w:szCs w:val="24"/>
          <w:lang w:eastAsia="en-GB"/>
          <w14:ligatures w14:val="none"/>
        </w:rPr>
        <w:t xml:space="preserve"> (V. Ahuja &amp; S. Rathore, Eds.). IGI Global. </w:t>
      </w:r>
      <w:hyperlink r:id="rId6" w:history="1">
        <w:r w:rsidRPr="00333069">
          <w:rPr>
            <w:rStyle w:val="Hyperlink"/>
            <w:rFonts w:ascii="Arial" w:eastAsia="Times New Roman" w:hAnsi="Arial" w:cs="Arial"/>
            <w:kern w:val="0"/>
            <w:sz w:val="24"/>
            <w:szCs w:val="24"/>
            <w:lang w:eastAsia="en-GB"/>
            <w14:ligatures w14:val="none"/>
          </w:rPr>
          <w:t>https://doi.org/10.4018/978-1-5225-5297-0</w:t>
        </w:r>
      </w:hyperlink>
      <w:r w:rsidRPr="00333069">
        <w:rPr>
          <w:rFonts w:ascii="Arial" w:eastAsia="Times New Roman" w:hAnsi="Arial" w:cs="Arial"/>
          <w:kern w:val="0"/>
          <w:sz w:val="24"/>
          <w:szCs w:val="24"/>
          <w:lang w:eastAsia="en-GB"/>
          <w14:ligatures w14:val="none"/>
        </w:rPr>
        <w:t xml:space="preserve"> (Accessed: 20 November 2023)</w:t>
      </w:r>
    </w:p>
    <w:p w14:paraId="42126BA9" w14:textId="77777777" w:rsidR="000F2953" w:rsidRPr="00333069" w:rsidRDefault="000F2953" w:rsidP="000F2953">
      <w:pPr>
        <w:pStyle w:val="NormalWeb"/>
        <w:spacing w:before="0" w:beforeAutospacing="0" w:after="240" w:afterAutospacing="0" w:line="360" w:lineRule="auto"/>
        <w:rPr>
          <w:rFonts w:ascii="Arial" w:hAnsi="Arial" w:cs="Arial"/>
        </w:rPr>
      </w:pPr>
    </w:p>
    <w:p w14:paraId="57B91620" w14:textId="168084E2"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 xml:space="preserve">ACAS (2023) </w:t>
      </w:r>
      <w:r w:rsidRPr="00333069">
        <w:rPr>
          <w:rFonts w:ascii="Arial" w:hAnsi="Arial" w:cs="Arial"/>
          <w:i/>
          <w:iCs/>
        </w:rPr>
        <w:t>If an employer pays less - National Minimum Wage</w:t>
      </w:r>
      <w:r w:rsidRPr="00333069">
        <w:rPr>
          <w:rFonts w:ascii="Arial" w:hAnsi="Arial" w:cs="Arial"/>
        </w:rPr>
        <w:t>. Available at: https://www.acas.org.uk/national-minimum-wage-entitlement/if-an-employer-does-not-pay-minimum-wage#:~:text=It%27s%20against%20the%20law%20to%20pay%20below%20the (Accessed: 23 November 2023).</w:t>
      </w:r>
    </w:p>
    <w:p w14:paraId="7292A5DC" w14:textId="77777777" w:rsidR="000F2953" w:rsidRPr="00333069" w:rsidRDefault="000F2953" w:rsidP="000F2953">
      <w:pPr>
        <w:pStyle w:val="NormalWeb"/>
        <w:spacing w:before="0" w:beforeAutospacing="0" w:after="0" w:afterAutospacing="0" w:line="360" w:lineRule="atLeast"/>
        <w:rPr>
          <w:rFonts w:ascii="Arial" w:hAnsi="Arial" w:cs="Arial"/>
        </w:rPr>
      </w:pPr>
      <w:r w:rsidRPr="00333069">
        <w:rPr>
          <w:rFonts w:ascii="Arial" w:hAnsi="Arial" w:cs="Arial"/>
        </w:rPr>
        <w:t>Bearne, S. (2016) </w:t>
      </w:r>
      <w:r w:rsidRPr="00333069">
        <w:rPr>
          <w:rFonts w:ascii="Arial" w:hAnsi="Arial" w:cs="Arial"/>
          <w:i/>
          <w:iCs/>
        </w:rPr>
        <w:t>How technology has transformed the travel industry</w:t>
      </w:r>
      <w:r w:rsidRPr="00333069">
        <w:rPr>
          <w:rFonts w:ascii="Arial" w:hAnsi="Arial" w:cs="Arial"/>
        </w:rPr>
        <w:t>, </w:t>
      </w:r>
      <w:r w:rsidRPr="00333069">
        <w:rPr>
          <w:rFonts w:ascii="Arial" w:hAnsi="Arial" w:cs="Arial"/>
          <w:i/>
          <w:iCs/>
        </w:rPr>
        <w:t>the Guardian</w:t>
      </w:r>
      <w:r w:rsidRPr="00333069">
        <w:rPr>
          <w:rFonts w:ascii="Arial" w:hAnsi="Arial" w:cs="Arial"/>
        </w:rPr>
        <w:t xml:space="preserve">. The Guardian. Available at: </w:t>
      </w:r>
      <w:hyperlink r:id="rId7" w:history="1">
        <w:r w:rsidRPr="00333069">
          <w:rPr>
            <w:rStyle w:val="Hyperlink"/>
            <w:rFonts w:ascii="Arial" w:hAnsi="Arial" w:cs="Arial"/>
          </w:rPr>
          <w:t>https://www.theguardian.com/media-</w:t>
        </w:r>
      </w:hyperlink>
    </w:p>
    <w:p w14:paraId="7EF1D9C3" w14:textId="77777777" w:rsidR="000F2953" w:rsidRPr="00333069" w:rsidRDefault="000F2953" w:rsidP="000F2953">
      <w:pPr>
        <w:pStyle w:val="NormalWeb"/>
        <w:spacing w:before="0" w:beforeAutospacing="0" w:after="0" w:afterAutospacing="0" w:line="360" w:lineRule="atLeast"/>
        <w:rPr>
          <w:rFonts w:ascii="Arial" w:hAnsi="Arial" w:cs="Arial"/>
        </w:rPr>
      </w:pPr>
      <w:r w:rsidRPr="00333069">
        <w:rPr>
          <w:rFonts w:ascii="Arial" w:hAnsi="Arial" w:cs="Arial"/>
        </w:rPr>
        <w:t>network/2016/feb/29/technology-internet-transformed-travel-industry-airbnb. (Accessed: 22 November 2023)</w:t>
      </w:r>
    </w:p>
    <w:p w14:paraId="1F3BFCF6" w14:textId="77777777" w:rsidR="000F2953" w:rsidRPr="00333069" w:rsidRDefault="000F2953" w:rsidP="000F2953">
      <w:pPr>
        <w:pStyle w:val="NormalWeb"/>
        <w:spacing w:before="0" w:beforeAutospacing="0" w:after="240" w:afterAutospacing="0" w:line="360" w:lineRule="auto"/>
        <w:rPr>
          <w:rFonts w:ascii="Arial" w:hAnsi="Arial" w:cs="Arial"/>
        </w:rPr>
      </w:pPr>
    </w:p>
    <w:p w14:paraId="5B642B3A" w14:textId="77777777"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 xml:space="preserve">CIPD (2017) </w:t>
      </w:r>
      <w:r w:rsidRPr="00333069">
        <w:rPr>
          <w:rFonts w:ascii="Arial" w:hAnsi="Arial" w:cs="Arial"/>
          <w:i/>
          <w:iCs/>
        </w:rPr>
        <w:t>The future of technology and learning Research report</w:t>
      </w:r>
      <w:r w:rsidRPr="00333069">
        <w:rPr>
          <w:rFonts w:ascii="Arial" w:hAnsi="Arial" w:cs="Arial"/>
        </w:rPr>
        <w:t>. Available at: https://www.cipd.org/globalassets/media/knowledge/knowledge-hub/reports/the-future-of-technology-and-learning_2017_tcm18-29348.pdf (Accessed: 23 November 2023).</w:t>
      </w:r>
    </w:p>
    <w:p w14:paraId="2CDB4350" w14:textId="77777777" w:rsidR="000F2953" w:rsidRPr="00333069" w:rsidRDefault="000F2953" w:rsidP="000F2953">
      <w:pPr>
        <w:pStyle w:val="NormalWeb"/>
        <w:spacing w:before="0" w:beforeAutospacing="0" w:after="0" w:afterAutospacing="0" w:line="360" w:lineRule="atLeast"/>
        <w:rPr>
          <w:rFonts w:ascii="Arial" w:hAnsi="Arial" w:cs="Arial"/>
        </w:rPr>
      </w:pPr>
      <w:r w:rsidRPr="00333069">
        <w:rPr>
          <w:rFonts w:ascii="Arial" w:hAnsi="Arial" w:cs="Arial"/>
          <w:i/>
          <w:iCs/>
        </w:rPr>
        <w:t xml:space="preserve">CIPD (2019) | Brexit, </w:t>
      </w:r>
      <w:proofErr w:type="gramStart"/>
      <w:r w:rsidRPr="00333069">
        <w:rPr>
          <w:rFonts w:ascii="Arial" w:hAnsi="Arial" w:cs="Arial"/>
          <w:i/>
          <w:iCs/>
        </w:rPr>
        <w:t>immigration</w:t>
      </w:r>
      <w:proofErr w:type="gramEnd"/>
      <w:r w:rsidRPr="00333069">
        <w:rPr>
          <w:rFonts w:ascii="Arial" w:hAnsi="Arial" w:cs="Arial"/>
          <w:i/>
          <w:iCs/>
        </w:rPr>
        <w:t xml:space="preserve"> and employment law</w:t>
      </w:r>
      <w:r w:rsidRPr="00333069">
        <w:rPr>
          <w:rFonts w:ascii="Arial" w:hAnsi="Arial" w:cs="Arial"/>
        </w:rPr>
        <w:t> (no date) </w:t>
      </w:r>
      <w:r w:rsidRPr="00333069">
        <w:rPr>
          <w:rFonts w:ascii="Arial" w:hAnsi="Arial" w:cs="Arial"/>
          <w:i/>
          <w:iCs/>
        </w:rPr>
        <w:t>CIPD</w:t>
      </w:r>
      <w:r w:rsidRPr="00333069">
        <w:rPr>
          <w:rFonts w:ascii="Arial" w:hAnsi="Arial" w:cs="Arial"/>
        </w:rPr>
        <w:t>. Available at: https://www.cipd.org/en/about/news/implications-rejected-brexit-deal/ (Accessed: 22 November 2023).</w:t>
      </w:r>
    </w:p>
    <w:p w14:paraId="72B21579" w14:textId="77777777" w:rsidR="000F2953" w:rsidRPr="00333069" w:rsidRDefault="000F2953" w:rsidP="000F2953">
      <w:pPr>
        <w:rPr>
          <w:rFonts w:ascii="Arial" w:hAnsi="Arial" w:cs="Arial"/>
          <w:sz w:val="24"/>
          <w:szCs w:val="24"/>
        </w:rPr>
      </w:pPr>
    </w:p>
    <w:p w14:paraId="34EEB2C0" w14:textId="77777777" w:rsidR="000F2953" w:rsidRPr="00333069" w:rsidRDefault="000F2953" w:rsidP="000F2953">
      <w:pPr>
        <w:rPr>
          <w:rFonts w:ascii="Arial" w:hAnsi="Arial" w:cs="Arial"/>
          <w:sz w:val="24"/>
          <w:szCs w:val="24"/>
        </w:rPr>
      </w:pPr>
    </w:p>
    <w:p w14:paraId="444C49E4" w14:textId="77777777"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CIPD (2023a)</w:t>
      </w:r>
      <w:r w:rsidRPr="00333069">
        <w:rPr>
          <w:rFonts w:ascii="Arial" w:hAnsi="Arial" w:cs="Arial"/>
          <w:i/>
          <w:iCs/>
        </w:rPr>
        <w:t xml:space="preserve"> | PESTLE Analysis</w:t>
      </w:r>
      <w:r w:rsidRPr="00333069">
        <w:rPr>
          <w:rFonts w:ascii="Arial" w:hAnsi="Arial" w:cs="Arial"/>
        </w:rPr>
        <w:t>, Available at: https://www.cipd.org/en/knowledge/factsheets/pestle-analysis-factsheet/#advantages-and-disadvantages-of-a-pestle-analysis (Accessed: 23 November 2023).</w:t>
      </w:r>
    </w:p>
    <w:p w14:paraId="3DBB7703" w14:textId="77777777" w:rsidR="000F2953" w:rsidRPr="00333069" w:rsidRDefault="000F2953" w:rsidP="000F2953">
      <w:pPr>
        <w:rPr>
          <w:rFonts w:ascii="Arial" w:hAnsi="Arial" w:cs="Arial"/>
          <w:sz w:val="24"/>
          <w:szCs w:val="24"/>
        </w:rPr>
      </w:pPr>
    </w:p>
    <w:p w14:paraId="5BD176FE" w14:textId="77777777"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CIPD (2023b)</w:t>
      </w:r>
      <w:r w:rsidRPr="00333069">
        <w:rPr>
          <w:rFonts w:ascii="Arial" w:hAnsi="Arial" w:cs="Arial"/>
          <w:i/>
          <w:iCs/>
        </w:rPr>
        <w:t xml:space="preserve"> | Employment Law</w:t>
      </w:r>
      <w:r w:rsidRPr="00333069">
        <w:rPr>
          <w:rFonts w:ascii="Arial" w:hAnsi="Arial" w:cs="Arial"/>
        </w:rPr>
        <w:t>. Available at: https://www.cipd.org/uk/knowledge/employment-law/ (Accessed: 23 November 2023).</w:t>
      </w:r>
    </w:p>
    <w:p w14:paraId="0DCEE45D" w14:textId="77777777"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CIPD (2023c)</w:t>
      </w:r>
      <w:r w:rsidRPr="00333069">
        <w:rPr>
          <w:rFonts w:ascii="Arial" w:hAnsi="Arial" w:cs="Arial"/>
          <w:i/>
          <w:iCs/>
        </w:rPr>
        <w:t xml:space="preserve"> | Using AI responsibly in people management</w:t>
      </w:r>
      <w:r w:rsidRPr="00333069">
        <w:rPr>
          <w:rFonts w:ascii="Arial" w:hAnsi="Arial" w:cs="Arial"/>
        </w:rPr>
        <w:t>. Available at: https://www.cipd.org/en/views-and-insights/thought-leadership/insight/ai-people-management/ (Accessed: 23 November 2023).</w:t>
      </w:r>
    </w:p>
    <w:p w14:paraId="551B8173" w14:textId="77777777"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 xml:space="preserve">‌CIPD (2023d) </w:t>
      </w:r>
      <w:r w:rsidRPr="00333069">
        <w:rPr>
          <w:rFonts w:ascii="Arial" w:hAnsi="Arial" w:cs="Arial"/>
          <w:i/>
          <w:iCs/>
        </w:rPr>
        <w:t>Employee benefits: an introduction</w:t>
      </w:r>
      <w:r w:rsidRPr="00333069">
        <w:rPr>
          <w:rFonts w:ascii="Arial" w:hAnsi="Arial" w:cs="Arial"/>
        </w:rPr>
        <w:t>. Available at: https://www.cipd.org/uk/knowledge/factsheets/benefits-factsheet/#employee (Accessed: 22 November 2023).</w:t>
      </w:r>
    </w:p>
    <w:p w14:paraId="1B42056D" w14:textId="77777777" w:rsidR="000F2953" w:rsidRPr="00333069" w:rsidRDefault="000F2953" w:rsidP="000F2953">
      <w:pPr>
        <w:spacing w:after="0" w:line="240" w:lineRule="auto"/>
        <w:rPr>
          <w:rStyle w:val="Hyperlink"/>
          <w:rFonts w:ascii="Arial" w:eastAsia="Times New Roman" w:hAnsi="Arial" w:cs="Arial"/>
          <w:kern w:val="0"/>
          <w:sz w:val="24"/>
          <w:szCs w:val="24"/>
          <w:lang w:eastAsia="en-GB"/>
          <w14:ligatures w14:val="none"/>
        </w:rPr>
      </w:pPr>
      <w:r w:rsidRPr="00333069">
        <w:rPr>
          <w:rFonts w:ascii="Arial" w:eastAsia="Times New Roman" w:hAnsi="Arial" w:cs="Arial"/>
          <w:kern w:val="0"/>
          <w:sz w:val="24"/>
          <w:szCs w:val="24"/>
          <w:lang w:eastAsia="en-GB"/>
          <w14:ligatures w14:val="none"/>
        </w:rPr>
        <w:t xml:space="preserve">Dobbs, M. E. (2014). Guidelines for applying Porter’s five forces framework: a set of industry analysis templates. </w:t>
      </w:r>
      <w:r w:rsidRPr="00333069">
        <w:rPr>
          <w:rFonts w:ascii="Arial" w:eastAsia="Times New Roman" w:hAnsi="Arial" w:cs="Arial"/>
          <w:i/>
          <w:iCs/>
          <w:kern w:val="0"/>
          <w:sz w:val="24"/>
          <w:szCs w:val="24"/>
          <w:lang w:eastAsia="en-GB"/>
          <w14:ligatures w14:val="none"/>
        </w:rPr>
        <w:t>Competitiveness Review</w:t>
      </w:r>
      <w:r w:rsidRPr="00333069">
        <w:rPr>
          <w:rFonts w:ascii="Arial" w:eastAsia="Times New Roman" w:hAnsi="Arial" w:cs="Arial"/>
          <w:kern w:val="0"/>
          <w:sz w:val="24"/>
          <w:szCs w:val="24"/>
          <w:lang w:eastAsia="en-GB"/>
          <w14:ligatures w14:val="none"/>
        </w:rPr>
        <w:t xml:space="preserve">, </w:t>
      </w:r>
      <w:r w:rsidRPr="00333069">
        <w:rPr>
          <w:rFonts w:ascii="Arial" w:eastAsia="Times New Roman" w:hAnsi="Arial" w:cs="Arial"/>
          <w:i/>
          <w:iCs/>
          <w:kern w:val="0"/>
          <w:sz w:val="24"/>
          <w:szCs w:val="24"/>
          <w:lang w:eastAsia="en-GB"/>
          <w14:ligatures w14:val="none"/>
        </w:rPr>
        <w:t>24</w:t>
      </w:r>
      <w:r w:rsidRPr="00333069">
        <w:rPr>
          <w:rFonts w:ascii="Arial" w:eastAsia="Times New Roman" w:hAnsi="Arial" w:cs="Arial"/>
          <w:kern w:val="0"/>
          <w:sz w:val="24"/>
          <w:szCs w:val="24"/>
          <w:lang w:eastAsia="en-GB"/>
          <w14:ligatures w14:val="none"/>
        </w:rPr>
        <w:t xml:space="preserve">(1), 32–45. </w:t>
      </w:r>
      <w:hyperlink r:id="rId8" w:history="1">
        <w:r w:rsidRPr="00333069">
          <w:rPr>
            <w:rStyle w:val="Hyperlink"/>
            <w:rFonts w:ascii="Arial" w:eastAsia="Times New Roman" w:hAnsi="Arial" w:cs="Arial"/>
            <w:kern w:val="0"/>
            <w:sz w:val="24"/>
            <w:szCs w:val="24"/>
            <w:lang w:eastAsia="en-GB"/>
            <w14:ligatures w14:val="none"/>
          </w:rPr>
          <w:t>https://doi.org/10.1108/CR-</w:t>
        </w:r>
        <w:r w:rsidRPr="00333069">
          <w:rPr>
            <w:rStyle w:val="Hyperlink"/>
            <w:rFonts w:ascii="Arial" w:eastAsia="Times New Roman" w:hAnsi="Arial" w:cs="Arial"/>
            <w:kern w:val="0"/>
            <w:sz w:val="24"/>
            <w:szCs w:val="24"/>
            <w:lang w:eastAsia="en-GB"/>
            <w14:ligatures w14:val="none"/>
          </w:rPr>
          <w:t>0</w:t>
        </w:r>
        <w:r w:rsidRPr="00333069">
          <w:rPr>
            <w:rStyle w:val="Hyperlink"/>
            <w:rFonts w:ascii="Arial" w:eastAsia="Times New Roman" w:hAnsi="Arial" w:cs="Arial"/>
            <w:kern w:val="0"/>
            <w:sz w:val="24"/>
            <w:szCs w:val="24"/>
            <w:lang w:eastAsia="en-GB"/>
            <w14:ligatures w14:val="none"/>
          </w:rPr>
          <w:t>6-2013-0059</w:t>
        </w:r>
      </w:hyperlink>
    </w:p>
    <w:p w14:paraId="4ED6E89C" w14:textId="77777777" w:rsidR="000F2953" w:rsidRPr="00333069" w:rsidRDefault="000F2953" w:rsidP="000F2953">
      <w:pPr>
        <w:spacing w:after="0" w:line="240" w:lineRule="auto"/>
        <w:rPr>
          <w:rStyle w:val="Hyperlink"/>
          <w:rFonts w:ascii="Arial" w:eastAsia="Times New Roman" w:hAnsi="Arial" w:cs="Arial"/>
          <w:kern w:val="0"/>
          <w:sz w:val="24"/>
          <w:szCs w:val="24"/>
          <w:lang w:eastAsia="en-GB"/>
          <w14:ligatures w14:val="none"/>
        </w:rPr>
      </w:pPr>
    </w:p>
    <w:p w14:paraId="25A6837D" w14:textId="77777777" w:rsidR="000F2953" w:rsidRPr="00333069" w:rsidRDefault="000F2953" w:rsidP="000F2953">
      <w:pPr>
        <w:spacing w:after="0" w:line="240" w:lineRule="auto"/>
        <w:rPr>
          <w:rFonts w:ascii="Arial" w:eastAsia="Times New Roman" w:hAnsi="Arial" w:cs="Arial"/>
          <w:kern w:val="0"/>
          <w:sz w:val="24"/>
          <w:szCs w:val="24"/>
          <w:lang w:eastAsia="en-GB"/>
          <w14:ligatures w14:val="none"/>
        </w:rPr>
      </w:pPr>
      <w:r w:rsidRPr="00333069">
        <w:rPr>
          <w:rFonts w:ascii="Arial" w:eastAsia="Times New Roman" w:hAnsi="Arial" w:cs="Arial"/>
          <w:kern w:val="0"/>
          <w:sz w:val="24"/>
          <w:szCs w:val="24"/>
          <w:lang w:eastAsia="en-GB"/>
          <w14:ligatures w14:val="none"/>
        </w:rPr>
        <w:t xml:space="preserve">Florkowski, G. W. (2019). HR technologies and HR-staff technostress: an unavoidable or combatable effect? </w:t>
      </w:r>
      <w:r w:rsidRPr="00333069">
        <w:rPr>
          <w:rFonts w:ascii="Arial" w:eastAsia="Times New Roman" w:hAnsi="Arial" w:cs="Arial"/>
          <w:i/>
          <w:iCs/>
          <w:kern w:val="0"/>
          <w:sz w:val="24"/>
          <w:szCs w:val="24"/>
          <w:lang w:eastAsia="en-GB"/>
          <w14:ligatures w14:val="none"/>
        </w:rPr>
        <w:t>Employee Relations</w:t>
      </w:r>
      <w:r w:rsidRPr="00333069">
        <w:rPr>
          <w:rFonts w:ascii="Arial" w:eastAsia="Times New Roman" w:hAnsi="Arial" w:cs="Arial"/>
          <w:kern w:val="0"/>
          <w:sz w:val="24"/>
          <w:szCs w:val="24"/>
          <w:lang w:eastAsia="en-GB"/>
          <w14:ligatures w14:val="none"/>
        </w:rPr>
        <w:t xml:space="preserve">, </w:t>
      </w:r>
      <w:r w:rsidRPr="00333069">
        <w:rPr>
          <w:rFonts w:ascii="Arial" w:eastAsia="Times New Roman" w:hAnsi="Arial" w:cs="Arial"/>
          <w:i/>
          <w:iCs/>
          <w:kern w:val="0"/>
          <w:sz w:val="24"/>
          <w:szCs w:val="24"/>
          <w:lang w:eastAsia="en-GB"/>
          <w14:ligatures w14:val="none"/>
        </w:rPr>
        <w:t>41</w:t>
      </w:r>
      <w:r w:rsidRPr="00333069">
        <w:rPr>
          <w:rFonts w:ascii="Arial" w:eastAsia="Times New Roman" w:hAnsi="Arial" w:cs="Arial"/>
          <w:kern w:val="0"/>
          <w:sz w:val="24"/>
          <w:szCs w:val="24"/>
          <w:lang w:eastAsia="en-GB"/>
          <w14:ligatures w14:val="none"/>
        </w:rPr>
        <w:t xml:space="preserve">(5), 1120–1144. </w:t>
      </w:r>
      <w:hyperlink r:id="rId9" w:history="1">
        <w:r w:rsidRPr="00333069">
          <w:rPr>
            <w:rStyle w:val="Hyperlink"/>
            <w:rFonts w:ascii="Arial" w:eastAsia="Times New Roman" w:hAnsi="Arial" w:cs="Arial"/>
            <w:kern w:val="0"/>
            <w:sz w:val="24"/>
            <w:szCs w:val="24"/>
            <w:lang w:eastAsia="en-GB"/>
            <w14:ligatures w14:val="none"/>
          </w:rPr>
          <w:t>https://doi.org/10.1108/ER-08-2018-0214</w:t>
        </w:r>
      </w:hyperlink>
      <w:r w:rsidRPr="00333069">
        <w:rPr>
          <w:rFonts w:ascii="Arial" w:eastAsia="Times New Roman" w:hAnsi="Arial" w:cs="Arial"/>
          <w:kern w:val="0"/>
          <w:sz w:val="24"/>
          <w:szCs w:val="24"/>
          <w:lang w:eastAsia="en-GB"/>
          <w14:ligatures w14:val="none"/>
        </w:rPr>
        <w:t xml:space="preserve"> (Accessed: 22 November 2023)</w:t>
      </w:r>
    </w:p>
    <w:p w14:paraId="000F0B96" w14:textId="77777777" w:rsidR="000F2953" w:rsidRPr="00333069" w:rsidRDefault="000F2953" w:rsidP="000F2953">
      <w:pPr>
        <w:spacing w:after="0" w:line="240" w:lineRule="auto"/>
        <w:rPr>
          <w:rStyle w:val="Hyperlink"/>
          <w:rFonts w:ascii="Arial" w:eastAsia="Times New Roman" w:hAnsi="Arial" w:cs="Arial"/>
          <w:kern w:val="0"/>
          <w:sz w:val="24"/>
          <w:szCs w:val="24"/>
          <w:lang w:eastAsia="en-GB"/>
          <w14:ligatures w14:val="none"/>
        </w:rPr>
      </w:pPr>
    </w:p>
    <w:p w14:paraId="5C3C1D4E" w14:textId="77777777" w:rsidR="000F2953" w:rsidRPr="00333069" w:rsidRDefault="000F2953" w:rsidP="000F2953">
      <w:pPr>
        <w:spacing w:after="0" w:line="240" w:lineRule="auto"/>
        <w:rPr>
          <w:rStyle w:val="Hyperlink"/>
          <w:rFonts w:ascii="Arial" w:eastAsia="Times New Roman" w:hAnsi="Arial" w:cs="Arial"/>
          <w:kern w:val="0"/>
          <w:sz w:val="24"/>
          <w:szCs w:val="24"/>
          <w:lang w:eastAsia="en-GB"/>
          <w14:ligatures w14:val="none"/>
        </w:rPr>
      </w:pPr>
    </w:p>
    <w:p w14:paraId="093D32CD" w14:textId="77777777"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 xml:space="preserve">Gov. UK (2013) </w:t>
      </w:r>
      <w:r w:rsidRPr="00333069">
        <w:rPr>
          <w:rFonts w:ascii="Arial" w:hAnsi="Arial" w:cs="Arial"/>
          <w:i/>
          <w:iCs/>
        </w:rPr>
        <w:t>Equality Act 2010</w:t>
      </w:r>
      <w:r w:rsidRPr="00333069">
        <w:rPr>
          <w:rFonts w:ascii="Arial" w:hAnsi="Arial" w:cs="Arial"/>
        </w:rPr>
        <w:t xml:space="preserve">, </w:t>
      </w:r>
      <w:r w:rsidRPr="00333069">
        <w:rPr>
          <w:rFonts w:ascii="Arial" w:hAnsi="Arial" w:cs="Arial"/>
          <w:i/>
          <w:iCs/>
        </w:rPr>
        <w:t>GOV.UK</w:t>
      </w:r>
      <w:r w:rsidRPr="00333069">
        <w:rPr>
          <w:rFonts w:ascii="Arial" w:hAnsi="Arial" w:cs="Arial"/>
        </w:rPr>
        <w:t>. Available at: https://www.gov.uk/guidance/equality-act-2010-guidance (Accessed: 23 November 2023).</w:t>
      </w:r>
    </w:p>
    <w:p w14:paraId="0BD28E16" w14:textId="77777777" w:rsidR="000F2953" w:rsidRPr="00333069" w:rsidRDefault="000F2953" w:rsidP="000F2953">
      <w:pPr>
        <w:spacing w:after="0" w:line="240" w:lineRule="auto"/>
        <w:rPr>
          <w:rFonts w:ascii="Arial" w:eastAsia="Times New Roman" w:hAnsi="Arial" w:cs="Arial"/>
          <w:kern w:val="0"/>
          <w:sz w:val="24"/>
          <w:szCs w:val="24"/>
          <w:lang w:eastAsia="en-GB"/>
          <w14:ligatures w14:val="none"/>
        </w:rPr>
      </w:pPr>
    </w:p>
    <w:p w14:paraId="7B4C4125" w14:textId="4B0128DF"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 xml:space="preserve">‌Gov. UK (2023) </w:t>
      </w:r>
      <w:r w:rsidRPr="00333069">
        <w:rPr>
          <w:rFonts w:ascii="Arial" w:hAnsi="Arial" w:cs="Arial"/>
          <w:i/>
          <w:iCs/>
        </w:rPr>
        <w:t>Minimum wage rates for 2024</w:t>
      </w:r>
      <w:r w:rsidRPr="00333069">
        <w:rPr>
          <w:rFonts w:ascii="Arial" w:hAnsi="Arial" w:cs="Arial"/>
        </w:rPr>
        <w:t xml:space="preserve">, </w:t>
      </w:r>
      <w:r w:rsidRPr="00333069">
        <w:rPr>
          <w:rFonts w:ascii="Arial" w:hAnsi="Arial" w:cs="Arial"/>
          <w:i/>
          <w:iCs/>
        </w:rPr>
        <w:t>GOV.UK</w:t>
      </w:r>
      <w:r w:rsidRPr="00333069">
        <w:rPr>
          <w:rFonts w:ascii="Arial" w:hAnsi="Arial" w:cs="Arial"/>
        </w:rPr>
        <w:t xml:space="preserve">. Available at: </w:t>
      </w:r>
      <w:hyperlink r:id="rId10" w:history="1">
        <w:r w:rsidRPr="00333069">
          <w:rPr>
            <w:rStyle w:val="Hyperlink"/>
            <w:rFonts w:ascii="Arial" w:hAnsi="Arial" w:cs="Arial"/>
          </w:rPr>
          <w:t>https://www.gov.uk/government/publications/minimum-wage-rates-for-2024</w:t>
        </w:r>
      </w:hyperlink>
      <w:r>
        <w:rPr>
          <w:rFonts w:ascii="Arial" w:hAnsi="Arial" w:cs="Arial"/>
        </w:rPr>
        <w:t xml:space="preserve"> </w:t>
      </w:r>
      <w:r w:rsidRPr="00333069">
        <w:rPr>
          <w:rFonts w:ascii="Arial" w:hAnsi="Arial" w:cs="Arial"/>
        </w:rPr>
        <w:t>(Accessed: 22 November 2023).</w:t>
      </w:r>
    </w:p>
    <w:p w14:paraId="376C1C0E" w14:textId="77777777" w:rsidR="000F2953" w:rsidRDefault="000F2953" w:rsidP="000F2953">
      <w:pPr>
        <w:spacing w:after="0" w:line="240" w:lineRule="auto"/>
        <w:rPr>
          <w:rStyle w:val="Hyperlink"/>
          <w:rFonts w:ascii="Arial" w:eastAsia="Times New Roman" w:hAnsi="Arial" w:cs="Arial"/>
          <w:kern w:val="0"/>
          <w:sz w:val="24"/>
          <w:szCs w:val="24"/>
          <w:lang w:eastAsia="en-GB"/>
          <w14:ligatures w14:val="none"/>
        </w:rPr>
      </w:pPr>
      <w:r w:rsidRPr="00333069">
        <w:rPr>
          <w:rFonts w:ascii="Arial" w:eastAsia="Times New Roman" w:hAnsi="Arial" w:cs="Arial"/>
          <w:kern w:val="0"/>
          <w:sz w:val="24"/>
          <w:szCs w:val="24"/>
          <w:lang w:eastAsia="en-GB"/>
          <w14:ligatures w14:val="none"/>
        </w:rPr>
        <w:t xml:space="preserve">Helms, M. M., &amp; Nixon, J. (2010). Exploring SWOT analysis - where are we </w:t>
      </w:r>
      <w:proofErr w:type="gramStart"/>
      <w:r w:rsidRPr="00333069">
        <w:rPr>
          <w:rFonts w:ascii="Arial" w:eastAsia="Times New Roman" w:hAnsi="Arial" w:cs="Arial"/>
          <w:kern w:val="0"/>
          <w:sz w:val="24"/>
          <w:szCs w:val="24"/>
          <w:lang w:eastAsia="en-GB"/>
          <w14:ligatures w14:val="none"/>
        </w:rPr>
        <w:t>now?:</w:t>
      </w:r>
      <w:proofErr w:type="gramEnd"/>
      <w:r w:rsidRPr="00333069">
        <w:rPr>
          <w:rFonts w:ascii="Arial" w:eastAsia="Times New Roman" w:hAnsi="Arial" w:cs="Arial"/>
          <w:kern w:val="0"/>
          <w:sz w:val="24"/>
          <w:szCs w:val="24"/>
          <w:lang w:eastAsia="en-GB"/>
          <w14:ligatures w14:val="none"/>
        </w:rPr>
        <w:t xml:space="preserve"> A review of academic research from the last decade. </w:t>
      </w:r>
      <w:r w:rsidRPr="00333069">
        <w:rPr>
          <w:rFonts w:ascii="Arial" w:eastAsia="Times New Roman" w:hAnsi="Arial" w:cs="Arial"/>
          <w:i/>
          <w:iCs/>
          <w:kern w:val="0"/>
          <w:sz w:val="24"/>
          <w:szCs w:val="24"/>
          <w:lang w:eastAsia="en-GB"/>
          <w14:ligatures w14:val="none"/>
        </w:rPr>
        <w:t>Journal of Strategy and Management</w:t>
      </w:r>
      <w:r w:rsidRPr="00333069">
        <w:rPr>
          <w:rFonts w:ascii="Arial" w:eastAsia="Times New Roman" w:hAnsi="Arial" w:cs="Arial"/>
          <w:kern w:val="0"/>
          <w:sz w:val="24"/>
          <w:szCs w:val="24"/>
          <w:lang w:eastAsia="en-GB"/>
          <w14:ligatures w14:val="none"/>
        </w:rPr>
        <w:t xml:space="preserve">, </w:t>
      </w:r>
      <w:r w:rsidRPr="00333069">
        <w:rPr>
          <w:rFonts w:ascii="Arial" w:eastAsia="Times New Roman" w:hAnsi="Arial" w:cs="Arial"/>
          <w:i/>
          <w:iCs/>
          <w:kern w:val="0"/>
          <w:sz w:val="24"/>
          <w:szCs w:val="24"/>
          <w:lang w:eastAsia="en-GB"/>
          <w14:ligatures w14:val="none"/>
        </w:rPr>
        <w:t>3</w:t>
      </w:r>
      <w:r w:rsidRPr="00333069">
        <w:rPr>
          <w:rFonts w:ascii="Arial" w:eastAsia="Times New Roman" w:hAnsi="Arial" w:cs="Arial"/>
          <w:kern w:val="0"/>
          <w:sz w:val="24"/>
          <w:szCs w:val="24"/>
          <w:lang w:eastAsia="en-GB"/>
          <w14:ligatures w14:val="none"/>
        </w:rPr>
        <w:t xml:space="preserve">(3), 215-. </w:t>
      </w:r>
      <w:hyperlink r:id="rId11" w:history="1">
        <w:r w:rsidRPr="00333069">
          <w:rPr>
            <w:rStyle w:val="Hyperlink"/>
            <w:rFonts w:ascii="Arial" w:eastAsia="Times New Roman" w:hAnsi="Arial" w:cs="Arial"/>
            <w:kern w:val="0"/>
            <w:sz w:val="24"/>
            <w:szCs w:val="24"/>
            <w:lang w:eastAsia="en-GB"/>
            <w14:ligatures w14:val="none"/>
          </w:rPr>
          <w:t>https://doi.org/10.1108/17554251011064837</w:t>
        </w:r>
      </w:hyperlink>
    </w:p>
    <w:p w14:paraId="497D296A" w14:textId="77777777" w:rsidR="000F2953" w:rsidRPr="00333069" w:rsidRDefault="000F2953" w:rsidP="000F2953">
      <w:pPr>
        <w:spacing w:after="0" w:line="240" w:lineRule="auto"/>
        <w:rPr>
          <w:rFonts w:ascii="Arial" w:eastAsia="Times New Roman" w:hAnsi="Arial" w:cs="Arial"/>
          <w:kern w:val="0"/>
          <w:sz w:val="24"/>
          <w:szCs w:val="24"/>
          <w:u w:val="single"/>
          <w:lang w:eastAsia="en-GB"/>
          <w14:ligatures w14:val="none"/>
        </w:rPr>
      </w:pPr>
      <w:r w:rsidRPr="00333069">
        <w:rPr>
          <w:rFonts w:ascii="Arial" w:hAnsi="Arial" w:cs="Arial"/>
          <w:sz w:val="24"/>
          <w:szCs w:val="24"/>
        </w:rPr>
        <w:t>Keep, M. (2023) </w:t>
      </w:r>
      <w:r w:rsidRPr="00333069">
        <w:rPr>
          <w:rFonts w:ascii="Arial" w:hAnsi="Arial" w:cs="Arial"/>
          <w:i/>
          <w:iCs/>
          <w:sz w:val="24"/>
          <w:szCs w:val="24"/>
        </w:rPr>
        <w:t>Tax Statistics: An Overview</w:t>
      </w:r>
      <w:r w:rsidRPr="00333069">
        <w:rPr>
          <w:rFonts w:ascii="Arial" w:hAnsi="Arial" w:cs="Arial"/>
          <w:sz w:val="24"/>
          <w:szCs w:val="24"/>
        </w:rPr>
        <w:t>, </w:t>
      </w:r>
      <w:r w:rsidRPr="00333069">
        <w:rPr>
          <w:rFonts w:ascii="Arial" w:hAnsi="Arial" w:cs="Arial"/>
          <w:i/>
          <w:iCs/>
          <w:sz w:val="24"/>
          <w:szCs w:val="24"/>
        </w:rPr>
        <w:t>https://commonslibrary.parliament.uk/research-briefings/cbp-8513/</w:t>
      </w:r>
      <w:r w:rsidRPr="00333069">
        <w:rPr>
          <w:rFonts w:ascii="Arial" w:hAnsi="Arial" w:cs="Arial"/>
          <w:sz w:val="24"/>
          <w:szCs w:val="24"/>
        </w:rPr>
        <w:t>. House of Commons</w:t>
      </w:r>
      <w:r w:rsidRPr="00333069">
        <w:rPr>
          <w:rFonts w:ascii="Arial" w:hAnsi="Arial" w:cs="Arial"/>
        </w:rPr>
        <w:t>.</w:t>
      </w:r>
      <w:r w:rsidRPr="00333069">
        <w:rPr>
          <w:rFonts w:ascii="Arial" w:hAnsi="Arial" w:cs="Arial"/>
          <w:sz w:val="24"/>
          <w:szCs w:val="24"/>
        </w:rPr>
        <w:t xml:space="preserve"> (Accessed: 17 November 2023)</w:t>
      </w:r>
    </w:p>
    <w:p w14:paraId="61AAA9AA" w14:textId="77777777" w:rsidR="000F2953" w:rsidRPr="00333069" w:rsidRDefault="000F2953" w:rsidP="000F2953">
      <w:pPr>
        <w:pStyle w:val="NormalWeb"/>
        <w:spacing w:before="0" w:beforeAutospacing="0" w:after="0" w:afterAutospacing="0" w:line="360" w:lineRule="atLeast"/>
        <w:rPr>
          <w:rFonts w:ascii="Arial" w:hAnsi="Arial" w:cs="Arial"/>
        </w:rPr>
      </w:pPr>
    </w:p>
    <w:p w14:paraId="6B3BB6A5" w14:textId="77777777" w:rsidR="000F2953" w:rsidRPr="00333069" w:rsidRDefault="000F2953" w:rsidP="000F2953">
      <w:pPr>
        <w:spacing w:after="0" w:line="240" w:lineRule="auto"/>
        <w:rPr>
          <w:rFonts w:ascii="Arial" w:eastAsia="Times New Roman" w:hAnsi="Arial" w:cs="Arial"/>
          <w:kern w:val="0"/>
          <w:sz w:val="24"/>
          <w:szCs w:val="24"/>
          <w:lang w:eastAsia="en-GB"/>
          <w14:ligatures w14:val="none"/>
        </w:rPr>
      </w:pPr>
      <w:r w:rsidRPr="00333069">
        <w:rPr>
          <w:rFonts w:ascii="Arial" w:eastAsia="Times New Roman" w:hAnsi="Arial" w:cs="Arial"/>
          <w:kern w:val="0"/>
          <w:sz w:val="24"/>
          <w:szCs w:val="24"/>
          <w:lang w:eastAsia="en-GB"/>
          <w14:ligatures w14:val="none"/>
        </w:rPr>
        <w:t xml:space="preserve">Marmol, T. del, &amp; Feys, B. (2015). </w:t>
      </w:r>
      <w:r w:rsidRPr="00333069">
        <w:rPr>
          <w:rFonts w:ascii="Arial" w:eastAsia="Times New Roman" w:hAnsi="Arial" w:cs="Arial"/>
          <w:i/>
          <w:iCs/>
          <w:kern w:val="0"/>
          <w:sz w:val="24"/>
          <w:szCs w:val="24"/>
          <w:lang w:eastAsia="en-GB"/>
          <w14:ligatures w14:val="none"/>
        </w:rPr>
        <w:t>PESTLE analysis</w:t>
      </w:r>
      <w:r w:rsidRPr="00333069">
        <w:rPr>
          <w:rFonts w:ascii="Arial" w:eastAsia="Times New Roman" w:hAnsi="Arial" w:cs="Arial"/>
          <w:kern w:val="0"/>
          <w:sz w:val="24"/>
          <w:szCs w:val="24"/>
          <w:lang w:eastAsia="en-GB"/>
          <w14:ligatures w14:val="none"/>
        </w:rPr>
        <w:t xml:space="preserve"> (C. Probert, Trans.). Lemaitre Publishing.</w:t>
      </w:r>
    </w:p>
    <w:p w14:paraId="6CDADA9D" w14:textId="77777777" w:rsidR="000F2953" w:rsidRPr="00333069" w:rsidRDefault="000F2953" w:rsidP="000F2953">
      <w:pPr>
        <w:pStyle w:val="NormalWeb"/>
        <w:spacing w:before="0" w:beforeAutospacing="0" w:after="0" w:afterAutospacing="0" w:line="360" w:lineRule="atLeast"/>
        <w:rPr>
          <w:rFonts w:ascii="Arial" w:hAnsi="Arial" w:cs="Arial"/>
        </w:rPr>
      </w:pPr>
    </w:p>
    <w:p w14:paraId="2301B0D9" w14:textId="77777777" w:rsidR="000F2953" w:rsidRPr="00333069" w:rsidRDefault="000F2953" w:rsidP="000F2953">
      <w:pPr>
        <w:pStyle w:val="NormalWeb"/>
        <w:spacing w:before="0" w:beforeAutospacing="0" w:after="0" w:afterAutospacing="0" w:line="360" w:lineRule="atLeast"/>
        <w:rPr>
          <w:rFonts w:ascii="Arial" w:hAnsi="Arial" w:cs="Arial"/>
        </w:rPr>
      </w:pPr>
    </w:p>
    <w:p w14:paraId="12EA3965" w14:textId="77777777" w:rsidR="000F2953" w:rsidRPr="00333069" w:rsidRDefault="000F2953" w:rsidP="000F2953">
      <w:pPr>
        <w:spacing w:after="0" w:line="240" w:lineRule="auto"/>
        <w:rPr>
          <w:rFonts w:ascii="Arial" w:eastAsia="Times New Roman" w:hAnsi="Arial" w:cs="Arial"/>
          <w:kern w:val="0"/>
          <w:sz w:val="24"/>
          <w:szCs w:val="24"/>
          <w:lang w:eastAsia="en-GB"/>
          <w14:ligatures w14:val="none"/>
        </w:rPr>
      </w:pPr>
      <w:r w:rsidRPr="00333069">
        <w:rPr>
          <w:rFonts w:ascii="Arial" w:eastAsia="Times New Roman" w:hAnsi="Arial" w:cs="Arial"/>
          <w:kern w:val="0"/>
          <w:sz w:val="24"/>
          <w:szCs w:val="24"/>
          <w:lang w:eastAsia="en-GB"/>
          <w14:ligatures w14:val="none"/>
        </w:rPr>
        <w:lastRenderedPageBreak/>
        <w:t xml:space="preserve">Manuel, B. A., &amp; Karloff, D. B. (2020). Recruit and retain a diverse workforce. </w:t>
      </w:r>
      <w:r w:rsidRPr="00333069">
        <w:rPr>
          <w:rFonts w:ascii="Arial" w:eastAsia="Times New Roman" w:hAnsi="Arial" w:cs="Arial"/>
          <w:i/>
          <w:iCs/>
          <w:kern w:val="0"/>
          <w:sz w:val="24"/>
          <w:szCs w:val="24"/>
          <w:lang w:eastAsia="en-GB"/>
          <w14:ligatures w14:val="none"/>
        </w:rPr>
        <w:t>Nature Reviews. Chemistry</w:t>
      </w:r>
      <w:r w:rsidRPr="00333069">
        <w:rPr>
          <w:rFonts w:ascii="Arial" w:eastAsia="Times New Roman" w:hAnsi="Arial" w:cs="Arial"/>
          <w:kern w:val="0"/>
          <w:sz w:val="24"/>
          <w:szCs w:val="24"/>
          <w:lang w:eastAsia="en-GB"/>
          <w14:ligatures w14:val="none"/>
        </w:rPr>
        <w:t xml:space="preserve">, </w:t>
      </w:r>
      <w:r w:rsidRPr="00333069">
        <w:rPr>
          <w:rFonts w:ascii="Arial" w:eastAsia="Times New Roman" w:hAnsi="Arial" w:cs="Arial"/>
          <w:i/>
          <w:iCs/>
          <w:kern w:val="0"/>
          <w:sz w:val="24"/>
          <w:szCs w:val="24"/>
          <w:lang w:eastAsia="en-GB"/>
          <w14:ligatures w14:val="none"/>
        </w:rPr>
        <w:t>4</w:t>
      </w:r>
      <w:r w:rsidRPr="00333069">
        <w:rPr>
          <w:rFonts w:ascii="Arial" w:eastAsia="Times New Roman" w:hAnsi="Arial" w:cs="Arial"/>
          <w:kern w:val="0"/>
          <w:sz w:val="24"/>
          <w:szCs w:val="24"/>
          <w:lang w:eastAsia="en-GB"/>
          <w14:ligatures w14:val="none"/>
        </w:rPr>
        <w:t xml:space="preserve">(9), 435–437. </w:t>
      </w:r>
      <w:hyperlink r:id="rId12" w:history="1">
        <w:r w:rsidRPr="00333069">
          <w:rPr>
            <w:rStyle w:val="Hyperlink"/>
            <w:rFonts w:ascii="Arial" w:eastAsia="Times New Roman" w:hAnsi="Arial" w:cs="Arial"/>
            <w:kern w:val="0"/>
            <w:sz w:val="24"/>
            <w:szCs w:val="24"/>
            <w:lang w:eastAsia="en-GB"/>
            <w14:ligatures w14:val="none"/>
          </w:rPr>
          <w:t>https://doi.org/10.1038/s41570-020-0214-z</w:t>
        </w:r>
      </w:hyperlink>
      <w:r w:rsidRPr="00333069">
        <w:rPr>
          <w:rFonts w:ascii="Arial" w:eastAsia="Times New Roman" w:hAnsi="Arial" w:cs="Arial"/>
          <w:kern w:val="0"/>
          <w:sz w:val="24"/>
          <w:szCs w:val="24"/>
          <w:lang w:eastAsia="en-GB"/>
          <w14:ligatures w14:val="none"/>
        </w:rPr>
        <w:t xml:space="preserve"> (Accessed: 20 November 2023).</w:t>
      </w:r>
    </w:p>
    <w:p w14:paraId="3EA892E3" w14:textId="77777777" w:rsidR="000F2953" w:rsidRPr="00333069" w:rsidRDefault="000F2953" w:rsidP="000F2953">
      <w:pPr>
        <w:rPr>
          <w:rFonts w:ascii="Arial" w:hAnsi="Arial" w:cs="Arial"/>
          <w:sz w:val="24"/>
          <w:szCs w:val="24"/>
        </w:rPr>
      </w:pPr>
    </w:p>
    <w:p w14:paraId="6417D4F8" w14:textId="77777777"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 xml:space="preserve">People Management (2023a) </w:t>
      </w:r>
      <w:r w:rsidRPr="00333069">
        <w:rPr>
          <w:rFonts w:ascii="Arial" w:hAnsi="Arial" w:cs="Arial"/>
          <w:i/>
          <w:iCs/>
        </w:rPr>
        <w:t xml:space="preserve">Who needs the Working Time </w:t>
      </w:r>
      <w:proofErr w:type="gramStart"/>
      <w:r w:rsidRPr="00333069">
        <w:rPr>
          <w:rFonts w:ascii="Arial" w:hAnsi="Arial" w:cs="Arial"/>
          <w:i/>
          <w:iCs/>
        </w:rPr>
        <w:t>Regulations?</w:t>
      </w:r>
      <w:r w:rsidRPr="00333069">
        <w:rPr>
          <w:rFonts w:ascii="Arial" w:hAnsi="Arial" w:cs="Arial"/>
        </w:rPr>
        <w:t>,</w:t>
      </w:r>
      <w:proofErr w:type="gramEnd"/>
      <w:r w:rsidRPr="00333069">
        <w:rPr>
          <w:rFonts w:ascii="Arial" w:hAnsi="Arial" w:cs="Arial"/>
        </w:rPr>
        <w:t xml:space="preserve"> </w:t>
      </w:r>
      <w:r w:rsidRPr="00333069">
        <w:rPr>
          <w:rFonts w:ascii="Arial" w:hAnsi="Arial" w:cs="Arial"/>
          <w:i/>
          <w:iCs/>
        </w:rPr>
        <w:t>www.peoplemanagement.co.uk</w:t>
      </w:r>
      <w:r w:rsidRPr="00333069">
        <w:rPr>
          <w:rFonts w:ascii="Arial" w:hAnsi="Arial" w:cs="Arial"/>
        </w:rPr>
        <w:t xml:space="preserve">. Edited by M. Kenner. Available at: </w:t>
      </w:r>
      <w:hyperlink r:id="rId13" w:history="1">
        <w:r w:rsidRPr="00333069">
          <w:rPr>
            <w:rStyle w:val="Hyperlink"/>
            <w:rFonts w:ascii="Arial" w:hAnsi="Arial" w:cs="Arial"/>
          </w:rPr>
          <w:t>https://www.peoplemanagement.co.uk/article/1744324/who-needs-working-time-regulations</w:t>
        </w:r>
      </w:hyperlink>
      <w:r w:rsidRPr="00333069">
        <w:rPr>
          <w:rFonts w:ascii="Arial" w:hAnsi="Arial" w:cs="Arial"/>
        </w:rPr>
        <w:t>(Accessed: 23 November 2023).</w:t>
      </w:r>
    </w:p>
    <w:p w14:paraId="4856D053" w14:textId="1DF63602" w:rsidR="000F2953" w:rsidRPr="00333069" w:rsidRDefault="000F2953" w:rsidP="000F2953">
      <w:pPr>
        <w:pStyle w:val="NormalWeb"/>
        <w:spacing w:before="0" w:beforeAutospacing="0" w:after="240" w:afterAutospacing="0" w:line="360" w:lineRule="auto"/>
        <w:rPr>
          <w:rFonts w:ascii="Arial" w:hAnsi="Arial" w:cs="Arial"/>
        </w:rPr>
      </w:pPr>
      <w:r w:rsidRPr="00333069">
        <w:rPr>
          <w:rFonts w:ascii="Arial" w:hAnsi="Arial" w:cs="Arial"/>
        </w:rPr>
        <w:t xml:space="preserve">People Management (2023b) </w:t>
      </w:r>
      <w:r w:rsidRPr="00333069">
        <w:rPr>
          <w:rFonts w:ascii="Arial" w:hAnsi="Arial" w:cs="Arial"/>
          <w:i/>
          <w:iCs/>
        </w:rPr>
        <w:t xml:space="preserve">Can we keep the human in </w:t>
      </w:r>
      <w:proofErr w:type="gramStart"/>
      <w:r w:rsidRPr="00333069">
        <w:rPr>
          <w:rFonts w:ascii="Arial" w:hAnsi="Arial" w:cs="Arial"/>
          <w:i/>
          <w:iCs/>
        </w:rPr>
        <w:t>HR?</w:t>
      </w:r>
      <w:r w:rsidRPr="00333069">
        <w:rPr>
          <w:rFonts w:ascii="Arial" w:hAnsi="Arial" w:cs="Arial"/>
        </w:rPr>
        <w:t>,</w:t>
      </w:r>
      <w:proofErr w:type="gramEnd"/>
      <w:r w:rsidRPr="00333069">
        <w:rPr>
          <w:rFonts w:ascii="Arial" w:hAnsi="Arial" w:cs="Arial"/>
        </w:rPr>
        <w:t xml:space="preserve"> </w:t>
      </w:r>
      <w:r w:rsidRPr="00333069">
        <w:rPr>
          <w:rFonts w:ascii="Arial" w:hAnsi="Arial" w:cs="Arial"/>
          <w:i/>
          <w:iCs/>
        </w:rPr>
        <w:t>www.peoplemanagement.co.uk</w:t>
      </w:r>
      <w:r w:rsidRPr="00333069">
        <w:rPr>
          <w:rFonts w:ascii="Arial" w:hAnsi="Arial" w:cs="Arial"/>
        </w:rPr>
        <w:t xml:space="preserve">. Edited by C. Sloan. Available at: </w:t>
      </w:r>
      <w:hyperlink r:id="rId14" w:history="1">
        <w:r w:rsidRPr="00333069">
          <w:rPr>
            <w:rStyle w:val="Hyperlink"/>
            <w:rFonts w:ascii="Arial" w:hAnsi="Arial" w:cs="Arial"/>
          </w:rPr>
          <w:t>https://www.peoplemanagement.co.uk/article/1848750/keep-human-hr?bulletin=pm-daily&amp;utm_source=mc&amp;utm_medium=email&amp;utm_content=PM_Daily_23112023.https%3a%2f%2fwww.peoplemanagement.co.uk%2farticle%2f1848750%2fkeep-human-hr%3fbulletin%3dpm-daily&amp;utm_campaign=7295441&amp;utm_term=5744404</w:t>
        </w:r>
      </w:hyperlink>
      <w:r w:rsidRPr="00333069">
        <w:rPr>
          <w:rFonts w:ascii="Arial" w:hAnsi="Arial" w:cs="Arial"/>
        </w:rPr>
        <w:t xml:space="preserve"> (Accessed: 23 November 2023).</w:t>
      </w:r>
    </w:p>
    <w:p w14:paraId="4582E0D0" w14:textId="77777777" w:rsidR="000F2953" w:rsidRPr="00333069" w:rsidRDefault="000F2953" w:rsidP="000F2953">
      <w:pPr>
        <w:spacing w:after="0" w:line="240" w:lineRule="auto"/>
        <w:rPr>
          <w:rFonts w:ascii="Arial" w:eastAsia="Times New Roman" w:hAnsi="Arial" w:cs="Arial"/>
          <w:kern w:val="0"/>
          <w:sz w:val="24"/>
          <w:szCs w:val="24"/>
          <w:lang w:eastAsia="en-GB"/>
          <w14:ligatures w14:val="none"/>
        </w:rPr>
      </w:pPr>
      <w:r w:rsidRPr="00333069">
        <w:rPr>
          <w:rFonts w:ascii="Arial" w:eastAsia="Times New Roman" w:hAnsi="Arial" w:cs="Arial"/>
          <w:kern w:val="0"/>
          <w:sz w:val="24"/>
          <w:szCs w:val="24"/>
          <w:lang w:eastAsia="en-GB"/>
          <w14:ligatures w14:val="none"/>
        </w:rPr>
        <w:t xml:space="preserve">Sun, Z. (2019). </w:t>
      </w:r>
      <w:r w:rsidRPr="00333069">
        <w:rPr>
          <w:rFonts w:ascii="Arial" w:eastAsia="Times New Roman" w:hAnsi="Arial" w:cs="Arial"/>
          <w:i/>
          <w:iCs/>
          <w:kern w:val="0"/>
          <w:sz w:val="24"/>
          <w:szCs w:val="24"/>
          <w:lang w:eastAsia="en-GB"/>
          <w14:ligatures w14:val="none"/>
        </w:rPr>
        <w:t>Managerial perspectives on intelligent big data analytics</w:t>
      </w:r>
      <w:r w:rsidRPr="00333069">
        <w:rPr>
          <w:rFonts w:ascii="Arial" w:eastAsia="Times New Roman" w:hAnsi="Arial" w:cs="Arial"/>
          <w:kern w:val="0"/>
          <w:sz w:val="24"/>
          <w:szCs w:val="24"/>
          <w:lang w:eastAsia="en-GB"/>
          <w14:ligatures w14:val="none"/>
        </w:rPr>
        <w:t xml:space="preserve"> (Z. Sun, Ed.). IGI Global. </w:t>
      </w:r>
      <w:hyperlink r:id="rId15" w:history="1">
        <w:r w:rsidRPr="00333069">
          <w:rPr>
            <w:rStyle w:val="Hyperlink"/>
            <w:rFonts w:ascii="Arial" w:eastAsia="Times New Roman" w:hAnsi="Arial" w:cs="Arial"/>
            <w:kern w:val="0"/>
            <w:sz w:val="24"/>
            <w:szCs w:val="24"/>
            <w:lang w:eastAsia="en-GB"/>
            <w14:ligatures w14:val="none"/>
          </w:rPr>
          <w:t>https://doi.org/10.4018/978-1-5225-7277-0</w:t>
        </w:r>
      </w:hyperlink>
      <w:r w:rsidRPr="00333069">
        <w:rPr>
          <w:rFonts w:ascii="Arial" w:eastAsia="Times New Roman" w:hAnsi="Arial" w:cs="Arial"/>
          <w:kern w:val="0"/>
          <w:sz w:val="24"/>
          <w:szCs w:val="24"/>
          <w:lang w:eastAsia="en-GB"/>
          <w14:ligatures w14:val="none"/>
        </w:rPr>
        <w:t xml:space="preserve"> (Accessed: 20 November 2023)</w:t>
      </w:r>
    </w:p>
    <w:p w14:paraId="48F756A4" w14:textId="77777777" w:rsidR="000F2953" w:rsidRPr="00333069" w:rsidRDefault="000F2953" w:rsidP="000F2953">
      <w:pPr>
        <w:pStyle w:val="NormalWeb"/>
        <w:spacing w:before="0" w:beforeAutospacing="0" w:after="240" w:afterAutospacing="0" w:line="360" w:lineRule="auto"/>
        <w:rPr>
          <w:rFonts w:ascii="Arial" w:hAnsi="Arial" w:cs="Arial"/>
        </w:rPr>
      </w:pPr>
    </w:p>
    <w:p w14:paraId="53C3AB91" w14:textId="77777777" w:rsidR="000F2953" w:rsidRPr="00333069" w:rsidRDefault="000F2953" w:rsidP="000F2953">
      <w:pPr>
        <w:pStyle w:val="NormalWeb"/>
        <w:spacing w:before="0" w:beforeAutospacing="0" w:after="0" w:afterAutospacing="0" w:line="360" w:lineRule="atLeast"/>
        <w:rPr>
          <w:rFonts w:ascii="Arial" w:hAnsi="Arial" w:cs="Arial"/>
        </w:rPr>
      </w:pPr>
      <w:r w:rsidRPr="00333069">
        <w:rPr>
          <w:rFonts w:ascii="Arial" w:hAnsi="Arial" w:cs="Arial"/>
        </w:rPr>
        <w:t>‌</w:t>
      </w:r>
      <w:proofErr w:type="spellStart"/>
      <w:r w:rsidRPr="00333069">
        <w:rPr>
          <w:rFonts w:ascii="Arial" w:hAnsi="Arial" w:cs="Arial"/>
        </w:rPr>
        <w:t>Taylor,S</w:t>
      </w:r>
      <w:proofErr w:type="spellEnd"/>
      <w:r w:rsidRPr="00333069">
        <w:rPr>
          <w:rFonts w:ascii="Arial" w:hAnsi="Arial" w:cs="Arial"/>
        </w:rPr>
        <w:t xml:space="preserve">. (2019) </w:t>
      </w:r>
      <w:r w:rsidRPr="00333069">
        <w:rPr>
          <w:rFonts w:ascii="Arial" w:hAnsi="Arial" w:cs="Arial"/>
          <w:i/>
          <w:iCs/>
        </w:rPr>
        <w:t>Resourcing and talent management</w:t>
      </w:r>
      <w:r w:rsidRPr="00333069">
        <w:rPr>
          <w:rFonts w:ascii="Arial" w:hAnsi="Arial" w:cs="Arial"/>
        </w:rPr>
        <w:t>. Editorial: London: Kogan Page, p. 339.</w:t>
      </w:r>
    </w:p>
    <w:p w14:paraId="1499B94A" w14:textId="77777777" w:rsidR="000F2953" w:rsidRPr="00333069" w:rsidRDefault="000F2953" w:rsidP="000F2953">
      <w:pPr>
        <w:pStyle w:val="NormalWeb"/>
        <w:spacing w:before="0" w:beforeAutospacing="0" w:after="0" w:afterAutospacing="0" w:line="360" w:lineRule="atLeast"/>
        <w:rPr>
          <w:rFonts w:ascii="Arial" w:hAnsi="Arial" w:cs="Arial"/>
        </w:rPr>
      </w:pPr>
    </w:p>
    <w:p w14:paraId="6865F6AA" w14:textId="77777777" w:rsidR="000F2953" w:rsidRPr="00333069" w:rsidRDefault="000F2953" w:rsidP="000F2953">
      <w:pPr>
        <w:pStyle w:val="NormalWeb"/>
        <w:spacing w:before="0" w:beforeAutospacing="0" w:after="0" w:afterAutospacing="0" w:line="360" w:lineRule="atLeast"/>
        <w:rPr>
          <w:rFonts w:ascii="Arial" w:hAnsi="Arial" w:cs="Arial"/>
        </w:rPr>
      </w:pPr>
      <w:r w:rsidRPr="00333069">
        <w:rPr>
          <w:rFonts w:ascii="Arial" w:hAnsi="Arial" w:cs="Arial"/>
        </w:rPr>
        <w:t>Taylor, S. and Perkins, G. (2021) </w:t>
      </w:r>
      <w:r w:rsidRPr="00333069">
        <w:rPr>
          <w:rFonts w:ascii="Arial" w:hAnsi="Arial" w:cs="Arial"/>
          <w:i/>
          <w:iCs/>
        </w:rPr>
        <w:t>Work and employment in a changing business environment</w:t>
      </w:r>
      <w:r w:rsidRPr="00333069">
        <w:rPr>
          <w:rFonts w:ascii="Arial" w:hAnsi="Arial" w:cs="Arial"/>
        </w:rPr>
        <w:t>. London ; New York, Ny: Kogan Page.</w:t>
      </w:r>
    </w:p>
    <w:p w14:paraId="2AB4CD19" w14:textId="77777777" w:rsidR="000F2953" w:rsidRPr="00FB6D9A" w:rsidRDefault="000F2953" w:rsidP="000F2953">
      <w:pPr>
        <w:pStyle w:val="NormalWeb"/>
        <w:rPr>
          <w:rFonts w:ascii="Calibri" w:hAnsi="Calibri" w:cs="Calibri"/>
          <w:color w:val="000000"/>
          <w:sz w:val="27"/>
          <w:szCs w:val="27"/>
        </w:rPr>
      </w:pPr>
    </w:p>
    <w:p w14:paraId="761DD3B5" w14:textId="77777777" w:rsidR="000F2953" w:rsidRPr="00EA5015" w:rsidRDefault="000F2953" w:rsidP="00EA5015">
      <w:pPr>
        <w:spacing w:before="100" w:beforeAutospacing="1" w:after="100" w:afterAutospacing="1" w:line="345" w:lineRule="atLeast"/>
        <w:rPr>
          <w:rFonts w:ascii="Arial" w:eastAsia="Times New Roman" w:hAnsi="Arial" w:cs="Arial"/>
          <w:kern w:val="0"/>
          <w:sz w:val="24"/>
          <w:szCs w:val="24"/>
          <w:lang w:eastAsia="en-GB"/>
          <w14:ligatures w14:val="none"/>
        </w:rPr>
      </w:pPr>
    </w:p>
    <w:sectPr w:rsidR="000F2953" w:rsidRPr="00EA50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1EAFF" w14:textId="77777777" w:rsidR="00355436" w:rsidRDefault="00355436" w:rsidP="00355436">
      <w:pPr>
        <w:spacing w:after="0" w:line="240" w:lineRule="auto"/>
      </w:pPr>
      <w:r>
        <w:separator/>
      </w:r>
    </w:p>
  </w:endnote>
  <w:endnote w:type="continuationSeparator" w:id="0">
    <w:p w14:paraId="50F6F908" w14:textId="77777777" w:rsidR="00355436" w:rsidRDefault="00355436" w:rsidP="00355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725397"/>
      <w:docPartObj>
        <w:docPartGallery w:val="Page Numbers (Bottom of Page)"/>
        <w:docPartUnique/>
      </w:docPartObj>
    </w:sdtPr>
    <w:sdtEndPr>
      <w:rPr>
        <w:noProof/>
      </w:rPr>
    </w:sdtEndPr>
    <w:sdtContent>
      <w:p w14:paraId="56850D89" w14:textId="489AAEBF" w:rsidR="00355436" w:rsidRDefault="003554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F173B3" w14:textId="77777777" w:rsidR="00355436" w:rsidRDefault="00355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58270" w14:textId="77777777" w:rsidR="00355436" w:rsidRDefault="00355436" w:rsidP="00355436">
      <w:pPr>
        <w:spacing w:after="0" w:line="240" w:lineRule="auto"/>
      </w:pPr>
      <w:r>
        <w:separator/>
      </w:r>
    </w:p>
  </w:footnote>
  <w:footnote w:type="continuationSeparator" w:id="0">
    <w:p w14:paraId="155337BC" w14:textId="77777777" w:rsidR="00355436" w:rsidRDefault="00355436" w:rsidP="003554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2D4"/>
    <w:rsid w:val="000F2953"/>
    <w:rsid w:val="00355436"/>
    <w:rsid w:val="003A7190"/>
    <w:rsid w:val="00462363"/>
    <w:rsid w:val="008122D4"/>
    <w:rsid w:val="00EA5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C5749"/>
  <w15:chartTrackingRefBased/>
  <w15:docId w15:val="{64AD89C1-CC46-46F0-98D3-BDA7E6AC2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vgsua">
    <w:name w:val="cvgsua"/>
    <w:basedOn w:val="Normal"/>
    <w:rsid w:val="008122D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oypena">
    <w:name w:val="oypena"/>
    <w:basedOn w:val="DefaultParagraphFont"/>
    <w:rsid w:val="008122D4"/>
  </w:style>
  <w:style w:type="paragraph" w:styleId="Header">
    <w:name w:val="header"/>
    <w:basedOn w:val="Normal"/>
    <w:link w:val="HeaderChar"/>
    <w:uiPriority w:val="99"/>
    <w:unhideWhenUsed/>
    <w:rsid w:val="00355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436"/>
  </w:style>
  <w:style w:type="paragraph" w:styleId="Footer">
    <w:name w:val="footer"/>
    <w:basedOn w:val="Normal"/>
    <w:link w:val="FooterChar"/>
    <w:uiPriority w:val="99"/>
    <w:unhideWhenUsed/>
    <w:rsid w:val="00355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436"/>
  </w:style>
  <w:style w:type="character" w:styleId="Hyperlink">
    <w:name w:val="Hyperlink"/>
    <w:basedOn w:val="DefaultParagraphFont"/>
    <w:uiPriority w:val="99"/>
    <w:unhideWhenUsed/>
    <w:rsid w:val="000F2953"/>
    <w:rPr>
      <w:color w:val="0000FF"/>
      <w:u w:val="single"/>
    </w:rPr>
  </w:style>
  <w:style w:type="paragraph" w:styleId="NormalWeb">
    <w:name w:val="Normal (Web)"/>
    <w:basedOn w:val="Normal"/>
    <w:uiPriority w:val="99"/>
    <w:unhideWhenUsed/>
    <w:rsid w:val="000F29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F29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10145">
      <w:bodyDiv w:val="1"/>
      <w:marLeft w:val="0"/>
      <w:marRight w:val="0"/>
      <w:marTop w:val="0"/>
      <w:marBottom w:val="0"/>
      <w:divBdr>
        <w:top w:val="none" w:sz="0" w:space="0" w:color="auto"/>
        <w:left w:val="none" w:sz="0" w:space="0" w:color="auto"/>
        <w:bottom w:val="none" w:sz="0" w:space="0" w:color="auto"/>
        <w:right w:val="none" w:sz="0" w:space="0" w:color="auto"/>
      </w:divBdr>
    </w:div>
    <w:div w:id="268396227">
      <w:bodyDiv w:val="1"/>
      <w:marLeft w:val="0"/>
      <w:marRight w:val="0"/>
      <w:marTop w:val="0"/>
      <w:marBottom w:val="0"/>
      <w:divBdr>
        <w:top w:val="none" w:sz="0" w:space="0" w:color="auto"/>
        <w:left w:val="none" w:sz="0" w:space="0" w:color="auto"/>
        <w:bottom w:val="none" w:sz="0" w:space="0" w:color="auto"/>
        <w:right w:val="none" w:sz="0" w:space="0" w:color="auto"/>
      </w:divBdr>
    </w:div>
    <w:div w:id="334653223">
      <w:bodyDiv w:val="1"/>
      <w:marLeft w:val="0"/>
      <w:marRight w:val="0"/>
      <w:marTop w:val="0"/>
      <w:marBottom w:val="0"/>
      <w:divBdr>
        <w:top w:val="none" w:sz="0" w:space="0" w:color="auto"/>
        <w:left w:val="none" w:sz="0" w:space="0" w:color="auto"/>
        <w:bottom w:val="none" w:sz="0" w:space="0" w:color="auto"/>
        <w:right w:val="none" w:sz="0" w:space="0" w:color="auto"/>
      </w:divBdr>
    </w:div>
    <w:div w:id="732893748">
      <w:bodyDiv w:val="1"/>
      <w:marLeft w:val="0"/>
      <w:marRight w:val="0"/>
      <w:marTop w:val="0"/>
      <w:marBottom w:val="0"/>
      <w:divBdr>
        <w:top w:val="none" w:sz="0" w:space="0" w:color="auto"/>
        <w:left w:val="none" w:sz="0" w:space="0" w:color="auto"/>
        <w:bottom w:val="none" w:sz="0" w:space="0" w:color="auto"/>
        <w:right w:val="none" w:sz="0" w:space="0" w:color="auto"/>
      </w:divBdr>
    </w:div>
    <w:div w:id="830215947">
      <w:bodyDiv w:val="1"/>
      <w:marLeft w:val="0"/>
      <w:marRight w:val="0"/>
      <w:marTop w:val="0"/>
      <w:marBottom w:val="0"/>
      <w:divBdr>
        <w:top w:val="none" w:sz="0" w:space="0" w:color="auto"/>
        <w:left w:val="none" w:sz="0" w:space="0" w:color="auto"/>
        <w:bottom w:val="none" w:sz="0" w:space="0" w:color="auto"/>
        <w:right w:val="none" w:sz="0" w:space="0" w:color="auto"/>
      </w:divBdr>
    </w:div>
    <w:div w:id="1220943831">
      <w:bodyDiv w:val="1"/>
      <w:marLeft w:val="0"/>
      <w:marRight w:val="0"/>
      <w:marTop w:val="0"/>
      <w:marBottom w:val="0"/>
      <w:divBdr>
        <w:top w:val="none" w:sz="0" w:space="0" w:color="auto"/>
        <w:left w:val="none" w:sz="0" w:space="0" w:color="auto"/>
        <w:bottom w:val="none" w:sz="0" w:space="0" w:color="auto"/>
        <w:right w:val="none" w:sz="0" w:space="0" w:color="auto"/>
      </w:divBdr>
    </w:div>
    <w:div w:id="1561400165">
      <w:bodyDiv w:val="1"/>
      <w:marLeft w:val="0"/>
      <w:marRight w:val="0"/>
      <w:marTop w:val="0"/>
      <w:marBottom w:val="0"/>
      <w:divBdr>
        <w:top w:val="none" w:sz="0" w:space="0" w:color="auto"/>
        <w:left w:val="none" w:sz="0" w:space="0" w:color="auto"/>
        <w:bottom w:val="none" w:sz="0" w:space="0" w:color="auto"/>
        <w:right w:val="none" w:sz="0" w:space="0" w:color="auto"/>
      </w:divBdr>
    </w:div>
    <w:div w:id="1822311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CR-06-2013-0059" TargetMode="External"/><Relationship Id="rId13" Type="http://schemas.openxmlformats.org/officeDocument/2006/relationships/hyperlink" Target="https://www.peoplemanagement.co.uk/article/1744324/who-needs-working-time-regulation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heguardian.com/media-" TargetMode="External"/><Relationship Id="rId12" Type="http://schemas.openxmlformats.org/officeDocument/2006/relationships/hyperlink" Target="https://doi.org/10.1038/s41570-020-0214-z"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4018/978-1-5225-5297-0" TargetMode="External"/><Relationship Id="rId11" Type="http://schemas.openxmlformats.org/officeDocument/2006/relationships/hyperlink" Target="https://doi.org/10.1108/17554251011064837" TargetMode="External"/><Relationship Id="rId5" Type="http://schemas.openxmlformats.org/officeDocument/2006/relationships/endnotes" Target="endnotes.xml"/><Relationship Id="rId15" Type="http://schemas.openxmlformats.org/officeDocument/2006/relationships/hyperlink" Target="https://doi.org/10.4018/978-1-5225-7277-0" TargetMode="External"/><Relationship Id="rId10" Type="http://schemas.openxmlformats.org/officeDocument/2006/relationships/hyperlink" Target="https://www.gov.uk/government/publications/minimum-wage-rates-for-2024" TargetMode="External"/><Relationship Id="rId4" Type="http://schemas.openxmlformats.org/officeDocument/2006/relationships/footnotes" Target="footnotes.xml"/><Relationship Id="rId9" Type="http://schemas.openxmlformats.org/officeDocument/2006/relationships/hyperlink" Target="https://doi.org/10.1108/ER-08-2018-0214" TargetMode="External"/><Relationship Id="rId14" Type="http://schemas.openxmlformats.org/officeDocument/2006/relationships/hyperlink" Target="https://www.peoplemanagement.co.uk/article/1848750/keep-human-hr?bulletin=pm-daily&amp;utm_source=mc&amp;utm_medium=email&amp;utm_content=PM_Daily_23112023.https%3a%2f%2fwww.peoplemanagement.co.uk%2farticle%2f1848750%2fkeep-human-hr%3fbulletin%3dpm-daily&amp;utm_campaign=7295441&amp;utm_term=57444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1977</Words>
  <Characters>11272</Characters>
  <Application>Microsoft Office Word</Application>
  <DocSecurity>0</DocSecurity>
  <Lines>93</Lines>
  <Paragraphs>26</Paragraphs>
  <ScaleCrop>false</ScaleCrop>
  <Company/>
  <LinksUpToDate>false</LinksUpToDate>
  <CharactersWithSpaces>13223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Shaun Jaynes</dc:creator>
  <cp:keywords/>
  <dc:description/>
  <cp:lastModifiedBy>Stuart Shaun Jaynes</cp:lastModifiedBy>
  <cp:revision>2</cp:revision>
  <dcterms:created xsi:type="dcterms:W3CDTF">2023-12-04T12:28:00Z</dcterms:created>
  <dcterms:modified xsi:type="dcterms:W3CDTF">2023-12-04T12:28:00Z</dcterms:modified>
</cp:coreProperties>
</file>