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300814B">
      <w:pPr>
        <w:spacing w:after="240" w:line="360" w:lineRule="auto"/>
        <w:jc w:val="center"/>
        <w:rPr>
          <w:rFonts w:hint="default" w:ascii="Arial" w:hAnsi="Arial" w:eastAsia="Times New Roman" w:cs="Arial"/>
          <w:b/>
          <w:bCs/>
          <w:sz w:val="24"/>
          <w:szCs w:val="24"/>
          <w:lang w:val="en-GB"/>
        </w:rPr>
      </w:pPr>
      <w:r>
        <w:rPr>
          <w:rFonts w:hint="default" w:ascii="Arial" w:hAnsi="Arial" w:cs="Arial"/>
          <w:sz w:val="24"/>
          <w:szCs w:val="24"/>
        </w:rPr>
        <w:drawing>
          <wp:inline distT="0" distB="0" distL="0" distR="0">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16A23E2B">
      <w:pPr>
        <w:spacing w:after="240" w:line="360" w:lineRule="auto"/>
        <w:jc w:val="center"/>
        <w:rPr>
          <w:rFonts w:hint="default" w:ascii="Arial" w:hAnsi="Arial" w:eastAsia="Times New Roman" w:cs="Arial"/>
          <w:b/>
          <w:bCs/>
          <w:sz w:val="24"/>
          <w:szCs w:val="24"/>
          <w:lang w:val="en-GB"/>
        </w:rPr>
      </w:pPr>
      <w:bookmarkStart w:id="26" w:name="_GoBack"/>
    </w:p>
    <w:bookmarkEnd w:id="26"/>
    <w:p w14:paraId="66C1AA59">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Programme: Master of Business Administration</w:t>
      </w:r>
    </w:p>
    <w:p w14:paraId="33AFF9A2">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Module Name:</w:t>
      </w:r>
      <w:r>
        <w:rPr>
          <w:rFonts w:hint="default" w:ascii="Arial" w:hAnsi="Arial" w:cs="Arial"/>
          <w:sz w:val="24"/>
          <w:szCs w:val="24"/>
        </w:rPr>
        <w:t xml:space="preserve"> </w:t>
      </w:r>
      <w:r>
        <w:rPr>
          <w:rFonts w:hint="default" w:ascii="Arial" w:hAnsi="Arial" w:eastAsia="Times New Roman" w:cs="Arial"/>
          <w:b/>
          <w:bCs/>
          <w:sz w:val="24"/>
          <w:szCs w:val="24"/>
          <w:lang w:val="en-GB"/>
        </w:rPr>
        <w:t xml:space="preserve">Marketing Management </w:t>
      </w:r>
    </w:p>
    <w:p w14:paraId="60BFD5F7">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Module Code: LCMB7024</w:t>
      </w:r>
    </w:p>
    <w:p w14:paraId="3CDD43DE">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 xml:space="preserve">Module Lecturer:Taonga Kaonga Sobere-Snithers </w:t>
      </w:r>
    </w:p>
    <w:p w14:paraId="05773E45">
      <w:pPr>
        <w:spacing w:after="240" w:line="360" w:lineRule="auto"/>
        <w:jc w:val="center"/>
        <w:rPr>
          <w:rFonts w:hint="default" w:ascii="Arial" w:hAnsi="Arial" w:eastAsia="Times New Roman" w:cs="Arial"/>
          <w:b/>
          <w:bCs/>
          <w:i/>
          <w:sz w:val="24"/>
          <w:szCs w:val="24"/>
          <w:lang w:val="en-GB"/>
        </w:rPr>
      </w:pPr>
      <w:r>
        <w:rPr>
          <w:rFonts w:hint="default" w:ascii="Arial" w:hAnsi="Arial" w:eastAsia="Times New Roman" w:cs="Arial"/>
          <w:b/>
          <w:bCs/>
          <w:i/>
          <w:sz w:val="24"/>
          <w:szCs w:val="24"/>
          <w:lang w:val="en-US"/>
        </w:rPr>
        <w:t>“Title:</w:t>
      </w:r>
      <w:r>
        <w:rPr>
          <w:rFonts w:hint="default" w:ascii="Arial" w:hAnsi="Arial" w:eastAsia="Times New Roman" w:cs="Arial"/>
          <w:b/>
          <w:bCs/>
          <w:i/>
          <w:sz w:val="24"/>
          <w:szCs w:val="24"/>
          <w:lang w:val="en-GB"/>
        </w:rPr>
        <w:t>Sustainable Brand Extension: Nike Circular+ Sustainable Sportswear Subscription &amp; Recycling Ecosystem</w:t>
      </w:r>
      <w:r>
        <w:rPr>
          <w:rFonts w:hint="default" w:ascii="Arial" w:hAnsi="Arial" w:eastAsia="Times New Roman" w:cs="Arial"/>
          <w:b/>
          <w:bCs/>
          <w:i/>
          <w:sz w:val="24"/>
          <w:szCs w:val="24"/>
          <w:lang w:val="en-GB"/>
        </w:rPr>
        <w:t>”</w:t>
      </w:r>
    </w:p>
    <w:p w14:paraId="20E8F88F">
      <w:pPr>
        <w:spacing w:after="240" w:line="360" w:lineRule="auto"/>
        <w:jc w:val="center"/>
        <w:rPr>
          <w:rFonts w:hint="default" w:ascii="Arial" w:hAnsi="Arial" w:eastAsia="Times New Roman" w:cs="Arial"/>
          <w:b/>
          <w:bCs/>
          <w:sz w:val="24"/>
          <w:szCs w:val="24"/>
          <w:lang w:val="en-US"/>
        </w:rPr>
      </w:pPr>
      <w:r>
        <w:rPr>
          <w:rFonts w:hint="default" w:ascii="Arial" w:hAnsi="Arial" w:eastAsia="Times New Roman" w:cs="Arial"/>
          <w:b/>
          <w:bCs/>
          <w:sz w:val="24"/>
          <w:szCs w:val="24"/>
          <w:lang w:val="en-GB"/>
        </w:rPr>
        <w:t>Student Name:</w:t>
      </w:r>
      <w:r>
        <w:rPr>
          <w:rFonts w:hint="default" w:ascii="Arial" w:hAnsi="Arial" w:eastAsia="Times New Roman" w:cs="Arial"/>
          <w:b/>
          <w:bCs/>
          <w:sz w:val="24"/>
          <w:szCs w:val="24"/>
          <w:lang w:val="en-US"/>
        </w:rPr>
        <w:t>Kirti Kalpeshkumar Patel</w:t>
      </w:r>
    </w:p>
    <w:p w14:paraId="73FB9710">
      <w:pPr>
        <w:spacing w:after="240" w:line="360" w:lineRule="auto"/>
        <w:jc w:val="center"/>
        <w:rPr>
          <w:rFonts w:hint="default" w:ascii="Arial" w:hAnsi="Arial" w:eastAsia="Times New Roman" w:cs="Arial"/>
          <w:b/>
          <w:bCs/>
          <w:sz w:val="24"/>
          <w:szCs w:val="24"/>
          <w:lang w:val="en-US"/>
        </w:rPr>
      </w:pPr>
      <w:r>
        <w:rPr>
          <w:rFonts w:hint="default" w:ascii="Arial" w:hAnsi="Arial" w:eastAsia="Times New Roman" w:cs="Arial"/>
          <w:b/>
          <w:bCs/>
          <w:sz w:val="24"/>
          <w:szCs w:val="24"/>
          <w:lang w:val="en-GB"/>
        </w:rPr>
        <w:t>Student Id:</w:t>
      </w:r>
      <w:r>
        <w:rPr>
          <w:rFonts w:hint="default" w:ascii="Arial" w:hAnsi="Arial" w:eastAsia="Times New Roman" w:cs="Arial"/>
          <w:b/>
          <w:bCs/>
          <w:sz w:val="24"/>
          <w:szCs w:val="24"/>
          <w:lang w:val="en-US"/>
        </w:rPr>
        <w:t>2537200</w:t>
      </w:r>
    </w:p>
    <w:p w14:paraId="6B9536F2">
      <w:pP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br w:type="page"/>
      </w:r>
    </w:p>
    <w:sdt>
      <w:sdtPr>
        <w:rPr>
          <w:rFonts w:hint="default" w:ascii="Arial" w:hAnsi="Arial" w:eastAsia="Arial" w:cs="Arial"/>
          <w:color w:val="auto"/>
          <w:sz w:val="24"/>
          <w:szCs w:val="24"/>
        </w:rPr>
        <w:id w:val="-507599613"/>
        <w:docPartObj>
          <w:docPartGallery w:val="Table of Contents"/>
          <w:docPartUnique/>
        </w:docPartObj>
      </w:sdtPr>
      <w:sdtEndPr>
        <w:rPr>
          <w:rFonts w:hint="default" w:ascii="Arial" w:hAnsi="Arial" w:eastAsia="Arial" w:cs="Arial"/>
          <w:b/>
          <w:bCs/>
          <w:color w:val="auto"/>
          <w:sz w:val="24"/>
          <w:szCs w:val="24"/>
        </w:rPr>
      </w:sdtEndPr>
      <w:sdtContent>
        <w:p w14:paraId="73DD2E61">
          <w:pPr>
            <w:pStyle w:val="11"/>
            <w:spacing w:after="240"/>
            <w:jc w:val="center"/>
            <w:rPr>
              <w:rFonts w:hint="default" w:ascii="Arial" w:hAnsi="Arial" w:cs="Arial"/>
              <w:b/>
              <w:color w:val="auto"/>
              <w:sz w:val="24"/>
              <w:szCs w:val="24"/>
            </w:rPr>
          </w:pPr>
          <w:r>
            <w:rPr>
              <w:rFonts w:hint="default" w:ascii="Arial" w:hAnsi="Arial" w:cs="Arial"/>
              <w:b/>
              <w:color w:val="auto"/>
              <w:sz w:val="24"/>
              <w:szCs w:val="24"/>
            </w:rPr>
            <w:t>Table of Contents</w:t>
          </w:r>
        </w:p>
        <w:p w14:paraId="7DAA42C3">
          <w:pPr>
            <w:pStyle w:val="9"/>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TOC \o "1-3" \h \z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"_Toc231669451" </w:instrText>
          </w:r>
          <w:r>
            <w:rPr>
              <w:rFonts w:hint="default" w:ascii="Arial" w:hAnsi="Arial" w:cs="Arial"/>
              <w:sz w:val="24"/>
              <w:szCs w:val="24"/>
            </w:rPr>
            <w:fldChar w:fldCharType="separate"/>
          </w:r>
          <w:r>
            <w:rPr>
              <w:rStyle w:val="8"/>
              <w:rFonts w:hint="default" w:ascii="Arial" w:hAnsi="Arial" w:cs="Arial"/>
              <w:sz w:val="24"/>
              <w:szCs w:val="24"/>
            </w:rPr>
            <w:t>Element 1: Sustainable Brand Extension Poster Presentation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_Toc231669451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14:paraId="1D2C39B6">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"_Toc231669452" </w:instrText>
          </w:r>
          <w:r>
            <w:rPr>
              <w:rFonts w:hint="default" w:ascii="Arial" w:hAnsi="Arial" w:cs="Arial"/>
              <w:sz w:val="24"/>
              <w:szCs w:val="24"/>
            </w:rPr>
            <w:fldChar w:fldCharType="separate"/>
          </w:r>
          <w:r>
            <w:rPr>
              <w:rStyle w:val="8"/>
              <w:rFonts w:hint="default" w:ascii="Arial" w:hAnsi="Arial" w:cs="Arial"/>
              <w:sz w:val="24"/>
              <w:szCs w:val="24"/>
              <w:lang w:val="en-GB"/>
            </w:rPr>
            <w:t>Section 1: Company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_Toc231669452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14:paraId="15056E28">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"_Toc231669453" </w:instrText>
          </w:r>
          <w:r>
            <w:rPr>
              <w:rFonts w:hint="default" w:ascii="Arial" w:hAnsi="Arial" w:cs="Arial"/>
              <w:sz w:val="24"/>
              <w:szCs w:val="24"/>
            </w:rPr>
            <w:fldChar w:fldCharType="separate"/>
          </w:r>
          <w:r>
            <w:rPr>
              <w:rStyle w:val="8"/>
              <w:rFonts w:hint="default" w:ascii="Arial" w:hAnsi="Arial" w:cs="Arial"/>
              <w:sz w:val="24"/>
              <w:szCs w:val="24"/>
              <w:lang w:val="en-GB"/>
            </w:rPr>
            <w:t>Section 2: Sustainable Requirement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_Toc231669453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14:paraId="711F44E4">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"_Toc231669454" </w:instrText>
          </w:r>
          <w:r>
            <w:rPr>
              <w:rFonts w:hint="default" w:ascii="Arial" w:hAnsi="Arial" w:cs="Arial"/>
              <w:sz w:val="24"/>
              <w:szCs w:val="24"/>
            </w:rPr>
            <w:fldChar w:fldCharType="separate"/>
          </w:r>
          <w:r>
            <w:rPr>
              <w:rStyle w:val="8"/>
              <w:rFonts w:hint="default" w:ascii="Arial" w:hAnsi="Arial" w:cs="Arial"/>
              <w:sz w:val="24"/>
              <w:szCs w:val="24"/>
              <w:lang w:val="en-GB"/>
            </w:rPr>
            <w:t>Section 3: Proposed Brand Extension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_Toc231669454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14:paraId="767BF46B">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"_Toc231669455" </w:instrText>
          </w:r>
          <w:r>
            <w:rPr>
              <w:rFonts w:hint="default" w:ascii="Arial" w:hAnsi="Arial" w:cs="Arial"/>
              <w:sz w:val="24"/>
              <w:szCs w:val="24"/>
            </w:rPr>
            <w:fldChar w:fldCharType="separate"/>
          </w:r>
          <w:r>
            <w:rPr>
              <w:rStyle w:val="8"/>
              <w:rFonts w:hint="default" w:ascii="Arial" w:hAnsi="Arial" w:cs="Arial"/>
              <w:sz w:val="24"/>
              <w:szCs w:val="24"/>
              <w:lang w:val="en-GB"/>
            </w:rPr>
            <w:t>Section 4: Why Customers Will Buy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_Toc231669455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14:paraId="69F21D49">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"_Toc231669456" </w:instrText>
          </w:r>
          <w:r>
            <w:rPr>
              <w:rFonts w:hint="default" w:ascii="Arial" w:hAnsi="Arial" w:cs="Arial"/>
              <w:sz w:val="24"/>
              <w:szCs w:val="24"/>
            </w:rPr>
            <w:fldChar w:fldCharType="separate"/>
          </w:r>
          <w:r>
            <w:rPr>
              <w:rStyle w:val="8"/>
              <w:rFonts w:hint="default" w:ascii="Arial" w:hAnsi="Arial" w:cs="Arial"/>
              <w:sz w:val="24"/>
              <w:szCs w:val="24"/>
              <w:lang w:val="en-GB"/>
            </w:rPr>
            <w:t>Section 5: Sustainability Alignment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_Toc231669456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14:paraId="52362CA4">
          <w:pPr>
            <w:pStyle w:val="9"/>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"_Toc231669457" </w:instrText>
          </w:r>
          <w:r>
            <w:rPr>
              <w:rFonts w:hint="default" w:ascii="Arial" w:hAnsi="Arial" w:cs="Arial"/>
              <w:sz w:val="24"/>
              <w:szCs w:val="24"/>
            </w:rPr>
            <w:fldChar w:fldCharType="separate"/>
          </w:r>
          <w:r>
            <w:rPr>
              <w:rStyle w:val="8"/>
              <w:rFonts w:hint="default" w:ascii="Arial" w:hAnsi="Arial" w:cs="Arial"/>
              <w:sz w:val="24"/>
              <w:szCs w:val="24"/>
            </w:rPr>
            <w:t>Element 2: Development of a Segmentation, Targeting, Differentiation, and Positioning (STDP) Analysis for the brand extension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_Toc231669457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14:paraId="5ADC301B">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"_Toc231669458" </w:instrText>
          </w:r>
          <w:r>
            <w:rPr>
              <w:rFonts w:hint="default" w:ascii="Arial" w:hAnsi="Arial" w:cs="Arial"/>
              <w:sz w:val="24"/>
              <w:szCs w:val="24"/>
            </w:rPr>
            <w:fldChar w:fldCharType="separate"/>
          </w:r>
          <w:r>
            <w:rPr>
              <w:rStyle w:val="8"/>
              <w:rFonts w:hint="default" w:ascii="Arial" w:hAnsi="Arial" w:cs="Arial"/>
              <w:sz w:val="24"/>
              <w:szCs w:val="24"/>
              <w:lang w:val="en-GB"/>
            </w:rPr>
            <w:t>2.1 Segmentation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14:paraId="50F44661">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"_Toc231669459" </w:instrText>
          </w:r>
          <w:r>
            <w:rPr>
              <w:rFonts w:hint="default" w:ascii="Arial" w:hAnsi="Arial" w:cs="Arial"/>
              <w:sz w:val="24"/>
              <w:szCs w:val="24"/>
            </w:rPr>
            <w:fldChar w:fldCharType="separate"/>
          </w:r>
          <w:r>
            <w:rPr>
              <w:rStyle w:val="8"/>
              <w:rFonts w:hint="default" w:ascii="Arial" w:hAnsi="Arial" w:cs="Arial"/>
              <w:sz w:val="24"/>
              <w:szCs w:val="24"/>
              <w:lang w:val="en-GB"/>
            </w:rPr>
            <w:t>2.2 Targeting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_Toc231669459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14:paraId="024B4D67">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"_Toc231669460" </w:instrText>
          </w:r>
          <w:r>
            <w:rPr>
              <w:rFonts w:hint="default" w:ascii="Arial" w:hAnsi="Arial" w:cs="Arial"/>
              <w:sz w:val="24"/>
              <w:szCs w:val="24"/>
            </w:rPr>
            <w:fldChar w:fldCharType="separate"/>
          </w:r>
          <w:r>
            <w:rPr>
              <w:rStyle w:val="8"/>
              <w:rFonts w:hint="default" w:ascii="Arial" w:hAnsi="Arial" w:cs="Arial"/>
              <w:sz w:val="24"/>
              <w:szCs w:val="24"/>
              <w:lang w:val="en-GB"/>
            </w:rPr>
            <w:t>2.3 Differentiation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_Toc231669460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14:paraId="567A0B95">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"_Toc231669461" </w:instrText>
          </w:r>
          <w:r>
            <w:rPr>
              <w:rFonts w:hint="default" w:ascii="Arial" w:hAnsi="Arial" w:cs="Arial"/>
              <w:sz w:val="24"/>
              <w:szCs w:val="24"/>
            </w:rPr>
            <w:fldChar w:fldCharType="separate"/>
          </w:r>
          <w:r>
            <w:rPr>
              <w:rStyle w:val="8"/>
              <w:rFonts w:hint="default" w:ascii="Arial" w:hAnsi="Arial" w:cs="Arial"/>
              <w:sz w:val="24"/>
              <w:szCs w:val="24"/>
              <w:lang w:val="en-GB"/>
            </w:rPr>
            <w:t>2.4 Positioning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_Toc231669461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14:paraId="6FB9A504">
          <w:pPr>
            <w:pStyle w:val="9"/>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"_Toc231669462" </w:instrText>
          </w:r>
          <w:r>
            <w:rPr>
              <w:rFonts w:hint="default" w:ascii="Arial" w:hAnsi="Arial" w:cs="Arial"/>
              <w:sz w:val="24"/>
              <w:szCs w:val="24"/>
            </w:rPr>
            <w:fldChar w:fldCharType="separate"/>
          </w:r>
          <w:r>
            <w:rPr>
              <w:rStyle w:val="8"/>
              <w:rFonts w:hint="default" w:ascii="Arial" w:hAnsi="Arial" w:cs="Arial"/>
              <w:sz w:val="24"/>
              <w:szCs w:val="24"/>
            </w:rPr>
            <w:t>Element 3: Marketing Mix (7Ps)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14:paraId="29186A22">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"_Toc231669463" </w:instrText>
          </w:r>
          <w:r>
            <w:rPr>
              <w:rFonts w:hint="default" w:ascii="Arial" w:hAnsi="Arial" w:cs="Arial"/>
              <w:sz w:val="24"/>
              <w:szCs w:val="24"/>
            </w:rPr>
            <w:fldChar w:fldCharType="separate"/>
          </w:r>
          <w:r>
            <w:rPr>
              <w:rStyle w:val="8"/>
              <w:rFonts w:hint="default" w:ascii="Arial" w:hAnsi="Arial" w:cs="Arial"/>
              <w:sz w:val="24"/>
              <w:szCs w:val="24"/>
              <w:lang w:val="en-GB"/>
            </w:rPr>
            <w:t>3.1 Product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_Toc231669463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14:paraId="2CA189A7">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"_Toc231669464" </w:instrText>
          </w:r>
          <w:r>
            <w:rPr>
              <w:rFonts w:hint="default" w:ascii="Arial" w:hAnsi="Arial" w:cs="Arial"/>
              <w:sz w:val="24"/>
              <w:szCs w:val="24"/>
            </w:rPr>
            <w:fldChar w:fldCharType="separate"/>
          </w:r>
          <w:r>
            <w:rPr>
              <w:rStyle w:val="8"/>
              <w:rFonts w:hint="default" w:ascii="Arial" w:hAnsi="Arial" w:cs="Arial"/>
              <w:sz w:val="24"/>
              <w:szCs w:val="24"/>
              <w:lang w:val="en-GB"/>
            </w:rPr>
            <w:t>3.2 Price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_Toc231669464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14:paraId="3B2FE0C8">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"_Toc231669465" </w:instrText>
          </w:r>
          <w:r>
            <w:rPr>
              <w:rFonts w:hint="default" w:ascii="Arial" w:hAnsi="Arial" w:cs="Arial"/>
              <w:sz w:val="24"/>
              <w:szCs w:val="24"/>
            </w:rPr>
            <w:fldChar w:fldCharType="separate"/>
          </w:r>
          <w:r>
            <w:rPr>
              <w:rStyle w:val="8"/>
              <w:rFonts w:hint="default" w:ascii="Arial" w:hAnsi="Arial" w:cs="Arial"/>
              <w:sz w:val="24"/>
              <w:szCs w:val="24"/>
              <w:lang w:val="en-GB"/>
            </w:rPr>
            <w:t>3.3 Place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_Toc231669465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14:paraId="1ED78ECB">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"_Toc231669466" </w:instrText>
          </w:r>
          <w:r>
            <w:rPr>
              <w:rFonts w:hint="default" w:ascii="Arial" w:hAnsi="Arial" w:cs="Arial"/>
              <w:sz w:val="24"/>
              <w:szCs w:val="24"/>
            </w:rPr>
            <w:fldChar w:fldCharType="separate"/>
          </w:r>
          <w:r>
            <w:rPr>
              <w:rStyle w:val="8"/>
              <w:rFonts w:hint="default" w:ascii="Arial" w:hAnsi="Arial" w:cs="Arial"/>
              <w:sz w:val="24"/>
              <w:szCs w:val="24"/>
              <w:lang w:val="en-GB"/>
            </w:rPr>
            <w:t>3.5 People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_Toc231669466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14:paraId="7B3E83C5">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"_Toc231669467" </w:instrText>
          </w:r>
          <w:r>
            <w:rPr>
              <w:rFonts w:hint="default" w:ascii="Arial" w:hAnsi="Arial" w:cs="Arial"/>
              <w:sz w:val="24"/>
              <w:szCs w:val="24"/>
            </w:rPr>
            <w:fldChar w:fldCharType="separate"/>
          </w:r>
          <w:r>
            <w:rPr>
              <w:rStyle w:val="8"/>
              <w:rFonts w:hint="default" w:ascii="Arial" w:hAnsi="Arial" w:cs="Arial"/>
              <w:sz w:val="24"/>
              <w:szCs w:val="24"/>
              <w:lang w:val="en-GB"/>
            </w:rPr>
            <w:t>3.6 Process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_Toc231669467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sz w:val="24"/>
              <w:szCs w:val="24"/>
            </w:rPr>
            <w:fldChar w:fldCharType="end"/>
          </w:r>
        </w:p>
        <w:p w14:paraId="1CAA4EE5">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"_Toc231669468" </w:instrText>
          </w:r>
          <w:r>
            <w:rPr>
              <w:rFonts w:hint="default" w:ascii="Arial" w:hAnsi="Arial" w:cs="Arial"/>
              <w:sz w:val="24"/>
              <w:szCs w:val="24"/>
            </w:rPr>
            <w:fldChar w:fldCharType="separate"/>
          </w:r>
          <w:r>
            <w:rPr>
              <w:rStyle w:val="8"/>
              <w:rFonts w:hint="default" w:ascii="Arial" w:hAnsi="Arial" w:cs="Arial"/>
              <w:sz w:val="24"/>
              <w:szCs w:val="24"/>
              <w:lang w:val="en-GB"/>
            </w:rPr>
            <w:t>3.7 Physical Evidence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_Toc231669468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sz w:val="24"/>
              <w:szCs w:val="24"/>
            </w:rPr>
            <w:fldChar w:fldCharType="end"/>
          </w:r>
        </w:p>
        <w:p w14:paraId="604A6597">
          <w:pPr>
            <w:pStyle w:val="9"/>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"_Toc231669469" </w:instrText>
          </w:r>
          <w:r>
            <w:rPr>
              <w:rFonts w:hint="default" w:ascii="Arial" w:hAnsi="Arial" w:cs="Arial"/>
              <w:sz w:val="24"/>
              <w:szCs w:val="24"/>
            </w:rPr>
            <w:fldChar w:fldCharType="separate"/>
          </w:r>
          <w:r>
            <w:rPr>
              <w:rStyle w:val="8"/>
              <w:rFonts w:hint="default" w:ascii="Arial" w:hAnsi="Arial" w:cs="Arial"/>
              <w:sz w:val="24"/>
              <w:szCs w:val="24"/>
            </w:rPr>
            <w:t>Element 4: Reflection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_Toc231669469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rPr>
            <w:fldChar w:fldCharType="end"/>
          </w:r>
        </w:p>
        <w:p w14:paraId="0900D960">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"_Toc231669470" </w:instrText>
          </w:r>
          <w:r>
            <w:rPr>
              <w:rFonts w:hint="default" w:ascii="Arial" w:hAnsi="Arial" w:cs="Arial"/>
              <w:sz w:val="24"/>
              <w:szCs w:val="24"/>
            </w:rPr>
            <w:fldChar w:fldCharType="separate"/>
          </w:r>
          <w:r>
            <w:rPr>
              <w:rStyle w:val="8"/>
              <w:rFonts w:hint="default" w:ascii="Arial" w:hAnsi="Arial" w:cs="Arial"/>
              <w:sz w:val="24"/>
              <w:szCs w:val="24"/>
              <w:lang w:val="en-GB"/>
            </w:rPr>
            <w:t>4.1 Description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_Toc231669470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rPr>
            <w:fldChar w:fldCharType="end"/>
          </w:r>
        </w:p>
        <w:p w14:paraId="2A544CF1">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"_Toc231669471" </w:instrText>
          </w:r>
          <w:r>
            <w:rPr>
              <w:rFonts w:hint="default" w:ascii="Arial" w:hAnsi="Arial" w:cs="Arial"/>
              <w:sz w:val="24"/>
              <w:szCs w:val="24"/>
            </w:rPr>
            <w:fldChar w:fldCharType="separate"/>
          </w:r>
          <w:r>
            <w:rPr>
              <w:rStyle w:val="8"/>
              <w:rFonts w:hint="default" w:ascii="Arial" w:hAnsi="Arial" w:cs="Arial"/>
              <w:sz w:val="24"/>
              <w:szCs w:val="24"/>
              <w:lang w:val="en-GB"/>
            </w:rPr>
            <w:t>4.2 Feelings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_Toc231669471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rPr>
            <w:fldChar w:fldCharType="end"/>
          </w:r>
        </w:p>
        <w:p w14:paraId="42B108F3">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"_Toc231669472" </w:instrText>
          </w:r>
          <w:r>
            <w:rPr>
              <w:rFonts w:hint="default" w:ascii="Arial" w:hAnsi="Arial" w:cs="Arial"/>
              <w:sz w:val="24"/>
              <w:szCs w:val="24"/>
            </w:rPr>
            <w:fldChar w:fldCharType="separate"/>
          </w:r>
          <w:r>
            <w:rPr>
              <w:rStyle w:val="8"/>
              <w:rFonts w:hint="default" w:ascii="Arial" w:hAnsi="Arial" w:cs="Arial"/>
              <w:sz w:val="24"/>
              <w:szCs w:val="24"/>
              <w:lang w:val="en-GB"/>
            </w:rPr>
            <w:t>4.3 Evaluation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_Toc231669472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rPr>
            <w:fldChar w:fldCharType="end"/>
          </w:r>
        </w:p>
        <w:p w14:paraId="59DB202A">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"_Toc231669473" </w:instrText>
          </w:r>
          <w:r>
            <w:rPr>
              <w:rFonts w:hint="default" w:ascii="Arial" w:hAnsi="Arial" w:cs="Arial"/>
              <w:sz w:val="24"/>
              <w:szCs w:val="24"/>
            </w:rPr>
            <w:fldChar w:fldCharType="separate"/>
          </w:r>
          <w:r>
            <w:rPr>
              <w:rStyle w:val="8"/>
              <w:rFonts w:hint="default" w:ascii="Arial" w:hAnsi="Arial" w:cs="Arial"/>
              <w:sz w:val="24"/>
              <w:szCs w:val="24"/>
              <w:lang w:val="en-GB"/>
            </w:rPr>
            <w:t>4.4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_Toc231669473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rPr>
            <w:fldChar w:fldCharType="end"/>
          </w:r>
        </w:p>
        <w:p w14:paraId="7F7DA787">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"_Toc231669474" </w:instrText>
          </w:r>
          <w:r>
            <w:rPr>
              <w:rFonts w:hint="default" w:ascii="Arial" w:hAnsi="Arial" w:cs="Arial"/>
              <w:sz w:val="24"/>
              <w:szCs w:val="24"/>
            </w:rPr>
            <w:fldChar w:fldCharType="separate"/>
          </w:r>
          <w:r>
            <w:rPr>
              <w:rStyle w:val="8"/>
              <w:rFonts w:hint="default" w:ascii="Arial" w:hAnsi="Arial" w:cs="Arial"/>
              <w:sz w:val="24"/>
              <w:szCs w:val="24"/>
              <w:lang w:val="en-GB"/>
            </w:rPr>
            <w:t>4.5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_Toc231669474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rPr>
            <w:fldChar w:fldCharType="end"/>
          </w:r>
        </w:p>
        <w:p w14:paraId="4D19E52D">
          <w:pPr>
            <w:pStyle w:val="10"/>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"_Toc231669475" </w:instrText>
          </w:r>
          <w:r>
            <w:rPr>
              <w:rFonts w:hint="default" w:ascii="Arial" w:hAnsi="Arial" w:cs="Arial"/>
              <w:sz w:val="24"/>
              <w:szCs w:val="24"/>
            </w:rPr>
            <w:fldChar w:fldCharType="separate"/>
          </w:r>
          <w:r>
            <w:rPr>
              <w:rStyle w:val="8"/>
              <w:rFonts w:hint="default" w:ascii="Arial" w:hAnsi="Arial" w:cs="Arial"/>
              <w:sz w:val="24"/>
              <w:szCs w:val="24"/>
              <w:lang w:val="en-GB"/>
            </w:rPr>
            <w:t>4.6 Action Plan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_Toc231669475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rPr>
            <w:fldChar w:fldCharType="end"/>
          </w:r>
        </w:p>
        <w:p w14:paraId="2763339D">
          <w:pPr>
            <w:pStyle w:val="9"/>
            <w:tabs>
              <w:tab w:val="right" w:leader="dot" w:pos="9019"/>
            </w:tabs>
            <w:spacing w:after="0" w:line="240" w:lineRule="auto"/>
            <w:jc w:val="both"/>
            <w:rPr>
              <w:rFonts w:hint="default" w:ascii="Arial" w:hAnsi="Arial" w:cs="Arial" w:eastAsiaTheme="minorEastAsia"/>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"_Toc231669476" </w:instrText>
          </w:r>
          <w:r>
            <w:rPr>
              <w:rFonts w:hint="default" w:ascii="Arial" w:hAnsi="Arial" w:cs="Arial"/>
              <w:sz w:val="24"/>
              <w:szCs w:val="24"/>
            </w:rPr>
            <w:fldChar w:fldCharType="separate"/>
          </w:r>
          <w:r>
            <w:rPr>
              <w:rStyle w:val="8"/>
              <w:rFonts w:hint="default" w:ascii="Arial" w:hAnsi="Arial" w:cs="Arial"/>
              <w:sz w:val="24"/>
              <w:szCs w:val="24"/>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_Toc231669476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rPr>
            <w:fldChar w:fldCharType="end"/>
          </w:r>
        </w:p>
        <w:p w14:paraId="3C7D1999">
          <w:pPr>
            <w:spacing w:line="240" w:lineRule="auto"/>
            <w:jc w:val="both"/>
            <w:rPr>
              <w:rFonts w:hint="default" w:ascii="Arial" w:hAnsi="Arial" w:cs="Arial"/>
              <w:sz w:val="24"/>
              <w:szCs w:val="24"/>
            </w:rPr>
          </w:pPr>
          <w:r>
            <w:rPr>
              <w:rFonts w:hint="default" w:ascii="Arial" w:hAnsi="Arial" w:cs="Arial"/>
              <w:b/>
              <w:bCs/>
              <w:sz w:val="24"/>
              <w:szCs w:val="24"/>
            </w:rPr>
            <w:fldChar w:fldCharType="end"/>
          </w:r>
        </w:p>
      </w:sdtContent>
    </w:sdt>
    <w:p w14:paraId="693D994B">
      <w:pPr>
        <w:spacing w:after="240" w:line="360" w:lineRule="auto"/>
        <w:jc w:val="center"/>
        <w:rPr>
          <w:rFonts w:hint="default" w:ascii="Arial" w:hAnsi="Arial" w:eastAsia="Times New Roman" w:cs="Arial"/>
          <w:b/>
          <w:bCs/>
          <w:sz w:val="24"/>
          <w:szCs w:val="24"/>
          <w:lang w:val="en-GB"/>
        </w:rPr>
      </w:pPr>
    </w:p>
    <w:p w14:paraId="44549FEF">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br w:type="page"/>
      </w:r>
    </w:p>
    <w:p w14:paraId="0FF89701">
      <w:pPr>
        <w:pStyle w:val="2"/>
        <w:rPr>
          <w:rFonts w:hint="default" w:ascii="Arial" w:hAnsi="Arial" w:cs="Arial"/>
          <w:sz w:val="24"/>
          <w:szCs w:val="24"/>
        </w:rPr>
      </w:pPr>
      <w:bookmarkStart w:id="0" w:name="_Toc231669451"/>
      <w:r>
        <w:rPr>
          <w:rFonts w:hint="default" w:ascii="Arial" w:hAnsi="Arial" w:cs="Arial"/>
          <w:sz w:val="24"/>
          <w:szCs w:val="24"/>
        </w:rPr>
        <w:t>Element 1: Sustainable Brand Extension Poster Presentation</w:t>
      </w:r>
      <w:bookmarkEnd w:id="0"/>
    </w:p>
    <w:p w14:paraId="606A676B">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rPr>
        <w:drawing>
          <wp:inline distT="0" distB="0" distL="0" distR="0">
            <wp:extent cx="5733415" cy="8112125"/>
            <wp:effectExtent l="0" t="0" r="12065" b="107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stretch>
                      <a:fillRect/>
                    </a:stretch>
                  </pic:blipFill>
                  <pic:spPr>
                    <a:xfrm>
                      <a:off x="0" y="0"/>
                      <a:ext cx="5733415" cy="8112125"/>
                    </a:xfrm>
                    <a:prstGeom prst="rect">
                      <a:avLst/>
                    </a:prstGeom>
                  </pic:spPr>
                </pic:pic>
              </a:graphicData>
            </a:graphic>
          </wp:inline>
        </w:drawing>
      </w:r>
    </w:p>
    <w:p w14:paraId="278C8792">
      <w:pPr>
        <w:pStyle w:val="4"/>
        <w:rPr>
          <w:rFonts w:hint="default" w:ascii="Arial" w:hAnsi="Arial" w:cs="Arial"/>
          <w:sz w:val="24"/>
          <w:szCs w:val="24"/>
          <w:lang w:val="en-GB"/>
        </w:rPr>
      </w:pPr>
      <w:r>
        <w:rPr>
          <w:rFonts w:hint="default" w:ascii="Arial" w:hAnsi="Arial" w:cs="Arial"/>
          <w:sz w:val="24"/>
          <w:szCs w:val="24"/>
          <w:lang w:val="en-GB"/>
        </w:rPr>
        <w:t>Figure 1: Poster</w:t>
      </w:r>
    </w:p>
    <w:p w14:paraId="2FC8DC83">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lang w:val="en-GB"/>
        </w:rPr>
        <w:t>(Source: Self-developed)</w:t>
      </w:r>
    </w:p>
    <w:p w14:paraId="2A7BEBE3">
      <w:pPr>
        <w:pStyle w:val="3"/>
        <w:rPr>
          <w:rFonts w:hint="default" w:ascii="Arial" w:hAnsi="Arial" w:cs="Arial"/>
          <w:sz w:val="24"/>
          <w:szCs w:val="24"/>
          <w:lang w:val="en-GB"/>
        </w:rPr>
      </w:pPr>
      <w:bookmarkStart w:id="1" w:name="_Toc231669452"/>
      <w:r>
        <w:rPr>
          <w:rFonts w:hint="default" w:ascii="Arial" w:hAnsi="Arial" w:cs="Arial"/>
          <w:sz w:val="24"/>
          <w:szCs w:val="24"/>
          <w:lang w:val="en-GB"/>
        </w:rPr>
        <w:t>Section 1: Company Introduction</w:t>
      </w:r>
      <w:bookmarkEnd w:id="1"/>
    </w:p>
    <w:p w14:paraId="7A45C777">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Nike is the world’s largest sportswear company, which operates in over 170 countries (Nike, 2026).  Through the help of initiatives like the Move to Zero and Nike Refurbished, the company has committed towards reducing carbon emissions, while minimising the waste and advancing circular product design. </w:t>
      </w:r>
    </w:p>
    <w:p w14:paraId="16885EBE">
      <w:pPr>
        <w:pStyle w:val="3"/>
        <w:rPr>
          <w:rFonts w:hint="default" w:ascii="Arial" w:hAnsi="Arial" w:cs="Arial"/>
          <w:sz w:val="24"/>
          <w:szCs w:val="24"/>
          <w:lang w:val="en-GB"/>
        </w:rPr>
      </w:pPr>
      <w:bookmarkStart w:id="2" w:name="_Toc231669453"/>
      <w:r>
        <w:rPr>
          <w:rFonts w:hint="default" w:ascii="Arial" w:hAnsi="Arial" w:cs="Arial"/>
          <w:sz w:val="24"/>
          <w:szCs w:val="24"/>
          <w:lang w:val="en-GB"/>
        </w:rPr>
        <w:t>Section 2: Sustainable Requirement</w:t>
      </w:r>
      <w:bookmarkEnd w:id="2"/>
    </w:p>
    <w:p w14:paraId="7B1F4C4B">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The sportswear industry develops a notable amount of textile waste estimated as approximately 92 million tonnes globally) (UNEP, 2025). Therefore, the rising customers' expectations and sustainability regulations require Nike to adopt more circular consumption models. </w:t>
      </w:r>
    </w:p>
    <w:p w14:paraId="7C80C509">
      <w:pPr>
        <w:pStyle w:val="3"/>
        <w:rPr>
          <w:rFonts w:hint="default" w:ascii="Arial" w:hAnsi="Arial" w:cs="Arial"/>
          <w:sz w:val="24"/>
          <w:szCs w:val="24"/>
          <w:lang w:val="en-GB"/>
        </w:rPr>
      </w:pPr>
      <w:bookmarkStart w:id="3" w:name="_Toc231669454"/>
      <w:r>
        <w:rPr>
          <w:rFonts w:hint="default" w:ascii="Arial" w:hAnsi="Arial" w:cs="Arial"/>
          <w:sz w:val="24"/>
          <w:szCs w:val="24"/>
          <w:lang w:val="en-GB"/>
        </w:rPr>
        <w:t>Section 3: Proposed Brand Extension</w:t>
      </w:r>
      <w:bookmarkEnd w:id="3"/>
    </w:p>
    <w:p w14:paraId="76493962">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Nike Circular+ is a subscription-based platform which enables customers to access, return, repair and ultimately recycle the sportswear (Sproviero, 2025). Returned products are both refurbished and redistributed, and thus create a closed-loop ecosystem which extends the product lifecycle while developing recurring revenue for Nike. </w:t>
      </w:r>
    </w:p>
    <w:p w14:paraId="2C78228C">
      <w:pPr>
        <w:pStyle w:val="3"/>
        <w:rPr>
          <w:rFonts w:hint="default" w:ascii="Arial" w:hAnsi="Arial" w:cs="Arial"/>
          <w:sz w:val="24"/>
          <w:szCs w:val="24"/>
          <w:lang w:val="en-GB"/>
        </w:rPr>
      </w:pPr>
      <w:bookmarkStart w:id="4" w:name="_Toc231669455"/>
      <w:r>
        <w:rPr>
          <w:rFonts w:hint="default" w:ascii="Arial" w:hAnsi="Arial" w:cs="Arial"/>
          <w:sz w:val="24"/>
          <w:szCs w:val="24"/>
          <w:lang w:val="en-GB"/>
        </w:rPr>
        <w:t>Section 4: Why Customers Will Buy</w:t>
      </w:r>
      <w:bookmarkEnd w:id="4"/>
    </w:p>
    <w:p w14:paraId="14D77C69">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Both Generation Z and the Millennials increasingly favour the susceptible, as well as flexible consumption (Wandhe, 2024). Therefore, Nike’s Circular + provides easy access to premium sportswear, convenience, affordability and ultimately the environmental advantages without sacrificing the quality. </w:t>
      </w:r>
    </w:p>
    <w:p w14:paraId="707B5A73">
      <w:pPr>
        <w:pStyle w:val="3"/>
        <w:rPr>
          <w:rFonts w:hint="default" w:ascii="Arial" w:hAnsi="Arial" w:cs="Arial"/>
          <w:sz w:val="24"/>
          <w:szCs w:val="24"/>
          <w:lang w:val="en-GB"/>
        </w:rPr>
      </w:pPr>
      <w:bookmarkStart w:id="5" w:name="_Toc231669456"/>
      <w:r>
        <w:rPr>
          <w:rFonts w:hint="default" w:ascii="Arial" w:hAnsi="Arial" w:cs="Arial"/>
          <w:sz w:val="24"/>
          <w:szCs w:val="24"/>
          <w:lang w:val="en-GB"/>
        </w:rPr>
        <w:t>Section 5: Sustainability Alignment</w:t>
      </w:r>
      <w:bookmarkEnd w:id="5"/>
    </w:p>
    <w:p w14:paraId="6F3D1499">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The Nike Circular+ supports the SDG12 and SDG 13 goals of sustainable development.  Through promoting a sense of refurbishment, reuse and recycling, the extension reduces the landfill waste, diminishes the consumption of resources and thus strengthens Nike's transition towards a circular economy (Asghar, 2023).  </w:t>
      </w:r>
    </w:p>
    <w:p w14:paraId="5878534C">
      <w:pPr>
        <w:pStyle w:val="2"/>
        <w:rPr>
          <w:rFonts w:hint="default" w:ascii="Arial" w:hAnsi="Arial" w:cs="Arial"/>
          <w:sz w:val="24"/>
          <w:szCs w:val="24"/>
        </w:rPr>
      </w:pPr>
      <w:bookmarkStart w:id="6" w:name="_Toc231669457"/>
      <w:r>
        <w:rPr>
          <w:rFonts w:hint="default" w:ascii="Arial" w:hAnsi="Arial" w:cs="Arial"/>
          <w:sz w:val="24"/>
          <w:szCs w:val="24"/>
        </w:rPr>
        <w:t>Element 2: Development of a Segmentation, Targeting, Differentiation, and Positioning (STDP) Analysis for the brand extension</w:t>
      </w:r>
      <w:bookmarkEnd w:id="6"/>
    </w:p>
    <w:p w14:paraId="35B03589">
      <w:pPr>
        <w:pStyle w:val="3"/>
        <w:rPr>
          <w:rFonts w:hint="default" w:ascii="Arial" w:hAnsi="Arial" w:cs="Arial"/>
          <w:sz w:val="24"/>
          <w:szCs w:val="24"/>
          <w:lang w:val="en-GB"/>
        </w:rPr>
      </w:pPr>
      <w:bookmarkStart w:id="7" w:name="_Toc231669458"/>
      <w:r>
        <w:rPr>
          <w:rFonts w:hint="default" w:ascii="Arial" w:hAnsi="Arial" w:cs="Arial"/>
          <w:sz w:val="24"/>
          <w:szCs w:val="24"/>
          <w:lang w:val="en-GB"/>
        </w:rPr>
        <w:t>2.1 Segmentation</w:t>
      </w:r>
      <w:bookmarkEnd w:id="7"/>
    </w:p>
    <w:tbl>
      <w:tblPr>
        <w:tblStyle w:val="12"/>
        <w:tblW w:w="888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650"/>
        <w:gridCol w:w="3375"/>
        <w:gridCol w:w="3855"/>
      </w:tblGrid>
      <w:tr w14:paraId="65427A5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300" w:hRule="atLeast"/>
        </w:trPr>
        <w:tc>
          <w:tcPr>
            <w:tcW w:w="1650" w:type="dxa"/>
            <w:tcBorders>
              <w:top w:val="single" w:color="000000" w:sz="6" w:space="0"/>
              <w:left w:val="single" w:color="000000" w:sz="6" w:space="0"/>
              <w:bottom w:val="single" w:color="000000" w:sz="6" w:space="0"/>
              <w:right w:val="single" w:color="000000" w:sz="6" w:space="0"/>
            </w:tcBorders>
            <w:shd w:val="clear" w:color="auto" w:fill="80EDDD"/>
            <w:tcMar>
              <w:top w:w="0" w:type="dxa"/>
              <w:left w:w="100" w:type="dxa"/>
              <w:bottom w:w="0" w:type="dxa"/>
              <w:right w:w="100" w:type="dxa"/>
            </w:tcMar>
          </w:tcPr>
          <w:p w14:paraId="15834691">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Variable</w:t>
            </w:r>
          </w:p>
        </w:tc>
        <w:tc>
          <w:tcPr>
            <w:tcW w:w="3375" w:type="dxa"/>
            <w:tcBorders>
              <w:top w:val="single" w:color="000000" w:sz="6" w:space="0"/>
              <w:left w:val="nil"/>
              <w:bottom w:val="single" w:color="000000" w:sz="6" w:space="0"/>
              <w:right w:val="single" w:color="000000" w:sz="6" w:space="0"/>
            </w:tcBorders>
            <w:shd w:val="clear" w:color="auto" w:fill="80EDDD"/>
            <w:tcMar>
              <w:top w:w="0" w:type="dxa"/>
              <w:left w:w="100" w:type="dxa"/>
              <w:bottom w:w="0" w:type="dxa"/>
              <w:right w:w="100" w:type="dxa"/>
            </w:tcMar>
          </w:tcPr>
          <w:p w14:paraId="62EA7931">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Segment Characteristics</w:t>
            </w:r>
          </w:p>
        </w:tc>
        <w:tc>
          <w:tcPr>
            <w:tcW w:w="3855" w:type="dxa"/>
            <w:tcBorders>
              <w:top w:val="single" w:color="000000" w:sz="6" w:space="0"/>
              <w:left w:val="nil"/>
              <w:bottom w:val="single" w:color="000000" w:sz="6" w:space="0"/>
              <w:right w:val="single" w:color="000000" w:sz="6" w:space="0"/>
            </w:tcBorders>
            <w:shd w:val="clear" w:color="auto" w:fill="80EDDD"/>
            <w:tcMar>
              <w:top w:w="0" w:type="dxa"/>
              <w:left w:w="100" w:type="dxa"/>
              <w:bottom w:w="0" w:type="dxa"/>
              <w:right w:w="100" w:type="dxa"/>
            </w:tcMar>
          </w:tcPr>
          <w:p w14:paraId="2E5B4B07">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Relevance to Nike Circular+</w:t>
            </w:r>
          </w:p>
        </w:tc>
      </w:tr>
      <w:tr w14:paraId="221505D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870" w:hRule="atLeast"/>
        </w:trPr>
        <w:tc>
          <w:tcPr>
            <w:tcW w:w="1650" w:type="dxa"/>
            <w:tcBorders>
              <w:top w:val="nil"/>
              <w:left w:val="single" w:color="000000" w:sz="6" w:space="0"/>
              <w:bottom w:val="single" w:color="000000" w:sz="6" w:space="0"/>
              <w:right w:val="single" w:color="000000" w:sz="6" w:space="0"/>
            </w:tcBorders>
            <w:shd w:val="clear" w:color="auto" w:fill="FFF2CC"/>
            <w:tcMar>
              <w:top w:w="0" w:type="dxa"/>
              <w:left w:w="100" w:type="dxa"/>
              <w:bottom w:w="0" w:type="dxa"/>
              <w:right w:w="100" w:type="dxa"/>
            </w:tcMar>
          </w:tcPr>
          <w:p w14:paraId="3E47157A">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Geographic</w:t>
            </w:r>
          </w:p>
        </w:tc>
        <w:tc>
          <w:tcPr>
            <w:tcW w:w="3375" w:type="dxa"/>
            <w:tcBorders>
              <w:top w:val="nil"/>
              <w:left w:val="nil"/>
              <w:bottom w:val="single" w:color="000000" w:sz="6" w:space="0"/>
              <w:right w:val="single" w:color="000000" w:sz="6" w:space="0"/>
            </w:tcBorders>
            <w:tcMar>
              <w:top w:w="0" w:type="dxa"/>
              <w:left w:w="100" w:type="dxa"/>
              <w:bottom w:w="0" w:type="dxa"/>
              <w:right w:w="100" w:type="dxa"/>
            </w:tcMar>
          </w:tcPr>
          <w:p w14:paraId="15AEBD1D">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The geographic locations include the market of the UK, Germany and the Netherlands.</w:t>
            </w:r>
          </w:p>
        </w:tc>
        <w:tc>
          <w:tcPr>
            <w:tcW w:w="3855" w:type="dxa"/>
            <w:tcBorders>
              <w:top w:val="nil"/>
              <w:left w:val="nil"/>
              <w:bottom w:val="single" w:color="000000" w:sz="6" w:space="0"/>
              <w:right w:val="single" w:color="000000" w:sz="6" w:space="0"/>
            </w:tcBorders>
            <w:tcMar>
              <w:top w:w="0" w:type="dxa"/>
              <w:left w:w="100" w:type="dxa"/>
              <w:bottom w:w="0" w:type="dxa"/>
              <w:right w:w="100" w:type="dxa"/>
            </w:tcMar>
          </w:tcPr>
          <w:p w14:paraId="59098721">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These countries showcase strong sustainability awareness along with growing acceptance of circular fashion initiatives. </w:t>
            </w:r>
          </w:p>
        </w:tc>
      </w:tr>
      <w:tr w14:paraId="1B9E869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870" w:hRule="atLeast"/>
        </w:trPr>
        <w:tc>
          <w:tcPr>
            <w:tcW w:w="1650" w:type="dxa"/>
            <w:tcBorders>
              <w:top w:val="nil"/>
              <w:left w:val="single" w:color="000000" w:sz="6" w:space="0"/>
              <w:bottom w:val="single" w:color="000000" w:sz="6" w:space="0"/>
              <w:right w:val="single" w:color="000000" w:sz="6" w:space="0"/>
            </w:tcBorders>
            <w:shd w:val="clear" w:color="auto" w:fill="FFF2CC"/>
            <w:tcMar>
              <w:top w:w="0" w:type="dxa"/>
              <w:left w:w="100" w:type="dxa"/>
              <w:bottom w:w="0" w:type="dxa"/>
              <w:right w:w="100" w:type="dxa"/>
            </w:tcMar>
          </w:tcPr>
          <w:p w14:paraId="1879EB5B">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Demographic</w:t>
            </w:r>
          </w:p>
        </w:tc>
        <w:tc>
          <w:tcPr>
            <w:tcW w:w="3375" w:type="dxa"/>
            <w:tcBorders>
              <w:top w:val="nil"/>
              <w:left w:val="nil"/>
              <w:bottom w:val="single" w:color="000000" w:sz="6" w:space="0"/>
              <w:right w:val="single" w:color="000000" w:sz="6" w:space="0"/>
            </w:tcBorders>
            <w:tcMar>
              <w:top w:w="0" w:type="dxa"/>
              <w:left w:w="100" w:type="dxa"/>
              <w:bottom w:w="0" w:type="dxa"/>
              <w:right w:w="100" w:type="dxa"/>
            </w:tcMar>
          </w:tcPr>
          <w:p w14:paraId="43F8E19C">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Age 18-40, middle to upper middle income, university educated. </w:t>
            </w:r>
          </w:p>
        </w:tc>
        <w:tc>
          <w:tcPr>
            <w:tcW w:w="3855" w:type="dxa"/>
            <w:tcBorders>
              <w:top w:val="nil"/>
              <w:left w:val="nil"/>
              <w:bottom w:val="single" w:color="000000" w:sz="6" w:space="0"/>
              <w:right w:val="single" w:color="000000" w:sz="6" w:space="0"/>
            </w:tcBorders>
            <w:tcMar>
              <w:top w:w="0" w:type="dxa"/>
              <w:left w:w="100" w:type="dxa"/>
              <w:bottom w:w="0" w:type="dxa"/>
              <w:right w:w="100" w:type="dxa"/>
            </w:tcMar>
          </w:tcPr>
          <w:p w14:paraId="5F53A13D">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They possess the purchasing power along with the awareness required to embrace a subscription-based sportswear service (Dey and Holznlenkemper, 2025). </w:t>
            </w:r>
          </w:p>
        </w:tc>
      </w:tr>
      <w:tr w14:paraId="2CE44A3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870" w:hRule="atLeast"/>
        </w:trPr>
        <w:tc>
          <w:tcPr>
            <w:tcW w:w="1650" w:type="dxa"/>
            <w:tcBorders>
              <w:top w:val="nil"/>
              <w:left w:val="single" w:color="000000" w:sz="6" w:space="0"/>
              <w:bottom w:val="single" w:color="000000" w:sz="6" w:space="0"/>
              <w:right w:val="single" w:color="000000" w:sz="6" w:space="0"/>
            </w:tcBorders>
            <w:shd w:val="clear" w:color="auto" w:fill="FFF2CC"/>
            <w:tcMar>
              <w:top w:w="0" w:type="dxa"/>
              <w:left w:w="100" w:type="dxa"/>
              <w:bottom w:w="0" w:type="dxa"/>
              <w:right w:w="100" w:type="dxa"/>
            </w:tcMar>
          </w:tcPr>
          <w:p w14:paraId="121E4241">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Psychographic</w:t>
            </w:r>
          </w:p>
        </w:tc>
        <w:tc>
          <w:tcPr>
            <w:tcW w:w="3375" w:type="dxa"/>
            <w:tcBorders>
              <w:top w:val="nil"/>
              <w:left w:val="nil"/>
              <w:bottom w:val="single" w:color="000000" w:sz="6" w:space="0"/>
              <w:right w:val="single" w:color="000000" w:sz="6" w:space="0"/>
            </w:tcBorders>
            <w:tcMar>
              <w:top w:w="0" w:type="dxa"/>
              <w:left w:w="100" w:type="dxa"/>
              <w:bottom w:w="0" w:type="dxa"/>
              <w:right w:w="100" w:type="dxa"/>
            </w:tcMar>
          </w:tcPr>
          <w:p w14:paraId="48F2B3E1">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Individuals who are not only eco-conscious but also fitness-oriented, innovation seekers and ultimately socially responsible</w:t>
            </w:r>
          </w:p>
        </w:tc>
        <w:tc>
          <w:tcPr>
            <w:tcW w:w="3855" w:type="dxa"/>
            <w:tcBorders>
              <w:top w:val="nil"/>
              <w:left w:val="nil"/>
              <w:bottom w:val="single" w:color="000000" w:sz="6" w:space="0"/>
              <w:right w:val="single" w:color="000000" w:sz="6" w:space="0"/>
            </w:tcBorders>
            <w:tcMar>
              <w:top w:w="0" w:type="dxa"/>
              <w:left w:w="100" w:type="dxa"/>
              <w:bottom w:w="0" w:type="dxa"/>
              <w:right w:w="100" w:type="dxa"/>
            </w:tcMar>
          </w:tcPr>
          <w:p w14:paraId="7E7240E7">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Their values closely integrate with the Nike Circular + along with its circular economy proposition. </w:t>
            </w:r>
          </w:p>
        </w:tc>
      </w:tr>
      <w:tr w14:paraId="2251CF9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870" w:hRule="atLeast"/>
        </w:trPr>
        <w:tc>
          <w:tcPr>
            <w:tcW w:w="1650" w:type="dxa"/>
            <w:tcBorders>
              <w:top w:val="nil"/>
              <w:left w:val="single" w:color="000000" w:sz="6" w:space="0"/>
              <w:bottom w:val="single" w:color="000000" w:sz="6" w:space="0"/>
              <w:right w:val="single" w:color="000000" w:sz="6" w:space="0"/>
            </w:tcBorders>
            <w:shd w:val="clear" w:color="auto" w:fill="FFF2CC"/>
            <w:tcMar>
              <w:top w:w="0" w:type="dxa"/>
              <w:left w:w="100" w:type="dxa"/>
              <w:bottom w:w="0" w:type="dxa"/>
              <w:right w:w="100" w:type="dxa"/>
            </w:tcMar>
          </w:tcPr>
          <w:p w14:paraId="420C0FB1">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Behavioural</w:t>
            </w:r>
          </w:p>
        </w:tc>
        <w:tc>
          <w:tcPr>
            <w:tcW w:w="3375" w:type="dxa"/>
            <w:tcBorders>
              <w:top w:val="nil"/>
              <w:left w:val="nil"/>
              <w:bottom w:val="single" w:color="000000" w:sz="6" w:space="0"/>
              <w:right w:val="single" w:color="000000" w:sz="6" w:space="0"/>
            </w:tcBorders>
            <w:tcMar>
              <w:top w:w="0" w:type="dxa"/>
              <w:left w:w="100" w:type="dxa"/>
              <w:bottom w:w="0" w:type="dxa"/>
              <w:right w:w="100" w:type="dxa"/>
            </w:tcMar>
          </w:tcPr>
          <w:p w14:paraId="28AD9B3B">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Frequent buyers of Nike, online shoppers and subscription users.</w:t>
            </w:r>
          </w:p>
        </w:tc>
        <w:tc>
          <w:tcPr>
            <w:tcW w:w="3855" w:type="dxa"/>
            <w:tcBorders>
              <w:top w:val="nil"/>
              <w:left w:val="nil"/>
              <w:bottom w:val="single" w:color="000000" w:sz="6" w:space="0"/>
              <w:right w:val="single" w:color="000000" w:sz="6" w:space="0"/>
            </w:tcBorders>
            <w:tcMar>
              <w:top w:w="0" w:type="dxa"/>
              <w:left w:w="100" w:type="dxa"/>
              <w:bottom w:w="0" w:type="dxa"/>
              <w:right w:w="100" w:type="dxa"/>
            </w:tcMar>
          </w:tcPr>
          <w:p w14:paraId="73AD02C3">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Existing engagement with Nike’s digital ecosystems not only maximises the adoption rates but also the long-term retention. </w:t>
            </w:r>
          </w:p>
        </w:tc>
      </w:tr>
    </w:tbl>
    <w:p w14:paraId="6600AA57">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Table 1: Segmentation table</w:t>
      </w:r>
    </w:p>
    <w:p w14:paraId="5E26683F">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lang w:val="en-GB"/>
        </w:rPr>
        <w:t>(Source: Self-developed)</w:t>
      </w:r>
    </w:p>
    <w:p w14:paraId="3DC945E3">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Critical evaluation</w:t>
      </w:r>
    </w:p>
    <w:p w14:paraId="3F2E77D9">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Though the demographic elements assist in effectively identifying the customers with sufficient purchasing power, psychographic segmentation is more valuable for the Nike Circular+ as active participation within the circular consumption highly relies on sustainability attitudes, along with lifestyle values. Besides that, customers who tend to prioritise environmental responsibility are more likely to adopt rental, repair and recycling services (Bucur, 2023). Compared with Adidas and Puma, this sportswear brand targets a distinct segmentation motivated through both athletic performances as well as active contribution towards waste reduction. </w:t>
      </w:r>
    </w:p>
    <w:p w14:paraId="74150AE2">
      <w:pPr>
        <w:pStyle w:val="3"/>
        <w:rPr>
          <w:rFonts w:hint="default" w:ascii="Arial" w:hAnsi="Arial" w:cs="Arial"/>
          <w:sz w:val="24"/>
          <w:szCs w:val="24"/>
          <w:lang w:val="en-GB"/>
        </w:rPr>
      </w:pPr>
      <w:bookmarkStart w:id="8" w:name="_Toc231669459"/>
      <w:r>
        <w:rPr>
          <w:rFonts w:hint="default" w:ascii="Arial" w:hAnsi="Arial" w:cs="Arial"/>
          <w:sz w:val="24"/>
          <w:szCs w:val="24"/>
          <w:lang w:val="en-GB"/>
        </w:rPr>
        <w:t>2.2 Targeting</w:t>
      </w:r>
      <w:bookmarkEnd w:id="8"/>
    </w:p>
    <w:p w14:paraId="1A0F61E4">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Nike Circular+ embrace a differentiated targeting strategy through concentrating on two key customer segments. The primary target market consists of urban Generation Z customers who are aged between 10 and 30 and are digitally connected, environmentally conscious, and finally receptive to alternative consumption models (Royston, 2026). These customers not only seek sustainable brands but also feel comfortable through leveraging the subscription-based services.  The secondary target consists of Millennials aged between 31 and 40 who possess high disposable incomes, along with increasingly prioritising ethical as well as environmentally responsible product purchasing decisions. </w:t>
      </w:r>
    </w:p>
    <w:p w14:paraId="2997A8F7">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rPr>
        <w:drawing>
          <wp:inline distT="114300" distB="114300" distL="114300" distR="114300">
            <wp:extent cx="5343525" cy="3781425"/>
            <wp:effectExtent l="0" t="0" r="5715" b="1333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referRelativeResize="0"/>
                  </pic:nvPicPr>
                  <pic:blipFill>
                    <a:blip r:embed="rId9"/>
                    <a:srcRect/>
                    <a:stretch>
                      <a:fillRect/>
                    </a:stretch>
                  </pic:blipFill>
                  <pic:spPr>
                    <a:xfrm>
                      <a:off x="0" y="0"/>
                      <a:ext cx="5343525" cy="3781425"/>
                    </a:xfrm>
                    <a:prstGeom prst="rect">
                      <a:avLst/>
                    </a:prstGeom>
                  </pic:spPr>
                </pic:pic>
              </a:graphicData>
            </a:graphic>
          </wp:inline>
        </w:drawing>
      </w:r>
    </w:p>
    <w:p w14:paraId="0D793A7C">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Figure 2: Customer Persona</w:t>
      </w:r>
    </w:p>
    <w:p w14:paraId="43362986">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lang w:val="en-GB"/>
        </w:rPr>
        <w:t>(Source: Self-developed)</w:t>
      </w:r>
    </w:p>
    <w:p w14:paraId="0C4ABF40">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A representative customer persona is Emily, a 26-year-old marketing professional who is currently living across London, UK. She regularly attends the gym, purchases sportswear through digital platforms and also prefers brands which showcase genuine sustainability commitments. Not only this, but Emily also values a sense of convenience, innovation and ultimately exclusive opportunities to diminish her environmental influence without compromising the quality of the product. </w:t>
      </w:r>
    </w:p>
    <w:p w14:paraId="52582E80">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The targeting strategy is justified through the growing sustainability trends, which point out that younger customers increasingly favour the circular consumption models, product reuse and ultimately the responsible purchasing behaviours (Shams et al., 2025). As a result, Nike Circular+ is well positioned to cater for the changing expectations of this environmentally conscious customer group. </w:t>
      </w:r>
    </w:p>
    <w:p w14:paraId="0F221336">
      <w:pPr>
        <w:pStyle w:val="3"/>
        <w:rPr>
          <w:rFonts w:hint="default" w:ascii="Arial" w:hAnsi="Arial" w:cs="Arial"/>
          <w:sz w:val="24"/>
          <w:szCs w:val="24"/>
          <w:lang w:val="en-GB"/>
        </w:rPr>
      </w:pPr>
      <w:bookmarkStart w:id="9" w:name="_Toc231669460"/>
      <w:r>
        <w:rPr>
          <w:rFonts w:hint="default" w:ascii="Arial" w:hAnsi="Arial" w:cs="Arial"/>
          <w:sz w:val="24"/>
          <w:szCs w:val="24"/>
          <w:lang w:val="en-GB"/>
        </w:rPr>
        <w:t>2.3 Differentiation</w:t>
      </w:r>
      <w:bookmarkEnd w:id="9"/>
    </w:p>
    <w:p w14:paraId="16F9A3D8">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This company adopts a value-based differentiation strategy through providing a circular sportswear ecosystem instead of solely depending on sustainable product materials. In comparison to competitors like Adidas, which primary concentration revolves around sustainable manufacturing and recycled materials, Nike Circular+ extends the sustainability throughout the product lifecycle with the help of aspects like rental, repair, refurbishment, and finally recycling services (Kaledio et al., 2023). Correspondingly, though Puma has introduced both sustainability initiatives and eco-friendly collections, its business model remains centred on conventional product ownership. Under Armour continues to compete mainly through performance innovation as well as athletic functionality, with comparatively limited highlights on circular consumption. </w:t>
      </w:r>
    </w:p>
    <w:p w14:paraId="4DEAEE64">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Unlike these key market players, Nike Circular+ amalgams the premium sportswear access with a subscription model, which encourages customers for both responsible consumptions along with long-term customer engagement (Sproviero, 2025). Moreover, the subscribers can return the products for refurbishment, earn rewards for sustainable behaviours and ultimately easily access towards the high-quality apparel without any permanent ownership. As a result, Nike Circular+ differentiates itself through the help of its business model innovation rather than product innovation alone and thus creates a stronger sustainability propositions within the sportswear market. </w:t>
      </w:r>
    </w:p>
    <w:p w14:paraId="0FD8B45B">
      <w:pPr>
        <w:pStyle w:val="3"/>
        <w:rPr>
          <w:rFonts w:hint="default" w:ascii="Arial" w:hAnsi="Arial" w:cs="Arial"/>
          <w:sz w:val="24"/>
          <w:szCs w:val="24"/>
          <w:lang w:val="en-GB"/>
        </w:rPr>
      </w:pPr>
      <w:bookmarkStart w:id="10" w:name="_Toc231669461"/>
      <w:r>
        <w:rPr>
          <w:rFonts w:hint="default" w:ascii="Arial" w:hAnsi="Arial" w:cs="Arial"/>
          <w:sz w:val="24"/>
          <w:szCs w:val="24"/>
          <w:lang w:val="en-GB"/>
        </w:rPr>
        <w:t>2.4 Positioning</w:t>
      </w:r>
      <w:bookmarkEnd w:id="10"/>
    </w:p>
    <w:p w14:paraId="460978E8">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rPr>
        <w:drawing>
          <wp:inline distT="114300" distB="114300" distL="114300" distR="114300">
            <wp:extent cx="5730875" cy="3479800"/>
            <wp:effectExtent l="0" t="0" r="14605" b="1016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10"/>
                    <a:srcRect/>
                    <a:stretch>
                      <a:fillRect/>
                    </a:stretch>
                  </pic:blipFill>
                  <pic:spPr>
                    <a:xfrm>
                      <a:off x="0" y="0"/>
                      <a:ext cx="5731200" cy="3479800"/>
                    </a:xfrm>
                    <a:prstGeom prst="rect">
                      <a:avLst/>
                    </a:prstGeom>
                  </pic:spPr>
                </pic:pic>
              </a:graphicData>
            </a:graphic>
          </wp:inline>
        </w:drawing>
      </w:r>
    </w:p>
    <w:p w14:paraId="61BB94DA">
      <w:pPr>
        <w:spacing w:after="240" w:line="360" w:lineRule="auto"/>
        <w:jc w:val="center"/>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Figure 3: Positioning map of Nike</w:t>
      </w:r>
    </w:p>
    <w:p w14:paraId="05EC37DB">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lang w:val="en-GB"/>
        </w:rPr>
        <w:t>(Source: Self-developed)</w:t>
      </w:r>
    </w:p>
    <w:p w14:paraId="0B554CE3">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 xml:space="preserve">Critical evaluation </w:t>
      </w:r>
    </w:p>
    <w:p w14:paraId="58C58DC1">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Nike Circular+ is positioned as a premium sustainable sportswear solution for customers who are not only environmentally conscious but also seek both high athletic performance alongside responsible consumption (Jensen, 2025). The positioning statement is: </w:t>
      </w:r>
    </w:p>
    <w:p w14:paraId="3DC118F1">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‘For environmentally conscious athletes seeking premium performance wear, Nike Circular+ delivers sustainable access to the high-quality sportswear through a circular ecosystem which not only diminishes the waste but also maintains the innovation and performance leadership of the company.’</w:t>
      </w:r>
    </w:p>
    <w:p w14:paraId="53C1ECEA">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The positioning map showcases that Nike Circular+ occupies the high price and high sustainability quadrant of the positioning map, which highlights its premium brand image in combination with a circular business model (Bossink et al., 2025).  Though the rivals like Adidas also highlight a sense of strong sustainability performances, it remains initially focused on product ownership. Moreover, both Reebok and Puma provide relatively affordable, sustainable alternatives but possess lower brand equity. On the flip side, competitors like Under Armour and Lululemon compete through the help of their premium pricing strategies and performances but also showcase comparatively poor sustainability positioning. Therefore, Nike Circular+ attains a distinctive competitive positioning through amalgamation the premium product value with circular consumption practices. </w:t>
      </w:r>
    </w:p>
    <w:p w14:paraId="5A5948C0">
      <w:pPr>
        <w:pStyle w:val="2"/>
        <w:rPr>
          <w:rFonts w:hint="default" w:ascii="Arial" w:hAnsi="Arial" w:cs="Arial"/>
          <w:sz w:val="24"/>
          <w:szCs w:val="24"/>
        </w:rPr>
      </w:pPr>
      <w:bookmarkStart w:id="11" w:name="_Toc231669462"/>
      <w:r>
        <w:rPr>
          <w:rFonts w:hint="default" w:ascii="Arial" w:hAnsi="Arial" w:cs="Arial"/>
          <w:sz w:val="24"/>
          <w:szCs w:val="24"/>
        </w:rPr>
        <w:t>Element 3: Marketing Mix (7Ps)</w:t>
      </w:r>
      <w:bookmarkEnd w:id="11"/>
    </w:p>
    <w:p w14:paraId="31890866">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This marketing mix offers a strategic framework for translating the Nike Circular+ brand extension into a marketable as well as sustainable offering.  Each element of the 7Ps has been carefully designed to support circular consumption while boosting the value of the customers, fortifying the competitive positioning of Nike and thus notably contributes to the long-term environmental as well as business objectives (Jain et al., 2022). </w:t>
      </w:r>
    </w:p>
    <w:p w14:paraId="57546599">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rPr>
        <w:drawing>
          <wp:inline distT="114300" distB="114300" distL="114300" distR="114300">
            <wp:extent cx="5730875" cy="3225800"/>
            <wp:effectExtent l="0" t="0" r="14605" b="508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1"/>
                    <a:srcRect/>
                    <a:stretch>
                      <a:fillRect/>
                    </a:stretch>
                  </pic:blipFill>
                  <pic:spPr>
                    <a:xfrm>
                      <a:off x="0" y="0"/>
                      <a:ext cx="5731200" cy="3225800"/>
                    </a:xfrm>
                    <a:prstGeom prst="rect">
                      <a:avLst/>
                    </a:prstGeom>
                  </pic:spPr>
                </pic:pic>
              </a:graphicData>
            </a:graphic>
          </wp:inline>
        </w:drawing>
      </w:r>
    </w:p>
    <w:p w14:paraId="386BE816">
      <w:pPr>
        <w:pStyle w:val="4"/>
        <w:rPr>
          <w:rFonts w:hint="default" w:ascii="Arial" w:hAnsi="Arial" w:cs="Arial"/>
          <w:sz w:val="24"/>
          <w:szCs w:val="24"/>
          <w:lang w:val="en-GB"/>
        </w:rPr>
      </w:pPr>
      <w:r>
        <w:rPr>
          <w:rFonts w:hint="default" w:ascii="Arial" w:hAnsi="Arial" w:cs="Arial"/>
          <w:sz w:val="24"/>
          <w:szCs w:val="24"/>
          <w:lang w:val="en-GB"/>
        </w:rPr>
        <w:t xml:space="preserve">Figure 4: 7 P's of </w:t>
      </w:r>
      <w:r>
        <w:rPr>
          <w:rFonts w:hint="default" w:ascii="Arial" w:hAnsi="Arial" w:cs="Arial"/>
          <w:sz w:val="24"/>
          <w:szCs w:val="24"/>
        </w:rPr>
        <w:t>Marketing</w:t>
      </w:r>
      <w:r>
        <w:rPr>
          <w:rFonts w:hint="default" w:ascii="Arial" w:hAnsi="Arial" w:cs="Arial"/>
          <w:sz w:val="24"/>
          <w:szCs w:val="24"/>
          <w:lang w:val="en-GB"/>
        </w:rPr>
        <w:t xml:space="preserve"> Mix</w:t>
      </w:r>
    </w:p>
    <w:p w14:paraId="45F8345F">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lang w:val="en-GB"/>
        </w:rPr>
        <w:t>(Source: Collidu, 2026)</w:t>
      </w:r>
    </w:p>
    <w:p w14:paraId="7A7E9518">
      <w:pPr>
        <w:pStyle w:val="3"/>
        <w:rPr>
          <w:rFonts w:hint="default" w:ascii="Arial" w:hAnsi="Arial" w:cs="Arial"/>
          <w:sz w:val="24"/>
          <w:szCs w:val="24"/>
          <w:lang w:val="en-GB"/>
        </w:rPr>
      </w:pPr>
      <w:bookmarkStart w:id="12" w:name="_Toc231669463"/>
      <w:r>
        <w:rPr>
          <w:rFonts w:hint="default" w:ascii="Arial" w:hAnsi="Arial" w:cs="Arial"/>
          <w:sz w:val="24"/>
          <w:szCs w:val="24"/>
          <w:lang w:val="en-GB"/>
        </w:rPr>
        <w:t>3.1 Product</w:t>
      </w:r>
      <w:bookmarkEnd w:id="12"/>
    </w:p>
    <w:p w14:paraId="76856E8A">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Nike Circular+ transforms the traditional product offerings of Nike from ownership to sustainable access. The core product is premium sportswear access through the help of a circular subscription model (Circulardesign, 2026). The actual product incorporates a digital platform that allows potential customers to rent, return and exchange the products.  Besides that, the augmented product consists of repair services, refurbishment programmes and finally the sustainability rewards closely integrated within the Nike Membership ecosystem. Unlike the Puma and Adidas, which mainly place their focus on sustainable materials, Nike Circular+ addresses the product consumption itself.  However, the model relies completely on customers' active participation across the return schemes. Therefore, the extension fortifies the circular economy's ambitions through both reducing the waste and extending the product lifecycles. </w:t>
      </w:r>
    </w:p>
    <w:p w14:paraId="7BAE80B0">
      <w:pPr>
        <w:pStyle w:val="3"/>
        <w:rPr>
          <w:rFonts w:hint="default" w:ascii="Arial" w:hAnsi="Arial" w:cs="Arial"/>
          <w:sz w:val="24"/>
          <w:szCs w:val="24"/>
          <w:lang w:val="en-GB"/>
        </w:rPr>
      </w:pPr>
      <w:bookmarkStart w:id="13" w:name="_Toc231669464"/>
      <w:r>
        <w:rPr>
          <w:rFonts w:hint="default" w:ascii="Arial" w:hAnsi="Arial" w:cs="Arial"/>
          <w:sz w:val="24"/>
          <w:szCs w:val="24"/>
          <w:lang w:val="en-GB"/>
        </w:rPr>
        <w:t>3.2 Price</w:t>
      </w:r>
      <w:bookmarkEnd w:id="13"/>
    </w:p>
    <w:p w14:paraId="5B52A6EC">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Nike Circular+ embrace a value-based pricing strategy with a Basic plan (£20/month) and Premium Plan (£45/month) (Melbado, 2025). The pricing highlights access towards high-performance sportswear, convenience and sustainability advantages instead of product ownership.  Unlike conventional purchasing procedures, where customers repeatedly purchase new products, the subscription model gives consistent yet easy access at very predictable costs. Moreover, the recurring subscriptions create stable revenue streams for this sportswear company while enhancing the lifetime value of the customers. However, some customers might perceive monthly fees as expensive compared with one-off purchases (Ashby, 2025). Nevertheless, the long-term savings in combination with flexibility and environmental advantages justify the premium pricing and thus strengthen the innovative and sustainability-focused market position of the company. </w:t>
      </w:r>
    </w:p>
    <w:p w14:paraId="3B1BFE22">
      <w:pPr>
        <w:pStyle w:val="3"/>
        <w:rPr>
          <w:rFonts w:hint="default" w:ascii="Arial" w:hAnsi="Arial" w:cs="Arial"/>
          <w:sz w:val="24"/>
          <w:szCs w:val="24"/>
          <w:lang w:val="en-GB"/>
        </w:rPr>
      </w:pPr>
      <w:bookmarkStart w:id="14" w:name="_Toc231669465"/>
      <w:r>
        <w:rPr>
          <w:rFonts w:hint="default" w:ascii="Arial" w:hAnsi="Arial" w:cs="Arial"/>
          <w:sz w:val="24"/>
          <w:szCs w:val="24"/>
          <w:lang w:val="en-GB"/>
        </w:rPr>
        <w:t>3.3 Place</w:t>
      </w:r>
      <w:bookmarkEnd w:id="14"/>
    </w:p>
    <w:p w14:paraId="6037AF35">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Nike Circular+ will be delivered through the help of Nike app, Nike website and selected flagship stores through ensuring a immersive Omni channel experiences. With the help of this, customers can manage their subscriptions digitally while leveraging the physical stores for product collection and returns. Unlike the competitors, while depends highly on traditional retail sales, this company can utilise its established digital ecosystem and the global distribution networks (Subramaniam, 2022). Besides that, returned products enter a reverse logistics system for inspections, repair, refurbishment, and ultimately redistribution. However, managing the reverse logistics profoundly presents the operational issues along with the additional cost.  Therefore, advanced inventory management alongside tracking technologies is pivotal to ensure the availability of the products, customer satisfaction levels and ultimately operational effectiveness. </w:t>
      </w:r>
    </w:p>
    <w:p w14:paraId="7B071ED8">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3.4 Promotion</w:t>
      </w:r>
    </w:p>
    <w:p w14:paraId="710CBB32">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Nike Circular+ will utilise a fully aligned communication strategy amalgamating the social media campaigns along with influencer partnerships, sustainability storytelling and ultimately notifications from the Nike app.  Through the standpoint of the AIDA model, it can be asserted that social media contents attract attentions of customers while the educational sustainability messages generate a sense of interest among the customers (Sarfraz et al., 2025). Similarly, the success story of the customers creates desire while app-based promotions motivate for action. Unlike the conventional product-focused campaigns, Nike Circular+ fosters behavioural change towards circular consumption. However, sustainability claims must be transparent to avoid accusations of greenwashing.  Through profoundly utilising the strong brand equity of Nike in combination with digital engagement capabilities, the campaign can effectively communicate both performance and environmental advantages and thus fortifying the trust and adoption of the customers. </w:t>
      </w:r>
    </w:p>
    <w:p w14:paraId="66023C4A">
      <w:pPr>
        <w:pStyle w:val="3"/>
        <w:rPr>
          <w:rFonts w:hint="default" w:ascii="Arial" w:hAnsi="Arial" w:cs="Arial"/>
          <w:sz w:val="24"/>
          <w:szCs w:val="24"/>
          <w:lang w:val="en-GB"/>
        </w:rPr>
      </w:pPr>
      <w:bookmarkStart w:id="15" w:name="_Toc231669466"/>
      <w:r>
        <w:rPr>
          <w:rFonts w:hint="default" w:ascii="Arial" w:hAnsi="Arial" w:cs="Arial"/>
          <w:sz w:val="24"/>
          <w:szCs w:val="24"/>
          <w:lang w:val="en-GB"/>
        </w:rPr>
        <w:t>3.5 People</w:t>
      </w:r>
      <w:bookmarkEnd w:id="15"/>
    </w:p>
    <w:p w14:paraId="14170CDB">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People play a pivotal role in delivering the Nike Circular experiences. Sustainability specialists will supervise both refurbishments and circularity programmes, while the teams of customer service will guide the subscription management along with product returns (Uddin, 2025). However, unlike the conventional retail models, Nike Circular + requires greater partnerships between both employees and customers to attain the sustainability objectives.  However, the inefficient knowledge of the employees can undermine both service quality and thus lead to poor customer trust (Abdulkadir, 2023). Therefore, consistent training within the sustainability practices, customer engagement, as well as circular economy principles is monumental for assuring the consistent service delivery and successful adoption of the programmes.</w:t>
      </w:r>
    </w:p>
    <w:p w14:paraId="0028BB35">
      <w:pPr>
        <w:pStyle w:val="3"/>
        <w:rPr>
          <w:rFonts w:hint="default" w:ascii="Arial" w:hAnsi="Arial" w:cs="Arial"/>
          <w:sz w:val="24"/>
          <w:szCs w:val="24"/>
          <w:lang w:val="en-GB"/>
        </w:rPr>
      </w:pPr>
      <w:bookmarkStart w:id="16" w:name="_Toc231669467"/>
      <w:r>
        <w:rPr>
          <w:rFonts w:hint="default" w:ascii="Arial" w:hAnsi="Arial" w:cs="Arial"/>
          <w:sz w:val="24"/>
          <w:szCs w:val="24"/>
          <w:lang w:val="en-GB"/>
        </w:rPr>
        <w:t>3.6 Process</w:t>
      </w:r>
      <w:bookmarkEnd w:id="16"/>
      <w:r>
        <w:rPr>
          <w:rFonts w:hint="default" w:ascii="Arial" w:hAnsi="Arial" w:cs="Arial"/>
          <w:sz w:val="24"/>
          <w:szCs w:val="24"/>
          <w:lang w:val="en-GB"/>
        </w:rPr>
        <w:t xml:space="preserve"> </w:t>
      </w:r>
    </w:p>
    <w:p w14:paraId="4627860B">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rPr>
        <w:drawing>
          <wp:inline distT="0" distB="0" distL="0" distR="0">
            <wp:extent cx="5486400" cy="3200400"/>
            <wp:effectExtent l="76200" t="57150" r="95250" b="381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A35FC28">
      <w:pPr>
        <w:spacing w:after="240" w:line="360" w:lineRule="auto"/>
        <w:jc w:val="both"/>
        <w:rPr>
          <w:rFonts w:hint="default" w:ascii="Arial" w:hAnsi="Arial" w:eastAsia="Times New Roman" w:cs="Arial"/>
          <w:b/>
          <w:bCs/>
          <w:sz w:val="24"/>
          <w:szCs w:val="24"/>
          <w:lang w:val="en-GB"/>
        </w:rPr>
      </w:pPr>
    </w:p>
    <w:p w14:paraId="65802F9F">
      <w:pPr>
        <w:pStyle w:val="4"/>
        <w:rPr>
          <w:rFonts w:hint="default" w:ascii="Arial" w:hAnsi="Arial" w:cs="Arial"/>
          <w:sz w:val="24"/>
          <w:szCs w:val="24"/>
          <w:lang w:val="en-GB"/>
        </w:rPr>
      </w:pPr>
      <w:r>
        <w:rPr>
          <w:rFonts w:hint="default" w:ascii="Arial" w:hAnsi="Arial" w:cs="Arial"/>
          <w:sz w:val="24"/>
          <w:szCs w:val="24"/>
          <w:lang w:val="en-GB"/>
        </w:rPr>
        <w:t>Figure 5: Process diagram</w:t>
      </w:r>
    </w:p>
    <w:p w14:paraId="25C250D3">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lang w:val="en-GB"/>
        </w:rPr>
        <w:t>(Source: Self-developed)</w:t>
      </w:r>
    </w:p>
    <w:p w14:paraId="6884CC00">
      <w:pPr>
        <w:spacing w:after="240" w:line="360" w:lineRule="auto"/>
        <w:jc w:val="both"/>
        <w:rPr>
          <w:rFonts w:hint="default" w:ascii="Arial" w:hAnsi="Arial" w:eastAsia="Times New Roman" w:cs="Arial"/>
          <w:sz w:val="24"/>
          <w:szCs w:val="24"/>
          <w:lang w:val="en-GB"/>
        </w:rPr>
      </w:pPr>
      <w:r>
        <w:rPr>
          <w:rFonts w:hint="default" w:ascii="Arial" w:hAnsi="Arial" w:eastAsia="Cardo" w:cs="Arial"/>
          <w:sz w:val="24"/>
          <w:szCs w:val="24"/>
          <w:lang w:val="en-GB"/>
        </w:rPr>
        <w:t xml:space="preserve">The Nike Circular+ procedures follow a closed-loop system like Subscribe → Receive Product → Use Product → Return Product → Refurbishment → Redistribution. These procedures will not only ensure that products remain within the circulation for longer periods but also maximise the resource efficiency while reducing the waste (Yang et al., 2023). Unlike the traditional retail models, which end after purchase, Nike Circular+ effectively maintains consistent interaction throughout the product lifecycle.  However, the effective execution requires accurate product tracking, timely returns and ultimately effective refurbishment operations. Moreover, delays at any stage could adversely influence the satisfaction levels of the customers as well as subscription retention. Therefore, digital integration along with operational effectiveness is pivotal to support an immersive as well as scalable circular business model. </w:t>
      </w:r>
    </w:p>
    <w:p w14:paraId="318B61CE">
      <w:pPr>
        <w:pStyle w:val="3"/>
        <w:rPr>
          <w:rFonts w:hint="default" w:ascii="Arial" w:hAnsi="Arial" w:cs="Arial"/>
          <w:sz w:val="24"/>
          <w:szCs w:val="24"/>
          <w:lang w:val="en-GB"/>
        </w:rPr>
      </w:pPr>
      <w:bookmarkStart w:id="17" w:name="_Toc231669468"/>
      <w:r>
        <w:rPr>
          <w:rFonts w:hint="default" w:ascii="Arial" w:hAnsi="Arial" w:cs="Arial"/>
          <w:sz w:val="24"/>
          <w:szCs w:val="24"/>
          <w:lang w:val="en-GB"/>
        </w:rPr>
        <w:t>3.7 Physical Evidence</w:t>
      </w:r>
      <w:bookmarkEnd w:id="17"/>
    </w:p>
    <w:p w14:paraId="14DA47F0">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Physical evidence helps to fortify the positive trust of the customers within Nike Circular+ through making the sustainability both visible as well as credible (Jain et al., 2022). The key elements incorporate the eco-friendly packaging, a user-friendly mobile application, sustainability certifications and ultimately dedicated in-store displays, which explains the overall circular process. Unlike the competitors, which initially communicate the sustainability through the help of product labels, Nike Circular+ offers visible evidence throughout the customer journey.  However, inconsistent branding or unclear sustainability messaging can lower the perceived credibility. </w:t>
      </w:r>
    </w:p>
    <w:p w14:paraId="6CEADA9A">
      <w:pPr>
        <w:pStyle w:val="2"/>
        <w:rPr>
          <w:rFonts w:hint="default" w:ascii="Arial" w:hAnsi="Arial" w:cs="Arial"/>
          <w:sz w:val="24"/>
          <w:szCs w:val="24"/>
        </w:rPr>
      </w:pPr>
      <w:bookmarkStart w:id="18" w:name="_Toc231669469"/>
      <w:r>
        <w:rPr>
          <w:rFonts w:hint="default" w:ascii="Arial" w:hAnsi="Arial" w:cs="Arial"/>
          <w:sz w:val="24"/>
          <w:szCs w:val="24"/>
        </w:rPr>
        <w:t>Element 4: Reflection</w:t>
      </w:r>
      <w:bookmarkEnd w:id="18"/>
    </w:p>
    <w:p w14:paraId="191DF625">
      <w:pPr>
        <w:pStyle w:val="3"/>
        <w:rPr>
          <w:rFonts w:hint="default" w:ascii="Arial" w:hAnsi="Arial" w:cs="Arial"/>
          <w:sz w:val="24"/>
          <w:szCs w:val="24"/>
          <w:lang w:val="en-GB"/>
        </w:rPr>
      </w:pPr>
      <w:bookmarkStart w:id="19" w:name="_Toc231669470"/>
      <w:r>
        <w:rPr>
          <w:rFonts w:hint="default" w:ascii="Arial" w:hAnsi="Arial" w:cs="Arial"/>
          <w:sz w:val="24"/>
          <w:szCs w:val="24"/>
          <w:lang w:val="en-GB"/>
        </w:rPr>
        <w:t>4.1 Description</w:t>
      </w:r>
      <w:bookmarkEnd w:id="19"/>
    </w:p>
    <w:p w14:paraId="21679A47">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This assessment incorporates building Nike Circular+, a sustainable brand extension designed to support circular consumption within the sportswear industry. The project required creating a poster presentation, conducting an STDP analysis and finally developing a 7PS marketing mix strategy. The overall aim is to amalgamate the sustainability objectives with exclusive opportunities for business growth. </w:t>
      </w:r>
    </w:p>
    <w:p w14:paraId="0ED59769">
      <w:pPr>
        <w:pStyle w:val="3"/>
        <w:rPr>
          <w:rFonts w:hint="default" w:ascii="Arial" w:hAnsi="Arial" w:cs="Arial"/>
          <w:sz w:val="24"/>
          <w:szCs w:val="24"/>
          <w:lang w:val="en-GB"/>
        </w:rPr>
      </w:pPr>
      <w:bookmarkStart w:id="20" w:name="_Toc231669471"/>
      <w:r>
        <w:rPr>
          <w:rFonts w:hint="default" w:ascii="Arial" w:hAnsi="Arial" w:cs="Arial"/>
          <w:sz w:val="24"/>
          <w:szCs w:val="24"/>
          <w:lang w:val="en-GB"/>
        </w:rPr>
        <w:t>4.2 Feelings</w:t>
      </w:r>
      <w:bookmarkEnd w:id="20"/>
    </w:p>
    <w:p w14:paraId="7D52258F">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At the beginning of the project, I found it very challenging to identify a sustainable brand extension which is not only innovative but also commercially realistic. Therefore, applying the marketing theories towards a sustainability-focused concept initially appeared as very complicated. However, as the research progressed, my confidence increased, and I became capable of developing stronger strategic recommendations and insights. </w:t>
      </w:r>
    </w:p>
    <w:p w14:paraId="36CC1D33">
      <w:pPr>
        <w:pStyle w:val="3"/>
        <w:rPr>
          <w:rFonts w:hint="default" w:ascii="Arial" w:hAnsi="Arial" w:cs="Arial"/>
          <w:sz w:val="24"/>
          <w:szCs w:val="24"/>
          <w:lang w:val="en-GB"/>
        </w:rPr>
      </w:pPr>
      <w:bookmarkStart w:id="21" w:name="_Toc231669472"/>
      <w:r>
        <w:rPr>
          <w:rFonts w:hint="default" w:ascii="Arial" w:hAnsi="Arial" w:cs="Arial"/>
          <w:sz w:val="24"/>
          <w:szCs w:val="24"/>
          <w:lang w:val="en-GB"/>
        </w:rPr>
        <w:t>4.3 Evaluation</w:t>
      </w:r>
      <w:bookmarkEnd w:id="21"/>
    </w:p>
    <w:p w14:paraId="332DAD37">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A major strength of this project is the exclusive opportunity to apply the theoretical marketing concepts towards a practical business scenario. Moreover, developing Nike Circular+ also offered me a cohesive understanding about the sustainable branding as well as the principles of the circular economy (inspired Asghar, 2023). Not only this, but the poster also improved my ability to communicate the ideas concisely. However, obtaining specific market data closely associated with the sportswear subscription service is very challenging, which restricted the availability of highly specialised industry evidence for some recommendations. </w:t>
      </w:r>
    </w:p>
    <w:p w14:paraId="42A4378A">
      <w:pPr>
        <w:pStyle w:val="3"/>
        <w:rPr>
          <w:rFonts w:hint="default" w:ascii="Arial" w:hAnsi="Arial" w:cs="Arial"/>
          <w:sz w:val="24"/>
          <w:szCs w:val="24"/>
          <w:lang w:val="en-GB"/>
        </w:rPr>
      </w:pPr>
      <w:bookmarkStart w:id="22" w:name="_Toc231669473"/>
      <w:r>
        <w:rPr>
          <w:rFonts w:hint="default" w:ascii="Arial" w:hAnsi="Arial" w:cs="Arial"/>
          <w:sz w:val="24"/>
          <w:szCs w:val="24"/>
          <w:lang w:val="en-GB"/>
        </w:rPr>
        <w:t>4.4 Analysis</w:t>
      </w:r>
      <w:bookmarkEnd w:id="22"/>
    </w:p>
    <w:p w14:paraId="15808C46">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The project remarkably improved my strategic marketing knowledge and thus contributed towards several MBA learning outcomes.  Through the help of STDP analysis, I developed a more profound understanding of segmentation, targeting, differentiation, along with positioning within a competitive market environment (Lestari, 2023).  The marketing mix also strengthened my capability to perfectly align the operational decisions with broader strategic objectives. Moreover, the assessments enhanced my academic research skills through requiring critical analysis of journal articles, sustainability reports, as well as industry sources. In addition, preparing the poster presentation also fortified my communication as well as visual presentation skills. In essence it can be asserted that, these capabilities are highly valuable for future managerial roles which requires strategic decision-making and sustainable business development. </w:t>
      </w:r>
    </w:p>
    <w:p w14:paraId="0CB54F31">
      <w:pPr>
        <w:pStyle w:val="3"/>
        <w:rPr>
          <w:rFonts w:hint="default" w:ascii="Arial" w:hAnsi="Arial" w:cs="Arial"/>
          <w:sz w:val="24"/>
          <w:szCs w:val="24"/>
          <w:lang w:val="en-GB"/>
        </w:rPr>
      </w:pPr>
      <w:bookmarkStart w:id="23" w:name="_Toc231669474"/>
      <w:r>
        <w:rPr>
          <w:rFonts w:hint="default" w:ascii="Arial" w:hAnsi="Arial" w:cs="Arial"/>
          <w:sz w:val="24"/>
          <w:szCs w:val="24"/>
          <w:lang w:val="en-GB"/>
        </w:rPr>
        <w:t>4.5 Conclusion</w:t>
      </w:r>
      <w:bookmarkEnd w:id="23"/>
    </w:p>
    <w:p w14:paraId="0DA31B60">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In concluding remarks, the project disclosed how sustainability can be closely aligned with brand development in order to create both environmental as well as commercial value. The experience significantly contributes to enhancing the understanding of customer behaviours, strategic marketing and finally the sustainable business innovation. These insights will assist my future academic performances along with professional effectiveness within the contemporary business environments. </w:t>
      </w:r>
    </w:p>
    <w:p w14:paraId="31589896">
      <w:pPr>
        <w:pStyle w:val="3"/>
        <w:rPr>
          <w:rFonts w:hint="default" w:ascii="Arial" w:hAnsi="Arial" w:cs="Arial"/>
          <w:sz w:val="24"/>
          <w:szCs w:val="24"/>
          <w:lang w:val="en-GB"/>
        </w:rPr>
      </w:pPr>
      <w:bookmarkStart w:id="24" w:name="_Toc231669475"/>
      <w:r>
        <w:rPr>
          <w:rFonts w:hint="default" w:ascii="Arial" w:hAnsi="Arial" w:cs="Arial"/>
          <w:sz w:val="24"/>
          <w:szCs w:val="24"/>
          <w:lang w:val="en-GB"/>
        </w:rPr>
        <w:t>4.6 Action Plan</w:t>
      </w:r>
      <w:bookmarkEnd w:id="24"/>
    </w:p>
    <w:tbl>
      <w:tblPr>
        <w:tblStyle w:val="14"/>
        <w:tblW w:w="889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800"/>
        <w:gridCol w:w="5040"/>
        <w:gridCol w:w="2055"/>
      </w:tblGrid>
      <w:tr w14:paraId="279F738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10" w:hRule="atLeast"/>
        </w:trPr>
        <w:tc>
          <w:tcPr>
            <w:tcW w:w="1800" w:type="dxa"/>
            <w:tcBorders>
              <w:top w:val="single" w:color="000000" w:sz="6" w:space="0"/>
              <w:left w:val="single" w:color="000000" w:sz="6" w:space="0"/>
              <w:bottom w:val="single" w:color="000000" w:sz="6" w:space="0"/>
              <w:right w:val="single" w:color="000000" w:sz="6" w:space="0"/>
            </w:tcBorders>
            <w:shd w:val="clear" w:color="auto" w:fill="80EDDD"/>
            <w:tcMar>
              <w:top w:w="0" w:type="dxa"/>
              <w:left w:w="100" w:type="dxa"/>
              <w:bottom w:w="0" w:type="dxa"/>
              <w:right w:w="100" w:type="dxa"/>
            </w:tcMar>
          </w:tcPr>
          <w:p w14:paraId="4C44C75E">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Development Area</w:t>
            </w:r>
          </w:p>
        </w:tc>
        <w:tc>
          <w:tcPr>
            <w:tcW w:w="5040" w:type="dxa"/>
            <w:tcBorders>
              <w:top w:val="single" w:color="000000" w:sz="6" w:space="0"/>
              <w:left w:val="nil"/>
              <w:bottom w:val="single" w:color="000000" w:sz="6" w:space="0"/>
              <w:right w:val="single" w:color="000000" w:sz="6" w:space="0"/>
            </w:tcBorders>
            <w:shd w:val="clear" w:color="auto" w:fill="80EDDD"/>
            <w:tcMar>
              <w:top w:w="0" w:type="dxa"/>
              <w:left w:w="100" w:type="dxa"/>
              <w:bottom w:w="0" w:type="dxa"/>
              <w:right w:w="100" w:type="dxa"/>
            </w:tcMar>
          </w:tcPr>
          <w:p w14:paraId="251AE5E6">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Action</w:t>
            </w:r>
          </w:p>
        </w:tc>
        <w:tc>
          <w:tcPr>
            <w:tcW w:w="2055" w:type="dxa"/>
            <w:tcBorders>
              <w:top w:val="single" w:color="000000" w:sz="6" w:space="0"/>
              <w:left w:val="nil"/>
              <w:bottom w:val="single" w:color="000000" w:sz="6" w:space="0"/>
              <w:right w:val="single" w:color="000000" w:sz="6" w:space="0"/>
            </w:tcBorders>
            <w:shd w:val="clear" w:color="auto" w:fill="80EDDD"/>
            <w:tcMar>
              <w:top w:w="0" w:type="dxa"/>
              <w:left w:w="100" w:type="dxa"/>
              <w:bottom w:w="0" w:type="dxa"/>
              <w:right w:w="100" w:type="dxa"/>
            </w:tcMar>
          </w:tcPr>
          <w:p w14:paraId="7F966B23">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Timeframe</w:t>
            </w:r>
          </w:p>
        </w:tc>
      </w:tr>
      <w:tr w14:paraId="7B1A3CD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65" w:hRule="atLeast"/>
        </w:trPr>
        <w:tc>
          <w:tcPr>
            <w:tcW w:w="180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26D22649">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Market Research</w:t>
            </w:r>
          </w:p>
        </w:tc>
        <w:tc>
          <w:tcPr>
            <w:tcW w:w="5040" w:type="dxa"/>
            <w:tcBorders>
              <w:top w:val="nil"/>
              <w:left w:val="nil"/>
              <w:bottom w:val="single" w:color="000000" w:sz="6" w:space="0"/>
              <w:right w:val="single" w:color="000000" w:sz="6" w:space="0"/>
            </w:tcBorders>
            <w:tcMar>
              <w:top w:w="0" w:type="dxa"/>
              <w:left w:w="100" w:type="dxa"/>
              <w:bottom w:w="0" w:type="dxa"/>
              <w:right w:w="100" w:type="dxa"/>
            </w:tcMar>
          </w:tcPr>
          <w:p w14:paraId="6C2E468D">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Effectively utilise a wider range of academic journals, industry reports and databases to strengthen the evidence-based decision-making. </w:t>
            </w:r>
          </w:p>
        </w:tc>
        <w:tc>
          <w:tcPr>
            <w:tcW w:w="2055" w:type="dxa"/>
            <w:tcBorders>
              <w:top w:val="nil"/>
              <w:left w:val="nil"/>
              <w:bottom w:val="single" w:color="000000" w:sz="6" w:space="0"/>
              <w:right w:val="single" w:color="000000" w:sz="6" w:space="0"/>
            </w:tcBorders>
            <w:tcMar>
              <w:top w:w="0" w:type="dxa"/>
              <w:left w:w="100" w:type="dxa"/>
              <w:bottom w:w="0" w:type="dxa"/>
              <w:right w:w="100" w:type="dxa"/>
            </w:tcMar>
          </w:tcPr>
          <w:p w14:paraId="4F3B0FF2">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Next academic project </w:t>
            </w:r>
          </w:p>
        </w:tc>
      </w:tr>
      <w:tr w14:paraId="01D69F8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10" w:hRule="atLeast"/>
        </w:trPr>
        <w:tc>
          <w:tcPr>
            <w:tcW w:w="180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09F6CD02">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Presentation Skills</w:t>
            </w:r>
          </w:p>
        </w:tc>
        <w:tc>
          <w:tcPr>
            <w:tcW w:w="5040" w:type="dxa"/>
            <w:tcBorders>
              <w:top w:val="nil"/>
              <w:left w:val="nil"/>
              <w:bottom w:val="single" w:color="000000" w:sz="6" w:space="0"/>
              <w:right w:val="single" w:color="000000" w:sz="6" w:space="0"/>
            </w:tcBorders>
            <w:tcMar>
              <w:top w:w="0" w:type="dxa"/>
              <w:left w:w="100" w:type="dxa"/>
              <w:bottom w:w="0" w:type="dxa"/>
              <w:right w:w="100" w:type="dxa"/>
            </w:tcMar>
          </w:tcPr>
          <w:p w14:paraId="3DD8632B">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Rehearse the presentations more frequently and enhance the techniques of visual storytelling.</w:t>
            </w:r>
          </w:p>
        </w:tc>
        <w:tc>
          <w:tcPr>
            <w:tcW w:w="2055" w:type="dxa"/>
            <w:tcBorders>
              <w:top w:val="nil"/>
              <w:left w:val="nil"/>
              <w:bottom w:val="single" w:color="000000" w:sz="6" w:space="0"/>
              <w:right w:val="single" w:color="000000" w:sz="6" w:space="0"/>
            </w:tcBorders>
            <w:tcMar>
              <w:top w:w="0" w:type="dxa"/>
              <w:left w:w="100" w:type="dxa"/>
              <w:bottom w:w="0" w:type="dxa"/>
              <w:right w:w="100" w:type="dxa"/>
            </w:tcMar>
          </w:tcPr>
          <w:p w14:paraId="445945E3">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Within 3 months </w:t>
            </w:r>
          </w:p>
        </w:tc>
      </w:tr>
      <w:tr w14:paraId="6D3EC1D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65" w:hRule="atLeast"/>
        </w:trPr>
        <w:tc>
          <w:tcPr>
            <w:tcW w:w="180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382180F0">
            <w:pPr>
              <w:spacing w:after="240" w:line="360" w:lineRule="auto"/>
              <w:jc w:val="both"/>
              <w:rPr>
                <w:rFonts w:hint="default" w:ascii="Arial" w:hAnsi="Arial" w:eastAsia="Times New Roman" w:cs="Arial"/>
                <w:b/>
                <w:bCs/>
                <w:sz w:val="24"/>
                <w:szCs w:val="24"/>
                <w:lang w:val="en-GB"/>
              </w:rPr>
            </w:pPr>
            <w:r>
              <w:rPr>
                <w:rFonts w:hint="default" w:ascii="Arial" w:hAnsi="Arial" w:eastAsia="Times New Roman" w:cs="Arial"/>
                <w:b/>
                <w:bCs/>
                <w:sz w:val="24"/>
                <w:szCs w:val="24"/>
                <w:lang w:val="en-GB"/>
              </w:rPr>
              <w:t>Critical Analysis</w:t>
            </w:r>
          </w:p>
        </w:tc>
        <w:tc>
          <w:tcPr>
            <w:tcW w:w="5040" w:type="dxa"/>
            <w:tcBorders>
              <w:top w:val="nil"/>
              <w:left w:val="nil"/>
              <w:bottom w:val="single" w:color="000000" w:sz="6" w:space="0"/>
              <w:right w:val="single" w:color="000000" w:sz="6" w:space="0"/>
            </w:tcBorders>
            <w:tcMar>
              <w:top w:w="0" w:type="dxa"/>
              <w:left w:w="100" w:type="dxa"/>
              <w:bottom w:w="0" w:type="dxa"/>
              <w:right w:w="100" w:type="dxa"/>
            </w:tcMar>
          </w:tcPr>
          <w:p w14:paraId="11DC11EF">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Compare and contrast the alternative strategies more extensively and finally investigates the limitations across greater depth. </w:t>
            </w:r>
          </w:p>
        </w:tc>
        <w:tc>
          <w:tcPr>
            <w:tcW w:w="2055" w:type="dxa"/>
            <w:tcBorders>
              <w:top w:val="nil"/>
              <w:left w:val="nil"/>
              <w:bottom w:val="single" w:color="000000" w:sz="6" w:space="0"/>
              <w:right w:val="single" w:color="000000" w:sz="6" w:space="0"/>
            </w:tcBorders>
            <w:tcMar>
              <w:top w:w="0" w:type="dxa"/>
              <w:left w:w="100" w:type="dxa"/>
              <w:bottom w:w="0" w:type="dxa"/>
              <w:right w:w="100" w:type="dxa"/>
            </w:tcMar>
          </w:tcPr>
          <w:p w14:paraId="3F47E90F">
            <w:pPr>
              <w:spacing w:after="240" w:line="360" w:lineRule="auto"/>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 xml:space="preserve">Ongoing throughout the MBA studies. </w:t>
            </w:r>
          </w:p>
        </w:tc>
      </w:tr>
    </w:tbl>
    <w:p w14:paraId="2D8DF085">
      <w:pPr>
        <w:spacing w:after="240" w:line="360" w:lineRule="auto"/>
        <w:jc w:val="center"/>
        <w:rPr>
          <w:rFonts w:hint="default" w:ascii="Arial" w:hAnsi="Arial" w:eastAsia="Times New Roman" w:cs="Arial"/>
          <w:b/>
          <w:sz w:val="24"/>
          <w:szCs w:val="24"/>
          <w:lang w:val="en-GB"/>
        </w:rPr>
      </w:pPr>
      <w:r>
        <w:rPr>
          <w:rFonts w:hint="default" w:ascii="Arial" w:hAnsi="Arial" w:eastAsia="Times New Roman" w:cs="Arial"/>
          <w:b/>
          <w:sz w:val="24"/>
          <w:szCs w:val="24"/>
          <w:lang w:val="en-GB"/>
        </w:rPr>
        <w:t>Table 2: Action plan</w:t>
      </w:r>
    </w:p>
    <w:p w14:paraId="5DB182DF">
      <w:pPr>
        <w:spacing w:after="240" w:line="360" w:lineRule="auto"/>
        <w:jc w:val="center"/>
        <w:rPr>
          <w:rFonts w:hint="default" w:ascii="Arial" w:hAnsi="Arial" w:eastAsia="Times New Roman" w:cs="Arial"/>
          <w:sz w:val="24"/>
          <w:szCs w:val="24"/>
          <w:lang w:val="en-GB"/>
        </w:rPr>
      </w:pPr>
      <w:r>
        <w:rPr>
          <w:rFonts w:hint="default" w:ascii="Arial" w:hAnsi="Arial" w:eastAsia="Times New Roman" w:cs="Arial"/>
          <w:sz w:val="24"/>
          <w:szCs w:val="24"/>
          <w:lang w:val="en-GB"/>
        </w:rPr>
        <w:t>(Source: Self-developed)</w:t>
      </w:r>
    </w:p>
    <w:p w14:paraId="04B522BD">
      <w:pPr>
        <w:rPr>
          <w:rFonts w:hint="default" w:ascii="Arial" w:hAnsi="Arial" w:eastAsia="Times New Roman" w:cs="Arial"/>
          <w:sz w:val="24"/>
          <w:szCs w:val="24"/>
          <w:lang w:val="en-GB"/>
        </w:rPr>
      </w:pPr>
      <w:r>
        <w:rPr>
          <w:rFonts w:hint="default" w:ascii="Arial" w:hAnsi="Arial" w:eastAsia="Times New Roman" w:cs="Arial"/>
          <w:sz w:val="24"/>
          <w:szCs w:val="24"/>
          <w:lang w:val="en-GB"/>
        </w:rPr>
        <w:br w:type="page"/>
      </w:r>
    </w:p>
    <w:p w14:paraId="0F43D6EE">
      <w:pPr>
        <w:pStyle w:val="2"/>
        <w:rPr>
          <w:rFonts w:hint="default" w:ascii="Arial" w:hAnsi="Arial" w:cs="Arial"/>
          <w:sz w:val="24"/>
          <w:szCs w:val="24"/>
        </w:rPr>
      </w:pPr>
      <w:bookmarkStart w:id="25" w:name="_Toc231669476"/>
      <w:r>
        <w:rPr>
          <w:rFonts w:hint="default" w:ascii="Arial" w:hAnsi="Arial" w:cs="Arial"/>
          <w:sz w:val="24"/>
          <w:szCs w:val="24"/>
        </w:rPr>
        <w:t>References</w:t>
      </w:r>
      <w:bookmarkEnd w:id="25"/>
      <w:r>
        <w:rPr>
          <w:rFonts w:hint="default" w:ascii="Arial" w:hAnsi="Arial" w:cs="Arial"/>
          <w:sz w:val="24"/>
          <w:szCs w:val="24"/>
        </w:rPr>
        <w:t xml:space="preserve"> </w:t>
      </w:r>
    </w:p>
    <w:p w14:paraId="4A085EB1">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Abdulkadir, K., (2023). ‘Total quality as an effective tool for achieving customer satisfaction, patronage, productivity gains and sustainability in organizations’. </w:t>
      </w:r>
      <w:r>
        <w:rPr>
          <w:rFonts w:hint="default" w:ascii="Arial" w:hAnsi="Arial" w:eastAsia="Times New Roman" w:cs="Arial"/>
          <w:i/>
          <w:iCs/>
          <w:color w:val="222222"/>
          <w:sz w:val="24"/>
          <w:szCs w:val="24"/>
          <w:shd w:val="clear" w:color="auto" w:fill="FFFFFF"/>
        </w:rPr>
        <w:t>Studies in Economics and Business Relations</w:t>
      </w:r>
      <w:r>
        <w:rPr>
          <w:rFonts w:hint="default" w:ascii="Arial" w:hAnsi="Arial" w:eastAsia="Times New Roman" w:cs="Arial"/>
          <w:color w:val="222222"/>
          <w:sz w:val="24"/>
          <w:szCs w:val="24"/>
          <w:shd w:val="clear" w:color="auto" w:fill="FFFFFF"/>
        </w:rPr>
        <w:t xml:space="preserve">, </w:t>
      </w:r>
      <w:r>
        <w:rPr>
          <w:rFonts w:hint="default" w:ascii="Arial" w:hAnsi="Arial" w:eastAsia="Times New Roman" w:cs="Arial"/>
          <w:i/>
          <w:iCs/>
          <w:color w:val="222222"/>
          <w:sz w:val="24"/>
          <w:szCs w:val="24"/>
          <w:shd w:val="clear" w:color="auto" w:fill="FFFFFF"/>
        </w:rPr>
        <w:t>4</w:t>
      </w:r>
      <w:r>
        <w:rPr>
          <w:rFonts w:hint="default" w:ascii="Arial" w:hAnsi="Arial" w:eastAsia="Times New Roman" w:cs="Arial"/>
          <w:color w:val="222222"/>
          <w:sz w:val="24"/>
          <w:szCs w:val="24"/>
          <w:shd w:val="clear" w:color="auto" w:fill="FFFFFF"/>
        </w:rPr>
        <w:t>(2), pp.37-53.</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"https://www.sabapub.com/index.php/sebr/article/download/893/466"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https://www.sabapub.com/index.php/sebr/article/download/893/466</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306176BF">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Asghar, M., (2023). ‘Consumer perception of Nike green business strategy and implementation of profitable and sustainable products’.</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"https://www.theseus.fi/bitstream/handle/10024/811583/Asghar_Muhammad.pdf?sequence=2"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https://www.theseus.fi/bitstream/handle/10024/811583/Asghar_Muhammad.pdf?sequence=2</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63796662">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Ashby, R., Sharifi, S., Yao, J. and Ang, L., (2025). ‘The influence of the buy-now-pay-later payment mode on consumer spending decisions’. </w:t>
      </w:r>
      <w:r>
        <w:rPr>
          <w:rFonts w:hint="default" w:ascii="Arial" w:hAnsi="Arial" w:eastAsia="Times New Roman" w:cs="Arial"/>
          <w:i/>
          <w:iCs/>
          <w:color w:val="222222"/>
          <w:sz w:val="24"/>
          <w:szCs w:val="24"/>
          <w:shd w:val="clear" w:color="auto" w:fill="FFFFFF"/>
        </w:rPr>
        <w:t>Journal of Retailing</w:t>
      </w:r>
      <w:r>
        <w:rPr>
          <w:rFonts w:hint="default" w:ascii="Arial" w:hAnsi="Arial" w:eastAsia="Times New Roman" w:cs="Arial"/>
          <w:color w:val="222222"/>
          <w:sz w:val="24"/>
          <w:szCs w:val="24"/>
          <w:shd w:val="clear" w:color="auto" w:fill="FFFFFF"/>
        </w:rPr>
        <w:t xml:space="preserve">, </w:t>
      </w:r>
      <w:r>
        <w:rPr>
          <w:rFonts w:hint="default" w:ascii="Arial" w:hAnsi="Arial" w:eastAsia="Times New Roman" w:cs="Arial"/>
          <w:i/>
          <w:iCs/>
          <w:color w:val="222222"/>
          <w:sz w:val="24"/>
          <w:szCs w:val="24"/>
          <w:shd w:val="clear" w:color="auto" w:fill="FFFFFF"/>
        </w:rPr>
        <w:t>101</w:t>
      </w:r>
      <w:r>
        <w:rPr>
          <w:rFonts w:hint="default" w:ascii="Arial" w:hAnsi="Arial" w:eastAsia="Times New Roman" w:cs="Arial"/>
          <w:color w:val="222222"/>
          <w:sz w:val="24"/>
          <w:szCs w:val="24"/>
          <w:shd w:val="clear" w:color="auto" w:fill="FFFFFF"/>
        </w:rPr>
        <w:t>(1), pp.103-119.</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"https://www.sciencedirect.com/science/article/pii/S002243592500003X"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https://www.sciencedirect.com/science/article/pii/S002243592500003X</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3C47645B">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Bossink, B., Hasanefendic, S. and Hoogstraaten, M., (2025). ‘</w:t>
      </w:r>
      <w:r>
        <w:rPr>
          <w:rFonts w:hint="default" w:ascii="Arial" w:hAnsi="Arial" w:eastAsia="Times New Roman" w:cs="Arial"/>
          <w:i/>
          <w:iCs/>
          <w:color w:val="222222"/>
          <w:sz w:val="24"/>
          <w:szCs w:val="24"/>
          <w:shd w:val="clear" w:color="auto" w:fill="FFFFFF"/>
        </w:rPr>
        <w:t>Circular Innovation and Sustainable Entrepreneurship’</w:t>
      </w:r>
      <w:r>
        <w:rPr>
          <w:rFonts w:hint="default" w:ascii="Arial" w:hAnsi="Arial" w:eastAsia="Times New Roman" w:cs="Arial"/>
          <w:color w:val="222222"/>
          <w:sz w:val="24"/>
          <w:szCs w:val="24"/>
          <w:shd w:val="clear" w:color="auto" w:fill="FFFFFF"/>
        </w:rPr>
        <w:t>. Taylor &amp; Francis.</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books.google.com/books?hl=en&amp;lr=&amp;id=qkCSEQAAQBAJ&amp;oi=fnd&amp;pg=PA12&amp;dq=The+positioning+map+showcases+that+Nike+Circular%2B+occupies+the+high+price+and+high+sustainability+quadrant+of+the+positioning+map,+which+highlights+its+premium+brand+image+in+combination+with+a+circular+business+model.++&amp;ots=r9FVfoBV2D&amp;sig=8M31wxvku_63DRrDAO90QU3wyt0"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books.google.com/books?hl=en&amp;lr=&amp;id=qkCSEQAAQBAJ&amp;oi=fnd&amp;pg=PA12&amp;dq=The+positioning+map+showcases+that+Nike+Circular%2B+occupies+the+high+price+and+high+sustainability+quadrant+of+the+positioning+map,+which+highlights+its+premium+brand+image+in+combination+with+a+circular+business+model.++&amp;ots=r9FVfoBV2D&amp;sig=8M31wxvku_63DRrDAO90QU3wyt0</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2547901E">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Bucur, L.M., (2023). ‘Exploring the role of consumers in promoting a circular economy: increasing awareness and engagement’. In </w:t>
      </w:r>
      <w:r>
        <w:rPr>
          <w:rFonts w:hint="default" w:ascii="Arial" w:hAnsi="Arial" w:eastAsia="Times New Roman" w:cs="Arial"/>
          <w:i/>
          <w:iCs/>
          <w:color w:val="222222"/>
          <w:sz w:val="24"/>
          <w:szCs w:val="24"/>
          <w:shd w:val="clear" w:color="auto" w:fill="FFFFFF"/>
        </w:rPr>
        <w:t>Proceedings of the international conference on business excellence</w:t>
      </w:r>
      <w:r>
        <w:rPr>
          <w:rFonts w:hint="default" w:ascii="Arial" w:hAnsi="Arial" w:eastAsia="Times New Roman" w:cs="Arial"/>
          <w:color w:val="222222"/>
          <w:sz w:val="24"/>
          <w:szCs w:val="24"/>
          <w:shd w:val="clear" w:color="auto" w:fill="FFFFFF"/>
        </w:rPr>
        <w:t xml:space="preserve"> (Vol. 17, No. 1, pp. 38-47). Sciendo. </w:t>
      </w:r>
      <w:r>
        <w:rPr>
          <w:rFonts w:hint="default" w:ascii="Arial" w:hAnsi="Arial" w:cs="Arial"/>
          <w:sz w:val="24"/>
          <w:szCs w:val="24"/>
        </w:rPr>
        <w:fldChar w:fldCharType="begin"/>
      </w:r>
      <w:r>
        <w:rPr>
          <w:rFonts w:hint="default" w:ascii="Arial" w:hAnsi="Arial" w:cs="Arial"/>
          <w:sz w:val="24"/>
          <w:szCs w:val="24"/>
        </w:rPr>
        <w:instrText xml:space="preserve"> HYPERLINK "https://sciendo.com/2/v2/download/article/10.2478/picbe-2023-0006.pdf"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https://sciendo.com/2/v2/download/article/10.2478/picbe-2023-0006.pdf</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6411A578">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000000"/>
          <w:sz w:val="24"/>
          <w:szCs w:val="24"/>
        </w:rPr>
        <w:t>Circular design (2026). ‘</w:t>
      </w:r>
      <w:r>
        <w:rPr>
          <w:rFonts w:hint="default" w:ascii="Arial" w:hAnsi="Arial" w:eastAsia="Times New Roman" w:cs="Arial"/>
          <w:i/>
          <w:iCs/>
          <w:color w:val="000000"/>
          <w:sz w:val="24"/>
          <w:szCs w:val="24"/>
        </w:rPr>
        <w:t>10 PRINCIPLES OF CIRCULAR DESIGN’.</w:t>
      </w:r>
      <w:r>
        <w:rPr>
          <w:rFonts w:hint="default" w:ascii="Arial" w:hAnsi="Arial" w:eastAsia="Times New Roman" w:cs="Arial"/>
          <w:color w:val="000000"/>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"https://circulardesign.nike.com/guides/MiniGuide.pdf"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https://circulardesign.nike.com/guides/MiniGuide.pdf</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230A76C7">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000000"/>
          <w:sz w:val="24"/>
          <w:szCs w:val="24"/>
        </w:rPr>
        <w:t xml:space="preserve">Collidu (2026). </w:t>
      </w:r>
      <w:r>
        <w:rPr>
          <w:rFonts w:hint="default" w:ascii="Arial" w:hAnsi="Arial" w:eastAsia="Times New Roman" w:cs="Arial"/>
          <w:i/>
          <w:iCs/>
          <w:color w:val="000000"/>
          <w:sz w:val="24"/>
          <w:szCs w:val="24"/>
        </w:rPr>
        <w:t>7 P's of Marketing Mix.</w:t>
      </w:r>
      <w:r>
        <w:rPr>
          <w:rFonts w:hint="default" w:ascii="Arial" w:hAnsi="Arial" w:eastAsia="Times New Roman" w:cs="Arial"/>
          <w:color w:val="000000"/>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"https://www.collidu.com/presentation-7-p-of-marketing-mix"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https://www.collidu.com/presentation-7-p-of-marketing-mix</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1ED89C59">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000000"/>
          <w:sz w:val="24"/>
          <w:szCs w:val="24"/>
        </w:rPr>
        <w:t>Dey. B and Holznlenkemper. L., (2025). ‘</w:t>
      </w:r>
      <w:r>
        <w:rPr>
          <w:rFonts w:hint="default" w:ascii="Arial" w:hAnsi="Arial" w:eastAsia="Times New Roman" w:cs="Arial"/>
          <w:i/>
          <w:iCs/>
          <w:color w:val="000000"/>
          <w:sz w:val="24"/>
          <w:szCs w:val="24"/>
        </w:rPr>
        <w:t>Customer Segmentation: The Ultimate Guide’.</w:t>
      </w:r>
      <w:r>
        <w:rPr>
          <w:rFonts w:hint="default" w:ascii="Arial" w:hAnsi="Arial" w:eastAsia="Times New Roman" w:cs="Arial"/>
          <w:color w:val="000000"/>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"https://www.forbes.com/advisor/business/customer-segmentation/"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https://www.forbes.com/advisor/business/customer-segmentation/</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6F81D11C">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Jain, R., Jain, S. and Jain, S. (2022). ‘Analyzing and exploring the effectiveness of each element of 7Ps of marketing mix’. </w:t>
      </w:r>
      <w:r>
        <w:rPr>
          <w:rFonts w:hint="default" w:ascii="Arial" w:hAnsi="Arial" w:eastAsia="Times New Roman" w:cs="Arial"/>
          <w:i/>
          <w:iCs/>
          <w:color w:val="222222"/>
          <w:sz w:val="24"/>
          <w:szCs w:val="24"/>
          <w:shd w:val="clear" w:color="auto" w:fill="FFFFFF"/>
        </w:rPr>
        <w:t>International Journal of All Research Education and Scientific Methods (IJARESM)</w:t>
      </w:r>
      <w:r>
        <w:rPr>
          <w:rFonts w:hint="default" w:ascii="Arial" w:hAnsi="Arial" w:eastAsia="Times New Roman" w:cs="Arial"/>
          <w:color w:val="222222"/>
          <w:sz w:val="24"/>
          <w:szCs w:val="24"/>
          <w:shd w:val="clear" w:color="auto" w:fill="FFFFFF"/>
        </w:rPr>
        <w:t xml:space="preserve">, </w:t>
      </w:r>
      <w:r>
        <w:rPr>
          <w:rFonts w:hint="default" w:ascii="Arial" w:hAnsi="Arial" w:eastAsia="Times New Roman" w:cs="Arial"/>
          <w:i/>
          <w:iCs/>
          <w:color w:val="222222"/>
          <w:sz w:val="24"/>
          <w:szCs w:val="24"/>
          <w:shd w:val="clear" w:color="auto" w:fill="FFFFFF"/>
        </w:rPr>
        <w:t>10</w:t>
      </w:r>
      <w:r>
        <w:rPr>
          <w:rFonts w:hint="default" w:ascii="Arial" w:hAnsi="Arial" w:eastAsia="Times New Roman" w:cs="Arial"/>
          <w:color w:val="222222"/>
          <w:sz w:val="24"/>
          <w:szCs w:val="24"/>
          <w:shd w:val="clear" w:color="auto" w:fill="FFFFFF"/>
        </w:rPr>
        <w:t>(1), pp.2455-6211.</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"https://www.researchgate.net/profile/Riddhisha-Jain/publication/357657009_Analyzing_and_Exploring_the_Effectiveness_of_Each_Element_of_7Ps_of_Marketing_Mix/links/61d84cdfb6b5667157d148c7/Analyzing-and-Exploring-the-Effectiveness-of-Each-Element-of-7Ps-of-Marketing-Mix.pdf"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https://www.researchgate.net/profile/Riddhisha-Jain/publication/357657009_Analyzing_and_Exploring_the_Effectiveness_of_Each_Element_of_7Ps_of_Marketing_Mix/links/61d84cdfb6b5667157d148c7/Analyzing-and-Exploring-the-Effectiveness-of-Each-Element-of-7Ps-of-Marketing-Mix.pdf</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452CABBA">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Jensen, H.H., (2025). ‘Circular Economy Business Models Reinvent Value’. In </w:t>
      </w:r>
      <w:r>
        <w:rPr>
          <w:rFonts w:hint="default" w:ascii="Arial" w:hAnsi="Arial" w:eastAsia="Times New Roman" w:cs="Arial"/>
          <w:i/>
          <w:iCs/>
          <w:color w:val="222222"/>
          <w:sz w:val="24"/>
          <w:szCs w:val="24"/>
          <w:shd w:val="clear" w:color="auto" w:fill="FFFFFF"/>
        </w:rPr>
        <w:t>Circular Economy Opportunities and Pathways for Manufacturers: Manufacturing Renewed</w:t>
      </w:r>
      <w:r>
        <w:rPr>
          <w:rFonts w:hint="default" w:ascii="Arial" w:hAnsi="Arial" w:eastAsia="Times New Roman" w:cs="Arial"/>
          <w:color w:val="222222"/>
          <w:sz w:val="24"/>
          <w:szCs w:val="24"/>
          <w:shd w:val="clear" w:color="auto" w:fill="FFFFFF"/>
        </w:rPr>
        <w:t xml:space="preserve"> (pp. 239-275). Cham: Springer Nature Switzerland.</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"https://link.springer.com/chapter/10.1007/978-3-031-75279-7_9"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https://link.springer.com/chapter/10.1007/978-3-031-75279-7_9</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65CE131B">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Kaledio, E., Russell, E., Oloyede, J. and Olaoye, F., (2023). ‘Transformative Trends and Sustainable Practices in Modern Manufacturing: A Comprehensive Exploration’.</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"https://osf.io/download/jvpnb"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https://osf.io/download/jvpnb</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6D2D0A84">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Lestari, V., (2023). ‘Strategic approaches to marketing management in contemporary business environments’. </w:t>
      </w:r>
      <w:r>
        <w:rPr>
          <w:rFonts w:hint="default" w:ascii="Arial" w:hAnsi="Arial" w:eastAsia="Times New Roman" w:cs="Arial"/>
          <w:i/>
          <w:iCs/>
          <w:color w:val="222222"/>
          <w:sz w:val="24"/>
          <w:szCs w:val="24"/>
          <w:shd w:val="clear" w:color="auto" w:fill="FFFFFF"/>
        </w:rPr>
        <w:t>Advances: Jurnal Ekonomi &amp; Bisnis</w:t>
      </w:r>
      <w:r>
        <w:rPr>
          <w:rFonts w:hint="default" w:ascii="Arial" w:hAnsi="Arial" w:eastAsia="Times New Roman" w:cs="Arial"/>
          <w:color w:val="222222"/>
          <w:sz w:val="24"/>
          <w:szCs w:val="24"/>
          <w:shd w:val="clear" w:color="auto" w:fill="FFFFFF"/>
        </w:rPr>
        <w:t xml:space="preserve">, </w:t>
      </w:r>
      <w:r>
        <w:rPr>
          <w:rFonts w:hint="default" w:ascii="Arial" w:hAnsi="Arial" w:eastAsia="Times New Roman" w:cs="Arial"/>
          <w:i/>
          <w:iCs/>
          <w:color w:val="222222"/>
          <w:sz w:val="24"/>
          <w:szCs w:val="24"/>
          <w:shd w:val="clear" w:color="auto" w:fill="FFFFFF"/>
        </w:rPr>
        <w:t>1</w:t>
      </w:r>
      <w:r>
        <w:rPr>
          <w:rFonts w:hint="default" w:ascii="Arial" w:hAnsi="Arial" w:eastAsia="Times New Roman" w:cs="Arial"/>
          <w:color w:val="222222"/>
          <w:sz w:val="24"/>
          <w:szCs w:val="24"/>
          <w:shd w:val="clear" w:color="auto" w:fill="FFFFFF"/>
        </w:rPr>
        <w:t>(5), pp.255-268.</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"http://advancesinresearch.id/index.php/AJEB/article/download/210/136"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http://advancesinresearch.id/index.php/AJEB/article/download/210/136</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2D7F3FDE">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000000"/>
          <w:sz w:val="24"/>
          <w:szCs w:val="24"/>
        </w:rPr>
        <w:t>Melbado (2025). ‘</w:t>
      </w:r>
      <w:r>
        <w:rPr>
          <w:rFonts w:hint="default" w:ascii="Arial" w:hAnsi="Arial" w:eastAsia="Times New Roman" w:cs="Arial"/>
          <w:i/>
          <w:iCs/>
          <w:color w:val="000000"/>
          <w:sz w:val="24"/>
          <w:szCs w:val="24"/>
        </w:rPr>
        <w:t>The Pricing Strategy of Nike and Why It Is So Effective’.</w:t>
      </w:r>
      <w:r>
        <w:rPr>
          <w:rFonts w:hint="default" w:ascii="Arial" w:hAnsi="Arial" w:eastAsia="Times New Roman" w:cs="Arial"/>
          <w:color w:val="000000"/>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"https://melbado.com/the-pricing-strategy-of-nike-and-why-it-is-so-effective/"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https://melbado.com/the-pricing-strategy-of-nike-and-why-it-is-so-effective/</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2B370826">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000000"/>
          <w:sz w:val="24"/>
          <w:szCs w:val="24"/>
        </w:rPr>
        <w:t xml:space="preserve">Nike (2026). </w:t>
      </w:r>
      <w:r>
        <w:rPr>
          <w:rFonts w:hint="default" w:ascii="Arial" w:hAnsi="Arial" w:eastAsia="Times New Roman" w:cs="Arial"/>
          <w:i/>
          <w:iCs/>
          <w:color w:val="000000"/>
          <w:sz w:val="24"/>
          <w:szCs w:val="24"/>
        </w:rPr>
        <w:t>WELCOME TO NIKE, INC.</w:t>
      </w:r>
      <w:r>
        <w:rPr>
          <w:rFonts w:hint="default" w:ascii="Arial" w:hAnsi="Arial" w:eastAsia="Times New Roman" w:cs="Arial"/>
          <w:color w:val="000000"/>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"https://about.nike.com/en/company"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https://about.nike.com/en/company</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38A0092A">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000000"/>
          <w:sz w:val="24"/>
          <w:szCs w:val="24"/>
        </w:rPr>
        <w:t xml:space="preserve">Royston, C., (2026). </w:t>
      </w:r>
      <w:r>
        <w:rPr>
          <w:rFonts w:hint="default" w:ascii="Arial" w:hAnsi="Arial" w:eastAsia="Times New Roman" w:cs="Arial"/>
          <w:i/>
          <w:iCs/>
          <w:color w:val="000000"/>
          <w:sz w:val="24"/>
          <w:szCs w:val="24"/>
        </w:rPr>
        <w:t>What is Targeting in Marketing?.</w:t>
      </w:r>
      <w:r>
        <w:rPr>
          <w:rFonts w:hint="default" w:ascii="Arial" w:hAnsi="Arial" w:eastAsia="Times New Roman" w:cs="Arial"/>
          <w:color w:val="000000"/>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"https://www.wrike.com/marketing-guide/faq/what-is-targeting-in-marketing/"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https://www.wrike.com/marketing-guide/faq/what-is-targeting-in-marketing/</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56EDCB9D">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Sarfraz, M., Al Kurdi, B. and Rafiq, M., (2025). ‘How digital marketing shapes consumer decision-making employing (AIDA) model with respect to consumer knowledge and consumer experience’. </w:t>
      </w:r>
      <w:r>
        <w:rPr>
          <w:rFonts w:hint="default" w:ascii="Arial" w:hAnsi="Arial" w:eastAsia="Times New Roman" w:cs="Arial"/>
          <w:i/>
          <w:iCs/>
          <w:color w:val="222222"/>
          <w:sz w:val="24"/>
          <w:szCs w:val="24"/>
          <w:shd w:val="clear" w:color="auto" w:fill="FFFFFF"/>
        </w:rPr>
        <w:t>International Journal of Management and Marketing Intelligence</w:t>
      </w:r>
      <w:r>
        <w:rPr>
          <w:rFonts w:hint="default" w:ascii="Arial" w:hAnsi="Arial" w:eastAsia="Times New Roman" w:cs="Arial"/>
          <w:color w:val="222222"/>
          <w:sz w:val="24"/>
          <w:szCs w:val="24"/>
          <w:shd w:val="clear" w:color="auto" w:fill="FFFFFF"/>
        </w:rPr>
        <w:t xml:space="preserve">, </w:t>
      </w:r>
      <w:r>
        <w:rPr>
          <w:rFonts w:hint="default" w:ascii="Arial" w:hAnsi="Arial" w:eastAsia="Times New Roman" w:cs="Arial"/>
          <w:i/>
          <w:iCs/>
          <w:color w:val="222222"/>
          <w:sz w:val="24"/>
          <w:szCs w:val="24"/>
          <w:shd w:val="clear" w:color="auto" w:fill="FFFFFF"/>
        </w:rPr>
        <w:t>2</w:t>
      </w:r>
      <w:r>
        <w:rPr>
          <w:rFonts w:hint="default" w:ascii="Arial" w:hAnsi="Arial" w:eastAsia="Times New Roman" w:cs="Arial"/>
          <w:color w:val="222222"/>
          <w:sz w:val="24"/>
          <w:szCs w:val="24"/>
          <w:shd w:val="clear" w:color="auto" w:fill="FFFFFF"/>
        </w:rPr>
        <w:t>(1), pp.39-48.</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"http://ijmmi.com/index.php/ijmmi/article/download/66/13"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http://ijmmi.com/index.php/ijmmi/article/download/66/13</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.(Accessed: 6th June, 2026).</w:t>
      </w:r>
    </w:p>
    <w:p w14:paraId="3A2D1394">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Shams, H., Ab Rahman, M.N., Hishamuddin, H. and Rafique, M.Z., (2025). ‘A Circular Consumption Behavior Model for Addressing and Reducing Product Demand and Disposal’. </w:t>
      </w:r>
      <w:r>
        <w:rPr>
          <w:rFonts w:hint="default" w:ascii="Arial" w:hAnsi="Arial" w:eastAsia="Times New Roman" w:cs="Arial"/>
          <w:i/>
          <w:iCs/>
          <w:color w:val="222222"/>
          <w:sz w:val="24"/>
          <w:szCs w:val="24"/>
          <w:shd w:val="clear" w:color="auto" w:fill="FFFFFF"/>
        </w:rPr>
        <w:t>Resources</w:t>
      </w:r>
      <w:r>
        <w:rPr>
          <w:rFonts w:hint="default" w:ascii="Arial" w:hAnsi="Arial" w:eastAsia="Times New Roman" w:cs="Arial"/>
          <w:color w:val="222222"/>
          <w:sz w:val="24"/>
          <w:szCs w:val="24"/>
          <w:shd w:val="clear" w:color="auto" w:fill="FFFFFF"/>
        </w:rPr>
        <w:t xml:space="preserve">, </w:t>
      </w:r>
      <w:r>
        <w:rPr>
          <w:rFonts w:hint="default" w:ascii="Arial" w:hAnsi="Arial" w:eastAsia="Times New Roman" w:cs="Arial"/>
          <w:i/>
          <w:iCs/>
          <w:color w:val="222222"/>
          <w:sz w:val="24"/>
          <w:szCs w:val="24"/>
          <w:shd w:val="clear" w:color="auto" w:fill="FFFFFF"/>
        </w:rPr>
        <w:t>14</w:t>
      </w:r>
      <w:r>
        <w:rPr>
          <w:rFonts w:hint="default" w:ascii="Arial" w:hAnsi="Arial" w:eastAsia="Times New Roman" w:cs="Arial"/>
          <w:color w:val="222222"/>
          <w:sz w:val="24"/>
          <w:szCs w:val="24"/>
          <w:shd w:val="clear" w:color="auto" w:fill="FFFFFF"/>
        </w:rPr>
        <w:t>(9), p.148.</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"https://www.mdpi.com/2079-9276/14/9/148"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https://www.mdpi.com/2079-9276/14/9/148</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70B9908E">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Sproviero, N., (2025). ‘Fashioning a Sustainable Future: Circular Models, Emerging Technologies, and Social Responsibility’.</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"https://documentserver.uhasselt.be/bitstream/1942/47047/1/9140d138-d316-41e9-aae7-3ce2e9bed032.pdf"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https://documentserver.uhasselt.be/bitstream/1942/47047/1/9140d138-d316-41e9-aae7-3ce2e9bed032.pdf</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7D9643EE">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Subramaniam, M., (2022). ‘</w:t>
      </w:r>
      <w:r>
        <w:rPr>
          <w:rFonts w:hint="default" w:ascii="Arial" w:hAnsi="Arial" w:eastAsia="Times New Roman" w:cs="Arial"/>
          <w:i/>
          <w:iCs/>
          <w:color w:val="222222"/>
          <w:sz w:val="24"/>
          <w:szCs w:val="24"/>
          <w:shd w:val="clear" w:color="auto" w:fill="FFFFFF"/>
        </w:rPr>
        <w:t>The future of competitive strategy: Unleashing the power of data and digital ecosystems’</w:t>
      </w:r>
      <w:r>
        <w:rPr>
          <w:rFonts w:hint="default" w:ascii="Arial" w:hAnsi="Arial" w:eastAsia="Times New Roman" w:cs="Arial"/>
          <w:color w:val="222222"/>
          <w:sz w:val="24"/>
          <w:szCs w:val="24"/>
          <w:shd w:val="clear" w:color="auto" w:fill="FFFFFF"/>
        </w:rPr>
        <w:t>. MIT Press.</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books.google.com/books?hl=en&amp;lr=&amp;id=iNtUEAAAQBAJ&amp;oi=fnd&amp;pg=PR7&amp;dq=+Unlike+the+competitors,+while+depends+highly+on+traditional+retail+sales,+nike+can+utilise+its+established+digital+ecosystem+and+the+global+distribution+networks+().+&amp;ots=ShhNIyg3pQ&amp;sig=dePPcAVbwOEuioQKhlfhVt-BEH0"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books.google.com/books?hl=en&amp;lr=&amp;id=iNtUEAAAQBAJ&amp;oi=fnd&amp;pg=PR7&amp;dq=+Unlike+the+competitors,+while+depends+highly+on+traditional+retail+sales,+nike+can+utilise+its+established+digital+ecosystem+and+the+global+distribution+networks+().+&amp;ots=ShhNIyg3pQ&amp;sig=dePPcAVbwOEuioQKhlfhVt-BEH0</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1D8BE87E">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Uddin, M.P., (2025). ‘Sustainable reverse logistics on B2C platforms for the circular economy: Strategies, consumer engagement, and challenges’.</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"https://lutpub.lut.fi/bitstream/handle/10024/169952/Mastersthesis_Uddin_Md_Parvez.pdf?sequence=1"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https://lutpub.lut.fi/bitstream/handle/10024/169952/Mastersthesis_Uddin_Md_Parvez.pdf?sequence=1</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35C803FD">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000000"/>
          <w:sz w:val="24"/>
          <w:szCs w:val="24"/>
        </w:rPr>
        <w:t xml:space="preserve">UNEP (2025). </w:t>
      </w:r>
      <w:r>
        <w:rPr>
          <w:rFonts w:hint="default" w:ascii="Arial" w:hAnsi="Arial" w:eastAsia="Times New Roman" w:cs="Arial"/>
          <w:i/>
          <w:iCs/>
          <w:color w:val="000000"/>
          <w:sz w:val="24"/>
          <w:szCs w:val="24"/>
        </w:rPr>
        <w:t>Unsustainable fashion and textiles in focus for International Day of Zero Waste 2025.</w:t>
      </w:r>
      <w:r>
        <w:rPr>
          <w:rFonts w:hint="default" w:ascii="Arial" w:hAnsi="Arial" w:eastAsia="Times New Roman" w:cs="Arial"/>
          <w:color w:val="000000"/>
          <w:sz w:val="24"/>
          <w:szCs w:val="24"/>
        </w:rPr>
        <w:t xml:space="preserve"> Available At: </w:t>
      </w:r>
      <w:r>
        <w:rPr>
          <w:rFonts w:hint="default" w:ascii="Arial" w:hAnsi="Arial" w:cs="Arial"/>
          <w:sz w:val="24"/>
          <w:szCs w:val="24"/>
        </w:rPr>
        <w:fldChar w:fldCharType="begin"/>
      </w:r>
      <w:r>
        <w:rPr>
          <w:rFonts w:hint="default" w:ascii="Arial" w:hAnsi="Arial" w:cs="Arial"/>
          <w:sz w:val="24"/>
          <w:szCs w:val="24"/>
        </w:rPr>
        <w:instrText xml:space="preserve"> HYPERLINK "https://www.unep.org/news-and-stories/press-release/unsustainable-fashion-and-textiles-focus-international-day-zero"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https://www.unep.org/news-and-stories/press-release/unsustainable-fashion-and-textiles-focus-international-day-zero</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365C6D6A">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Wandhe, D.P., (2024). ‘The new generation: Understanding millennials and Gen Z’. </w:t>
      </w:r>
      <w:r>
        <w:rPr>
          <w:rFonts w:hint="default" w:ascii="Arial" w:hAnsi="Arial" w:eastAsia="Times New Roman" w:cs="Arial"/>
          <w:i/>
          <w:iCs/>
          <w:color w:val="222222"/>
          <w:sz w:val="24"/>
          <w:szCs w:val="24"/>
          <w:shd w:val="clear" w:color="auto" w:fill="FFFFFF"/>
        </w:rPr>
        <w:t>Available at SSRN 4716585</w:t>
      </w:r>
      <w:r>
        <w:rPr>
          <w:rFonts w:hint="default" w:ascii="Arial" w:hAnsi="Arial" w:eastAsia="Times New Roman" w:cs="Arial"/>
          <w:color w:val="222222"/>
          <w:sz w:val="24"/>
          <w:szCs w:val="24"/>
          <w:shd w:val="clear" w:color="auto" w:fill="FFFFFF"/>
        </w:rPr>
        <w:t>.</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"https://papers.ssrn.com/sol3/Delivery.cfm?abstractid=4716585"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https://papers.ssrn.com/sol3/Delivery.cfm?abstractid=4716585</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21B587E1">
      <w:pPr>
        <w:spacing w:before="240" w:after="200" w:line="360" w:lineRule="auto"/>
        <w:jc w:val="both"/>
        <w:rPr>
          <w:rFonts w:hint="default" w:ascii="Arial" w:hAnsi="Arial" w:eastAsia="Times New Roman" w:cs="Arial"/>
          <w:sz w:val="24"/>
          <w:szCs w:val="24"/>
        </w:rPr>
      </w:pPr>
      <w:r>
        <w:rPr>
          <w:rFonts w:hint="default" w:ascii="Arial" w:hAnsi="Arial" w:eastAsia="Times New Roman" w:cs="Arial"/>
          <w:color w:val="222222"/>
          <w:sz w:val="24"/>
          <w:szCs w:val="24"/>
          <w:shd w:val="clear" w:color="auto" w:fill="FFFFFF"/>
        </w:rPr>
        <w:t xml:space="preserve">Yang, M., Chen, L., Wang, J., Msigwa, G., Osman, A.I., Fawzy, S., Rooney, D.W. and Yap, P.S.,( 2023). ‘Circular economy strategies for combating climate change and other environmental issues’. </w:t>
      </w:r>
      <w:r>
        <w:rPr>
          <w:rFonts w:hint="default" w:ascii="Arial" w:hAnsi="Arial" w:eastAsia="Times New Roman" w:cs="Arial"/>
          <w:i/>
          <w:iCs/>
          <w:color w:val="222222"/>
          <w:sz w:val="24"/>
          <w:szCs w:val="24"/>
          <w:shd w:val="clear" w:color="auto" w:fill="FFFFFF"/>
        </w:rPr>
        <w:t>Environmental chemistry letters</w:t>
      </w:r>
      <w:r>
        <w:rPr>
          <w:rFonts w:hint="default" w:ascii="Arial" w:hAnsi="Arial" w:eastAsia="Times New Roman" w:cs="Arial"/>
          <w:color w:val="222222"/>
          <w:sz w:val="24"/>
          <w:szCs w:val="24"/>
          <w:shd w:val="clear" w:color="auto" w:fill="FFFFFF"/>
        </w:rPr>
        <w:t xml:space="preserve">, </w:t>
      </w:r>
      <w:r>
        <w:rPr>
          <w:rFonts w:hint="default" w:ascii="Arial" w:hAnsi="Arial" w:eastAsia="Times New Roman" w:cs="Arial"/>
          <w:i/>
          <w:iCs/>
          <w:color w:val="222222"/>
          <w:sz w:val="24"/>
          <w:szCs w:val="24"/>
          <w:shd w:val="clear" w:color="auto" w:fill="FFFFFF"/>
        </w:rPr>
        <w:t>21</w:t>
      </w:r>
      <w:r>
        <w:rPr>
          <w:rFonts w:hint="default" w:ascii="Arial" w:hAnsi="Arial" w:eastAsia="Times New Roman" w:cs="Arial"/>
          <w:color w:val="222222"/>
          <w:sz w:val="24"/>
          <w:szCs w:val="24"/>
          <w:shd w:val="clear" w:color="auto" w:fill="FFFFFF"/>
        </w:rPr>
        <w:t>(1), pp.55-80.</w:t>
      </w:r>
      <w:r>
        <w:rPr>
          <w:rFonts w:hint="default" w:ascii="Arial" w:hAnsi="Arial" w:eastAsia="Times New Roman" w:cs="Arial"/>
          <w:color w:val="000000"/>
          <w:sz w:val="24"/>
          <w:szCs w:val="24"/>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"https://link.springer.com/content/pdf/10.1007/s10311-022-01499-6.pdf" </w:instrText>
      </w:r>
      <w:r>
        <w:rPr>
          <w:rFonts w:hint="default" w:ascii="Arial" w:hAnsi="Arial" w:cs="Arial"/>
          <w:sz w:val="24"/>
          <w:szCs w:val="24"/>
        </w:rPr>
        <w:fldChar w:fldCharType="separate"/>
      </w:r>
      <w:r>
        <w:rPr>
          <w:rFonts w:hint="default" w:ascii="Arial" w:hAnsi="Arial" w:eastAsia="Times New Roman" w:cs="Arial"/>
          <w:color w:val="1155CC"/>
          <w:sz w:val="24"/>
          <w:szCs w:val="24"/>
          <w:u w:val="single"/>
        </w:rPr>
        <w:t>https://link.springer.com/content/pdf/10.1007/s10311-022-01499-6.pdf</w:t>
      </w:r>
      <w:r>
        <w:rPr>
          <w:rFonts w:hint="default" w:ascii="Arial" w:hAnsi="Arial" w:eastAsia="Times New Roman" w:cs="Arial"/>
          <w:color w:val="1155CC"/>
          <w:sz w:val="24"/>
          <w:szCs w:val="24"/>
          <w:u w:val="single"/>
        </w:rPr>
        <w:fldChar w:fldCharType="end"/>
      </w:r>
      <w:r>
        <w:rPr>
          <w:rFonts w:hint="default" w:ascii="Arial" w:hAnsi="Arial" w:eastAsia="Times New Roman" w:cs="Arial"/>
          <w:color w:val="000000"/>
          <w:sz w:val="24"/>
          <w:szCs w:val="24"/>
        </w:rPr>
        <w:t>. (Accessed: 6th June, 2026).</w:t>
      </w:r>
    </w:p>
    <w:p w14:paraId="698A5BD8">
      <w:pPr>
        <w:rPr>
          <w:rFonts w:hint="default" w:ascii="Arial" w:hAnsi="Arial" w:cs="Arial"/>
          <w:sz w:val="24"/>
          <w:szCs w:val="24"/>
        </w:rPr>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Card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43175691"/>
      <w:docPartObj>
        <w:docPartGallery w:val="autotext"/>
      </w:docPartObj>
    </w:sdtPr>
    <w:sdtEndPr>
      <w:rPr>
        <w:rFonts w:ascii="Times New Roman" w:hAnsi="Times New Roman" w:cs="Times New Roman"/>
        <w:sz w:val="20"/>
        <w:szCs w:val="20"/>
      </w:rPr>
    </w:sdtEndPr>
    <w:sdtContent>
      <w:p w14:paraId="71CFB9B9">
        <w:pPr>
          <w:pStyle w:val="7"/>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4</w:t>
        </w:r>
        <w:r>
          <w:rPr>
            <w:rFonts w:ascii="Times New Roman" w:hAnsi="Times New Roman" w:cs="Times New Roman"/>
            <w:sz w:val="20"/>
            <w:szCs w:val="20"/>
          </w:rPr>
          <w:fldChar w:fldCharType="end"/>
        </w:r>
      </w:p>
    </w:sdtContent>
  </w:sdt>
  <w:p w14:paraId="770FCDD8">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6"/>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432643C"/>
    <w:rsid w:val="27820600"/>
    <w:rsid w:val="643264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name="heading 3"/>
    <w:lsdException w:qFormat="1" w:unhideWhenUsed="0"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1"/>
    <w:next w:val="1"/>
    <w:qFormat/>
    <w:uiPriority w:val="0"/>
    <w:pPr>
      <w:keepNext/>
      <w:keepLines/>
      <w:spacing w:before="120" w:after="120" w:line="360" w:lineRule="auto"/>
      <w:jc w:val="both"/>
      <w:outlineLvl w:val="0"/>
    </w:pPr>
    <w:rPr>
      <w:rFonts w:ascii="Times New Roman" w:hAnsi="Times New Roman"/>
      <w:b/>
      <w:sz w:val="28"/>
      <w:szCs w:val="40"/>
    </w:rPr>
  </w:style>
  <w:style w:type="paragraph" w:styleId="3">
    <w:name w:val="heading 2"/>
    <w:basedOn w:val="1"/>
    <w:next w:val="1"/>
    <w:qFormat/>
    <w:uiPriority w:val="0"/>
    <w:pPr>
      <w:keepNext/>
      <w:keepLines/>
      <w:spacing w:before="120" w:after="120" w:line="360" w:lineRule="auto"/>
      <w:jc w:val="both"/>
      <w:outlineLvl w:val="1"/>
    </w:pPr>
    <w:rPr>
      <w:rFonts w:ascii="Times New Roman" w:hAnsi="Times New Roman"/>
      <w:b/>
      <w:sz w:val="26"/>
      <w:szCs w:val="32"/>
    </w:rPr>
  </w:style>
  <w:style w:type="paragraph" w:styleId="4">
    <w:name w:val="heading 4"/>
    <w:basedOn w:val="1"/>
    <w:next w:val="1"/>
    <w:qFormat/>
    <w:uiPriority w:val="0"/>
    <w:pPr>
      <w:keepNext/>
      <w:keepLines/>
      <w:spacing w:before="120" w:after="120" w:line="360" w:lineRule="auto"/>
      <w:jc w:val="center"/>
      <w:outlineLvl w:val="3"/>
    </w:pPr>
    <w:rPr>
      <w:rFonts w:ascii="Times New Roman" w:hAnsi="Times New Roman"/>
      <w:b/>
      <w:sz w:val="24"/>
      <w:szCs w:val="24"/>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7">
    <w:name w:val="footer"/>
    <w:basedOn w:val="1"/>
    <w:unhideWhenUsed/>
    <w:qFormat/>
    <w:uiPriority w:val="99"/>
    <w:pPr>
      <w:tabs>
        <w:tab w:val="center" w:pos="4680"/>
        <w:tab w:val="right" w:pos="9360"/>
      </w:tabs>
      <w:spacing w:line="240" w:lineRule="auto"/>
    </w:pPr>
  </w:style>
  <w:style w:type="character" w:styleId="8">
    <w:name w:val="Hyperlink"/>
    <w:basedOn w:val="5"/>
    <w:unhideWhenUsed/>
    <w:qFormat/>
    <w:uiPriority w:val="99"/>
    <w:rPr>
      <w:color w:val="0000FF"/>
      <w:u w:val="single"/>
    </w:rPr>
  </w:style>
  <w:style w:type="paragraph" w:styleId="9">
    <w:name w:val="toc 1"/>
    <w:basedOn w:val="1"/>
    <w:next w:val="1"/>
    <w:unhideWhenUsed/>
    <w:qFormat/>
    <w:uiPriority w:val="39"/>
    <w:pPr>
      <w:spacing w:after="100"/>
    </w:pPr>
  </w:style>
  <w:style w:type="paragraph" w:styleId="10">
    <w:name w:val="toc 2"/>
    <w:basedOn w:val="1"/>
    <w:next w:val="1"/>
    <w:unhideWhenUsed/>
    <w:qFormat/>
    <w:uiPriority w:val="39"/>
    <w:pPr>
      <w:spacing w:after="100"/>
      <w:ind w:left="220"/>
    </w:pPr>
  </w:style>
  <w:style w:type="paragraph" w:customStyle="1" w:styleId="11">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2E54A1" w:themeColor="accent1" w:themeShade="BF"/>
      <w:sz w:val="32"/>
      <w:szCs w:val="32"/>
    </w:rPr>
  </w:style>
  <w:style w:type="table" w:customStyle="1" w:styleId="12">
    <w:name w:val="_Style 12"/>
    <w:basedOn w:val="13"/>
    <w:qFormat/>
    <w:uiPriority w:val="0"/>
  </w:style>
  <w:style w:type="table" w:customStyle="1" w:styleId="13">
    <w:name w:val="TableNormal"/>
    <w:qFormat/>
    <w:uiPriority w:val="0"/>
    <w:tblPr>
      <w:tblCellMar>
        <w:top w:w="100" w:type="dxa"/>
        <w:left w:w="100" w:type="dxa"/>
        <w:bottom w:w="100" w:type="dxa"/>
        <w:right w:w="100" w:type="dxa"/>
      </w:tblCellMar>
    </w:tblPr>
  </w:style>
  <w:style w:type="table" w:customStyle="1" w:styleId="14">
    <w:name w:val="_Style 13"/>
    <w:basedOn w:val="13"/>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microsoft.com/office/2007/relationships/diagramDrawing" Target="diagrams/drawing1.xml"/><Relationship Id="rId15" Type="http://schemas.openxmlformats.org/officeDocument/2006/relationships/diagramColors" Target="diagrams/colors1.xml"/><Relationship Id="rId14" Type="http://schemas.openxmlformats.org/officeDocument/2006/relationships/diagramQuickStyle" Target="diagrams/quickStyle1.xml"/><Relationship Id="rId13" Type="http://schemas.openxmlformats.org/officeDocument/2006/relationships/diagramLayout" Target="diagrams/layout1.xml"/><Relationship Id="rId12" Type="http://schemas.openxmlformats.org/officeDocument/2006/relationships/diagramData" Target="diagrams/data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B3A5C1EC-1F23-4F68-AF09-88334B884BE2}" type="doc">
      <dgm:prSet loTypeId="urn:microsoft.com/office/officeart/2005/8/layout/hProcess9" loCatId="process" qsTypeId="urn:microsoft.com/office/officeart/2005/8/quickstyle/3d2" qsCatId="3D" csTypeId="urn:microsoft.com/office/officeart/2005/8/colors/colorful2" csCatId="colorful" phldr="1"/>
      <dgm:spPr/>
    </dgm:pt>
    <dgm:pt modelId="{029C03EA-E62E-4495-BB34-923022B36947}">
      <dgm:prSet phldrT="[Text]" custT="1"/>
      <dgm:spPr/>
      <dgm:t>
        <a:bodyPr/>
        <a:p>
          <a:r>
            <a:rPr lang="en-GB" sz="1200" b="1">
              <a:solidFill>
                <a:sysClr val="windowText" lastClr="000000"/>
              </a:solidFill>
              <a:latin typeface="Times New Roman" panose="02020603050405020304" charset="0"/>
              <a:cs typeface="Times New Roman" panose="02020603050405020304" charset="0"/>
            </a:rPr>
            <a:t>Subscribe</a:t>
          </a:r>
          <a:endParaRPr lang="en-US" sz="1200" b="1">
            <a:solidFill>
              <a:sysClr val="windowText" lastClr="000000"/>
            </a:solidFill>
            <a:latin typeface="Times New Roman" panose="02020603050405020304" charset="0"/>
            <a:cs typeface="Times New Roman" panose="02020603050405020304" charset="0"/>
          </a:endParaRPr>
        </a:p>
      </dgm:t>
    </dgm:pt>
    <dgm:pt modelId="{8B55E74D-3AE2-46C6-900C-A3B6C501FB71}" cxnId="{2DC503B1-4158-468F-87CF-E19463BEC396}" type="parTrans">
      <dgm:prSet/>
      <dgm:spPr/>
      <dgm:t>
        <a:bodyPr/>
        <a:p>
          <a:endParaRPr lang="en-US"/>
        </a:p>
      </dgm:t>
    </dgm:pt>
    <dgm:pt modelId="{07803562-F475-44F8-9996-7C9E40FE7D6C}" cxnId="{2DC503B1-4158-468F-87CF-E19463BEC396}" type="sibTrans">
      <dgm:prSet/>
      <dgm:spPr/>
      <dgm:t>
        <a:bodyPr/>
        <a:p>
          <a:endParaRPr lang="en-US"/>
        </a:p>
      </dgm:t>
    </dgm:pt>
    <dgm:pt modelId="{8B55C5DD-0153-4D7A-B253-F11BCF55AF07}">
      <dgm:prSet phldrT="[Text]" custT="1"/>
      <dgm:spPr/>
      <dgm:t>
        <a:bodyPr/>
        <a:p>
          <a:r>
            <a:rPr lang="en-GB" sz="1200" b="1">
              <a:solidFill>
                <a:sysClr val="windowText" lastClr="000000"/>
              </a:solidFill>
              <a:latin typeface="Times New Roman" panose="02020603050405020304" charset="0"/>
              <a:cs typeface="Times New Roman" panose="02020603050405020304" charset="0"/>
            </a:rPr>
            <a:t>Receive Product </a:t>
          </a:r>
          <a:endParaRPr lang="en-US" sz="1200" b="1">
            <a:solidFill>
              <a:sysClr val="windowText" lastClr="000000"/>
            </a:solidFill>
            <a:latin typeface="Times New Roman" panose="02020603050405020304" charset="0"/>
            <a:cs typeface="Times New Roman" panose="02020603050405020304" charset="0"/>
          </a:endParaRPr>
        </a:p>
      </dgm:t>
    </dgm:pt>
    <dgm:pt modelId="{223A7608-3345-4DEA-864D-60AFB2DB49E1}" cxnId="{75057F3A-E370-435F-8229-90612C1990DF}" type="parTrans">
      <dgm:prSet/>
      <dgm:spPr/>
      <dgm:t>
        <a:bodyPr/>
        <a:p>
          <a:endParaRPr lang="en-US"/>
        </a:p>
      </dgm:t>
    </dgm:pt>
    <dgm:pt modelId="{91A39979-D625-4BB5-9931-965870ACBEC0}" cxnId="{75057F3A-E370-435F-8229-90612C1990DF}" type="sibTrans">
      <dgm:prSet/>
      <dgm:spPr/>
      <dgm:t>
        <a:bodyPr/>
        <a:p>
          <a:endParaRPr lang="en-US"/>
        </a:p>
      </dgm:t>
    </dgm:pt>
    <dgm:pt modelId="{F1856383-D520-49BD-865B-AB74D4D95A0C}">
      <dgm:prSet phldrT="[Text]" custT="1"/>
      <dgm:spPr/>
      <dgm:t>
        <a:bodyPr/>
        <a:p>
          <a:r>
            <a:rPr lang="en-GB" sz="1200" b="1">
              <a:solidFill>
                <a:sysClr val="windowText" lastClr="000000"/>
              </a:solidFill>
              <a:latin typeface="Times New Roman" panose="02020603050405020304" charset="0"/>
              <a:cs typeface="Times New Roman" panose="02020603050405020304" charset="0"/>
            </a:rPr>
            <a:t>Use Product </a:t>
          </a:r>
          <a:endParaRPr lang="en-US" sz="1200" b="1">
            <a:solidFill>
              <a:sysClr val="windowText" lastClr="000000"/>
            </a:solidFill>
            <a:latin typeface="Times New Roman" panose="02020603050405020304" charset="0"/>
            <a:cs typeface="Times New Roman" panose="02020603050405020304" charset="0"/>
          </a:endParaRPr>
        </a:p>
      </dgm:t>
    </dgm:pt>
    <dgm:pt modelId="{186EE199-508A-439F-AA80-6B4173D80320}" cxnId="{1FD328A5-28F9-49E0-A5BC-3830AC01F844}" type="parTrans">
      <dgm:prSet/>
      <dgm:spPr/>
      <dgm:t>
        <a:bodyPr/>
        <a:p>
          <a:endParaRPr lang="en-US"/>
        </a:p>
      </dgm:t>
    </dgm:pt>
    <dgm:pt modelId="{73B7D4F2-BB61-4DA9-AAAF-8E866079F62C}" cxnId="{1FD328A5-28F9-49E0-A5BC-3830AC01F844}" type="sibTrans">
      <dgm:prSet/>
      <dgm:spPr/>
      <dgm:t>
        <a:bodyPr/>
        <a:p>
          <a:endParaRPr lang="en-US"/>
        </a:p>
      </dgm:t>
    </dgm:pt>
    <dgm:pt modelId="{02F64858-2E81-4132-B483-2FF9E556D32B}">
      <dgm:prSet phldrT="[Text]" custT="1"/>
      <dgm:spPr/>
      <dgm:t>
        <a:bodyPr/>
        <a:p>
          <a:r>
            <a:rPr lang="en-GB" sz="1200" b="1">
              <a:solidFill>
                <a:sysClr val="windowText" lastClr="000000"/>
              </a:solidFill>
              <a:latin typeface="Times New Roman" panose="02020603050405020304" charset="0"/>
              <a:cs typeface="Times New Roman" panose="02020603050405020304" charset="0"/>
            </a:rPr>
            <a:t>Return Product </a:t>
          </a:r>
          <a:endParaRPr lang="en-US" sz="1200" b="1">
            <a:solidFill>
              <a:sysClr val="windowText" lastClr="000000"/>
            </a:solidFill>
            <a:latin typeface="Times New Roman" panose="02020603050405020304" charset="0"/>
            <a:cs typeface="Times New Roman" panose="02020603050405020304" charset="0"/>
          </a:endParaRPr>
        </a:p>
      </dgm:t>
    </dgm:pt>
    <dgm:pt modelId="{A90CBEAB-F162-45CB-8DC3-E42A44BBF161}" cxnId="{87C49AC1-C6E3-47CF-AEEC-DC0C4C0F422D}" type="parTrans">
      <dgm:prSet/>
      <dgm:spPr/>
      <dgm:t>
        <a:bodyPr/>
        <a:p>
          <a:endParaRPr lang="en-US"/>
        </a:p>
      </dgm:t>
    </dgm:pt>
    <dgm:pt modelId="{273CB099-3A3C-4DC1-9E1D-1BC293C8AA59}" cxnId="{87C49AC1-C6E3-47CF-AEEC-DC0C4C0F422D}" type="sibTrans">
      <dgm:prSet/>
      <dgm:spPr/>
      <dgm:t>
        <a:bodyPr/>
        <a:p>
          <a:endParaRPr lang="en-US"/>
        </a:p>
      </dgm:t>
    </dgm:pt>
    <dgm:pt modelId="{FDA0FE68-7E61-4A17-9E58-A5744223263B}">
      <dgm:prSet phldrT="[Text]" custT="1"/>
      <dgm:spPr/>
      <dgm:t>
        <a:bodyPr/>
        <a:p>
          <a:r>
            <a:rPr lang="en-GB" sz="1200" b="1">
              <a:solidFill>
                <a:sysClr val="windowText" lastClr="000000"/>
              </a:solidFill>
              <a:latin typeface="Times New Roman" panose="02020603050405020304" charset="0"/>
              <a:cs typeface="Times New Roman" panose="02020603050405020304" charset="0"/>
            </a:rPr>
            <a:t>Refurbishment</a:t>
          </a:r>
          <a:endParaRPr lang="en-US" sz="1200" b="1">
            <a:solidFill>
              <a:sysClr val="windowText" lastClr="000000"/>
            </a:solidFill>
            <a:latin typeface="Times New Roman" panose="02020603050405020304" charset="0"/>
            <a:cs typeface="Times New Roman" panose="02020603050405020304" charset="0"/>
          </a:endParaRPr>
        </a:p>
      </dgm:t>
    </dgm:pt>
    <dgm:pt modelId="{2A33FB71-EFCA-4060-9F76-BC00CF324E1D}" cxnId="{AB39F380-D425-4EB6-B704-FE722FA74FE5}" type="parTrans">
      <dgm:prSet/>
      <dgm:spPr/>
      <dgm:t>
        <a:bodyPr/>
        <a:p>
          <a:endParaRPr lang="en-US"/>
        </a:p>
      </dgm:t>
    </dgm:pt>
    <dgm:pt modelId="{A2856A06-94C0-47A9-A7DA-C81C35E21E41}" cxnId="{AB39F380-D425-4EB6-B704-FE722FA74FE5}" type="sibTrans">
      <dgm:prSet/>
      <dgm:spPr/>
      <dgm:t>
        <a:bodyPr/>
        <a:p>
          <a:endParaRPr lang="en-US"/>
        </a:p>
      </dgm:t>
    </dgm:pt>
    <dgm:pt modelId="{74BE40B9-6698-4323-BDBA-8EA38984FCEF}">
      <dgm:prSet phldrT="[Text]" custT="1"/>
      <dgm:spPr/>
      <dgm:t>
        <a:bodyPr/>
        <a:p>
          <a:r>
            <a:rPr lang="en-GB" sz="1200" b="1">
              <a:solidFill>
                <a:sysClr val="windowText" lastClr="000000"/>
              </a:solidFill>
              <a:latin typeface="Times New Roman" panose="02020603050405020304" charset="0"/>
              <a:cs typeface="Times New Roman" panose="02020603050405020304" charset="0"/>
            </a:rPr>
            <a:t>Redistribution.</a:t>
          </a:r>
          <a:endParaRPr lang="en-US" sz="1200" b="1">
            <a:solidFill>
              <a:sysClr val="windowText" lastClr="000000"/>
            </a:solidFill>
            <a:latin typeface="Times New Roman" panose="02020603050405020304" charset="0"/>
            <a:cs typeface="Times New Roman" panose="02020603050405020304" charset="0"/>
          </a:endParaRPr>
        </a:p>
      </dgm:t>
    </dgm:pt>
    <dgm:pt modelId="{1E29D7A3-2AC9-4720-9CEA-D7A96D522765}" cxnId="{E942D549-5760-4063-B9B3-8814F663529D}" type="parTrans">
      <dgm:prSet/>
      <dgm:spPr/>
    </dgm:pt>
    <dgm:pt modelId="{A0A5C397-74C0-4633-91DB-380BDAC665A5}" cxnId="{E942D549-5760-4063-B9B3-8814F663529D}" type="sibTrans">
      <dgm:prSet/>
      <dgm:spPr/>
    </dgm:pt>
    <dgm:pt modelId="{4EACF331-8C54-4413-B9B8-E27F6DFAF9E8}" type="pres">
      <dgm:prSet presAssocID="{B3A5C1EC-1F23-4F68-AF09-88334B884BE2}" presName="CompostProcess" presStyleCnt="0">
        <dgm:presLayoutVars>
          <dgm:dir/>
          <dgm:resizeHandles val="exact"/>
        </dgm:presLayoutVars>
      </dgm:prSet>
      <dgm:spPr/>
    </dgm:pt>
    <dgm:pt modelId="{ABA11846-43DF-467D-BF40-093C020F4A3E}" type="pres">
      <dgm:prSet presAssocID="{B3A5C1EC-1F23-4F68-AF09-88334B884BE2}" presName="arrow" presStyleLbl="bgShp" presStyleIdx="0" presStyleCnt="1"/>
      <dgm:spPr/>
    </dgm:pt>
    <dgm:pt modelId="{C9326CD7-5CC1-46D8-A0BB-4C6EF10A2C8B}" type="pres">
      <dgm:prSet presAssocID="{B3A5C1EC-1F23-4F68-AF09-88334B884BE2}" presName="linearProcess" presStyleCnt="0"/>
      <dgm:spPr/>
    </dgm:pt>
    <dgm:pt modelId="{D4A2E7C6-E0E5-4CAA-B2E4-47E74AF22D49}" type="pres">
      <dgm:prSet presAssocID="{029C03EA-E62E-4495-BB34-923022B36947}" presName="textNode" presStyleLbl="node1" presStyleIdx="0" presStyleCnt="6">
        <dgm:presLayoutVars>
          <dgm:bulletEnabled val="1"/>
        </dgm:presLayoutVars>
      </dgm:prSet>
      <dgm:spPr/>
      <dgm:t>
        <a:bodyPr/>
        <a:p>
          <a:endParaRPr lang="en-US"/>
        </a:p>
      </dgm:t>
    </dgm:pt>
    <dgm:pt modelId="{CE29A841-A374-4BE4-A3C9-F8F7F07616CE}" type="pres">
      <dgm:prSet presAssocID="{07803562-F475-44F8-9996-7C9E40FE7D6C}" presName="sibTrans" presStyleCnt="0"/>
      <dgm:spPr/>
    </dgm:pt>
    <dgm:pt modelId="{5398C890-459F-4760-91EB-21406A90AF0F}" type="pres">
      <dgm:prSet presAssocID="{8B55C5DD-0153-4D7A-B253-F11BCF55AF07}" presName="textNode" presStyleLbl="node1" presStyleIdx="1" presStyleCnt="6">
        <dgm:presLayoutVars>
          <dgm:bulletEnabled val="1"/>
        </dgm:presLayoutVars>
      </dgm:prSet>
      <dgm:spPr/>
      <dgm:t>
        <a:bodyPr/>
        <a:p>
          <a:endParaRPr lang="en-US"/>
        </a:p>
      </dgm:t>
    </dgm:pt>
    <dgm:pt modelId="{4B8DDE1C-86AA-43A6-AA89-63BBE901E769}" type="pres">
      <dgm:prSet presAssocID="{91A39979-D625-4BB5-9931-965870ACBEC0}" presName="sibTrans" presStyleCnt="0"/>
      <dgm:spPr/>
    </dgm:pt>
    <dgm:pt modelId="{7DF9489B-93E2-48AE-8DFC-FC874FDBFB80}" type="pres">
      <dgm:prSet presAssocID="{F1856383-D520-49BD-865B-AB74D4D95A0C}" presName="textNode" presStyleLbl="node1" presStyleIdx="2" presStyleCnt="6">
        <dgm:presLayoutVars>
          <dgm:bulletEnabled val="1"/>
        </dgm:presLayoutVars>
      </dgm:prSet>
      <dgm:spPr/>
      <dgm:t>
        <a:bodyPr/>
        <a:p>
          <a:endParaRPr lang="en-US"/>
        </a:p>
      </dgm:t>
    </dgm:pt>
    <dgm:pt modelId="{14B632F0-C02C-4414-AC2D-B541EA5B0C53}" type="pres">
      <dgm:prSet presAssocID="{73B7D4F2-BB61-4DA9-AAAF-8E866079F62C}" presName="sibTrans" presStyleCnt="0"/>
      <dgm:spPr/>
    </dgm:pt>
    <dgm:pt modelId="{4FA0B4A8-FFFA-4FFB-AE3B-591C60D4107A}" type="pres">
      <dgm:prSet presAssocID="{02F64858-2E81-4132-B483-2FF9E556D32B}" presName="textNode" presStyleLbl="node1" presStyleIdx="3" presStyleCnt="6">
        <dgm:presLayoutVars>
          <dgm:bulletEnabled val="1"/>
        </dgm:presLayoutVars>
      </dgm:prSet>
      <dgm:spPr/>
      <dgm:t>
        <a:bodyPr/>
        <a:p>
          <a:endParaRPr lang="en-US"/>
        </a:p>
      </dgm:t>
    </dgm:pt>
    <dgm:pt modelId="{AA0BB65E-0EC0-430A-AA51-386E505BD40C}" type="pres">
      <dgm:prSet presAssocID="{273CB099-3A3C-4DC1-9E1D-1BC293C8AA59}" presName="sibTrans" presStyleCnt="0"/>
      <dgm:spPr/>
    </dgm:pt>
    <dgm:pt modelId="{EA5C68EB-F9E2-4B6E-B5A1-CFB248D29BAF}" type="pres">
      <dgm:prSet presAssocID="{FDA0FE68-7E61-4A17-9E58-A5744223263B}" presName="textNode" presStyleLbl="node1" presStyleIdx="4" presStyleCnt="6">
        <dgm:presLayoutVars>
          <dgm:bulletEnabled val="1"/>
        </dgm:presLayoutVars>
      </dgm:prSet>
      <dgm:spPr/>
      <dgm:t>
        <a:bodyPr/>
        <a:p>
          <a:endParaRPr lang="en-US"/>
        </a:p>
      </dgm:t>
    </dgm:pt>
    <dgm:pt modelId="{D66FB4BA-F45C-486D-AFA8-03A64EDAFE0C}" type="pres">
      <dgm:prSet presAssocID="{A2856A06-94C0-47A9-A7DA-C81C35E21E41}" presName="sibTrans" presStyleCnt="0"/>
      <dgm:spPr/>
    </dgm:pt>
    <dgm:pt modelId="{904BD31A-9970-4FD4-B6B4-DEF1ABC9876E}" type="pres">
      <dgm:prSet presAssocID="{74BE40B9-6698-4323-BDBA-8EA38984FCEF}" presName="textNode" presStyleLbl="node1" presStyleIdx="5" presStyleCnt="6">
        <dgm:presLayoutVars>
          <dgm:bulletEnabled val="1"/>
        </dgm:presLayoutVars>
      </dgm:prSet>
      <dgm:spPr/>
      <dgm:t>
        <a:bodyPr/>
        <a:p>
          <a:endParaRPr lang="en-US"/>
        </a:p>
      </dgm:t>
    </dgm:pt>
  </dgm:ptLst>
  <dgm:cxnLst>
    <dgm:cxn modelId="{75057F3A-E370-435F-8229-90612C1990DF}" srcId="{B3A5C1EC-1F23-4F68-AF09-88334B884BE2}" destId="{8B55C5DD-0153-4D7A-B253-F11BCF55AF07}" srcOrd="1" destOrd="0" parTransId="{223A7608-3345-4DEA-864D-60AFB2DB49E1}" sibTransId="{91A39979-D625-4BB5-9931-965870ACBEC0}"/>
    <dgm:cxn modelId="{E95C65C7-D44F-41BE-A714-B25875ADAB5A}" type="presOf" srcId="{F1856383-D520-49BD-865B-AB74D4D95A0C}" destId="{7DF9489B-93E2-48AE-8DFC-FC874FDBFB80}" srcOrd="0" destOrd="0" presId="urn:microsoft.com/office/officeart/2005/8/layout/hProcess9"/>
    <dgm:cxn modelId="{AB39F380-D425-4EB6-B704-FE722FA74FE5}" srcId="{B3A5C1EC-1F23-4F68-AF09-88334B884BE2}" destId="{FDA0FE68-7E61-4A17-9E58-A5744223263B}" srcOrd="4" destOrd="0" parTransId="{2A33FB71-EFCA-4060-9F76-BC00CF324E1D}" sibTransId="{A2856A06-94C0-47A9-A7DA-C81C35E21E41}"/>
    <dgm:cxn modelId="{7788EC1D-E1BB-4E27-BECD-42CF2FB46730}" type="presOf" srcId="{B3A5C1EC-1F23-4F68-AF09-88334B884BE2}" destId="{4EACF331-8C54-4413-B9B8-E27F6DFAF9E8}" srcOrd="0" destOrd="0" presId="urn:microsoft.com/office/officeart/2005/8/layout/hProcess9"/>
    <dgm:cxn modelId="{271DC98B-90D3-47B4-903C-11091C77490C}" type="presOf" srcId="{029C03EA-E62E-4495-BB34-923022B36947}" destId="{D4A2E7C6-E0E5-4CAA-B2E4-47E74AF22D49}" srcOrd="0" destOrd="0" presId="urn:microsoft.com/office/officeart/2005/8/layout/hProcess9"/>
    <dgm:cxn modelId="{ED47AA77-D711-4B50-8A75-1AA9FFFEA795}" type="presOf" srcId="{8B55C5DD-0153-4D7A-B253-F11BCF55AF07}" destId="{5398C890-459F-4760-91EB-21406A90AF0F}" srcOrd="0" destOrd="0" presId="urn:microsoft.com/office/officeart/2005/8/layout/hProcess9"/>
    <dgm:cxn modelId="{87C49AC1-C6E3-47CF-AEEC-DC0C4C0F422D}" srcId="{B3A5C1EC-1F23-4F68-AF09-88334B884BE2}" destId="{02F64858-2E81-4132-B483-2FF9E556D32B}" srcOrd="3" destOrd="0" parTransId="{A90CBEAB-F162-45CB-8DC3-E42A44BBF161}" sibTransId="{273CB099-3A3C-4DC1-9E1D-1BC293C8AA59}"/>
    <dgm:cxn modelId="{E942D549-5760-4063-B9B3-8814F663529D}" srcId="{B3A5C1EC-1F23-4F68-AF09-88334B884BE2}" destId="{74BE40B9-6698-4323-BDBA-8EA38984FCEF}" srcOrd="5" destOrd="0" parTransId="{1E29D7A3-2AC9-4720-9CEA-D7A96D522765}" sibTransId="{A0A5C397-74C0-4633-91DB-380BDAC665A5}"/>
    <dgm:cxn modelId="{EA5D00EC-555C-41D7-9BE6-1EC70592FC74}" type="presOf" srcId="{FDA0FE68-7E61-4A17-9E58-A5744223263B}" destId="{EA5C68EB-F9E2-4B6E-B5A1-CFB248D29BAF}" srcOrd="0" destOrd="0" presId="urn:microsoft.com/office/officeart/2005/8/layout/hProcess9"/>
    <dgm:cxn modelId="{F45AF5DD-CC9D-4495-AABE-1AF7C81FC8FC}" type="presOf" srcId="{02F64858-2E81-4132-B483-2FF9E556D32B}" destId="{4FA0B4A8-FFFA-4FFB-AE3B-591C60D4107A}" srcOrd="0" destOrd="0" presId="urn:microsoft.com/office/officeart/2005/8/layout/hProcess9"/>
    <dgm:cxn modelId="{B20346D0-C49E-4BC2-9DF7-8CC9081D451F}" type="presOf" srcId="{74BE40B9-6698-4323-BDBA-8EA38984FCEF}" destId="{904BD31A-9970-4FD4-B6B4-DEF1ABC9876E}" srcOrd="0" destOrd="0" presId="urn:microsoft.com/office/officeart/2005/8/layout/hProcess9"/>
    <dgm:cxn modelId="{1FD328A5-28F9-49E0-A5BC-3830AC01F844}" srcId="{B3A5C1EC-1F23-4F68-AF09-88334B884BE2}" destId="{F1856383-D520-49BD-865B-AB74D4D95A0C}" srcOrd="2" destOrd="0" parTransId="{186EE199-508A-439F-AA80-6B4173D80320}" sibTransId="{73B7D4F2-BB61-4DA9-AAAF-8E866079F62C}"/>
    <dgm:cxn modelId="{2DC503B1-4158-468F-87CF-E19463BEC396}" srcId="{B3A5C1EC-1F23-4F68-AF09-88334B884BE2}" destId="{029C03EA-E62E-4495-BB34-923022B36947}" srcOrd="0" destOrd="0" parTransId="{8B55E74D-3AE2-46C6-900C-A3B6C501FB71}" sibTransId="{07803562-F475-44F8-9996-7C9E40FE7D6C}"/>
    <dgm:cxn modelId="{78BD4D56-8CFE-41CF-AC05-60EC606759F8}" type="presParOf" srcId="{4EACF331-8C54-4413-B9B8-E27F6DFAF9E8}" destId="{ABA11846-43DF-467D-BF40-093C020F4A3E}" srcOrd="0" destOrd="0" presId="urn:microsoft.com/office/officeart/2005/8/layout/hProcess9"/>
    <dgm:cxn modelId="{2762CB6A-3EA0-4ED7-9440-F3C528CFFC9D}" type="presParOf" srcId="{4EACF331-8C54-4413-B9B8-E27F6DFAF9E8}" destId="{C9326CD7-5CC1-46D8-A0BB-4C6EF10A2C8B}" srcOrd="1" destOrd="0" presId="urn:microsoft.com/office/officeart/2005/8/layout/hProcess9"/>
    <dgm:cxn modelId="{52D9B39D-74DD-486B-AAC7-79BC37DFB820}" type="presParOf" srcId="{C9326CD7-5CC1-46D8-A0BB-4C6EF10A2C8B}" destId="{D4A2E7C6-E0E5-4CAA-B2E4-47E74AF22D49}" srcOrd="0" destOrd="0" presId="urn:microsoft.com/office/officeart/2005/8/layout/hProcess9"/>
    <dgm:cxn modelId="{0A0AAA7A-E813-444A-905C-B922C4EDD838}" type="presParOf" srcId="{C9326CD7-5CC1-46D8-A0BB-4C6EF10A2C8B}" destId="{CE29A841-A374-4BE4-A3C9-F8F7F07616CE}" srcOrd="1" destOrd="0" presId="urn:microsoft.com/office/officeart/2005/8/layout/hProcess9"/>
    <dgm:cxn modelId="{D2656C1F-1C33-41E6-A37A-788600362681}" type="presParOf" srcId="{C9326CD7-5CC1-46D8-A0BB-4C6EF10A2C8B}" destId="{5398C890-459F-4760-91EB-21406A90AF0F}" srcOrd="2" destOrd="0" presId="urn:microsoft.com/office/officeart/2005/8/layout/hProcess9"/>
    <dgm:cxn modelId="{0EC8010D-502E-41F8-9253-759DE1B03B97}" type="presParOf" srcId="{C9326CD7-5CC1-46D8-A0BB-4C6EF10A2C8B}" destId="{4B8DDE1C-86AA-43A6-AA89-63BBE901E769}" srcOrd="3" destOrd="0" presId="urn:microsoft.com/office/officeart/2005/8/layout/hProcess9"/>
    <dgm:cxn modelId="{43E93C9D-340C-4D1B-9767-D6D75F09C025}" type="presParOf" srcId="{C9326CD7-5CC1-46D8-A0BB-4C6EF10A2C8B}" destId="{7DF9489B-93E2-48AE-8DFC-FC874FDBFB80}" srcOrd="4" destOrd="0" presId="urn:microsoft.com/office/officeart/2005/8/layout/hProcess9"/>
    <dgm:cxn modelId="{EA3586AB-53E9-4FB7-A8D0-05E20573631C}" type="presParOf" srcId="{C9326CD7-5CC1-46D8-A0BB-4C6EF10A2C8B}" destId="{14B632F0-C02C-4414-AC2D-B541EA5B0C53}" srcOrd="5" destOrd="0" presId="urn:microsoft.com/office/officeart/2005/8/layout/hProcess9"/>
    <dgm:cxn modelId="{D9E691C6-F22C-49D6-8388-A22057B73667}" type="presParOf" srcId="{C9326CD7-5CC1-46D8-A0BB-4C6EF10A2C8B}" destId="{4FA0B4A8-FFFA-4FFB-AE3B-591C60D4107A}" srcOrd="6" destOrd="0" presId="urn:microsoft.com/office/officeart/2005/8/layout/hProcess9"/>
    <dgm:cxn modelId="{B90D9968-B9EC-42A3-9DCC-BF940B24B895}" type="presParOf" srcId="{C9326CD7-5CC1-46D8-A0BB-4C6EF10A2C8B}" destId="{AA0BB65E-0EC0-430A-AA51-386E505BD40C}" srcOrd="7" destOrd="0" presId="urn:microsoft.com/office/officeart/2005/8/layout/hProcess9"/>
    <dgm:cxn modelId="{B82359B6-395E-4D7B-B425-51E68AC8D691}" type="presParOf" srcId="{C9326CD7-5CC1-46D8-A0BB-4C6EF10A2C8B}" destId="{EA5C68EB-F9E2-4B6E-B5A1-CFB248D29BAF}" srcOrd="8" destOrd="0" presId="urn:microsoft.com/office/officeart/2005/8/layout/hProcess9"/>
    <dgm:cxn modelId="{153BBBA1-D363-4ABC-AF29-B9A670A90A10}" type="presParOf" srcId="{C9326CD7-5CC1-46D8-A0BB-4C6EF10A2C8B}" destId="{D66FB4BA-F45C-486D-AFA8-03A64EDAFE0C}" srcOrd="9" destOrd="0" presId="urn:microsoft.com/office/officeart/2005/8/layout/hProcess9"/>
    <dgm:cxn modelId="{6AC5533B-865B-4E1B-8073-0F416D5B24BF}" type="presParOf" srcId="{C9326CD7-5CC1-46D8-A0BB-4C6EF10A2C8B}" destId="{904BD31A-9970-4FD4-B6B4-DEF1ABC9876E}" srcOrd="10" destOrd="0" presId="urn:microsoft.com/office/officeart/2005/8/layout/hProcess9"/>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ABA11846-43DF-467D-BF40-093C020F4A3E}">
      <dsp:nvSpPr>
        <dsp:cNvPr id="3" name="Right Arrow 2"/>
        <dsp:cNvSpPr/>
      </dsp:nvSpPr>
      <dsp:spPr bwMode="white">
        <a:xfrm>
          <a:off x="411480" y="0"/>
          <a:ext cx="4663440" cy="3200400"/>
        </a:xfrm>
        <a:prstGeom prst="rightArrow">
          <a:avLst/>
        </a:prstGeom>
        <a:sp3d z="-152400" extrusionH="63500" prstMaterial="matte">
          <a:bevelT w="144450" h="6350" prst="relaxedInset"/>
          <a:contourClr>
            <a:schemeClr val="bg1"/>
          </a:contourClr>
        </a:sp3d>
      </dsp:spPr>
      <dsp:style>
        <a:lnRef idx="0">
          <a:schemeClr val="dk1"/>
        </a:lnRef>
        <a:fillRef idx="3">
          <a:schemeClr val="accent2">
            <a:tint val="40000"/>
          </a:schemeClr>
        </a:fillRef>
        <a:effectRef idx="0">
          <a:scrgbClr r="0" g="0" b="0"/>
        </a:effectRef>
        <a:fontRef idx="minor"/>
      </dsp:style>
      <dsp:txXfrm>
        <a:off x="411480" y="0"/>
        <a:ext cx="4663440" cy="3200400"/>
      </dsp:txXfrm>
    </dsp:sp>
    <dsp:sp modelId="{D4A2E7C6-E0E5-4CAA-B2E4-47E74AF22D49}">
      <dsp:nvSpPr>
        <dsp:cNvPr id="4" name="Rounded Rectangle 3"/>
        <dsp:cNvSpPr/>
      </dsp:nvSpPr>
      <dsp:spPr bwMode="white">
        <a:xfrm>
          <a:off x="0" y="960120"/>
          <a:ext cx="802888" cy="1280160"/>
        </a:xfrm>
        <a:prstGeom prst="roundRect">
          <a:avLst/>
        </a:prstGeom>
        <a:sp3d prstMaterial="plastic">
          <a:bevelT w="127000" h="25400" prst="relaxedInset"/>
        </a:sp3d>
      </dsp:spPr>
      <dsp:style>
        <a:lnRef idx="0">
          <a:schemeClr val="lt1"/>
        </a:lnRef>
        <a:fillRef idx="3">
          <a:schemeClr val="accent2">
            <a:hueOff val="0"/>
            <a:satOff val="0"/>
            <a:lumOff val="0"/>
            <a:alpha val="100000"/>
          </a:schemeClr>
        </a:fillRef>
        <a:effectRef idx="2">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ysClr val="windowText" lastClr="000000"/>
              </a:solidFill>
              <a:latin typeface="Times New Roman" panose="02020603050405020304" charset="0"/>
              <a:cs typeface="Times New Roman" panose="02020603050405020304" charset="0"/>
            </a:rPr>
            <a:t>Subscribe</a:t>
          </a:r>
          <a:endParaRPr lang="en-US" sz="1200" b="1">
            <a:solidFill>
              <a:sysClr val="windowText" lastClr="000000"/>
            </a:solidFill>
            <a:latin typeface="Times New Roman" panose="02020603050405020304" charset="0"/>
            <a:cs typeface="Times New Roman" panose="02020603050405020304" charset="0"/>
          </a:endParaRPr>
        </a:p>
      </dsp:txBody>
      <dsp:txXfrm>
        <a:off x="0" y="960120"/>
        <a:ext cx="802888" cy="1280160"/>
      </dsp:txXfrm>
    </dsp:sp>
    <dsp:sp modelId="{5398C890-459F-4760-91EB-21406A90AF0F}">
      <dsp:nvSpPr>
        <dsp:cNvPr id="5" name="Rounded Rectangle 4"/>
        <dsp:cNvSpPr/>
      </dsp:nvSpPr>
      <dsp:spPr bwMode="white">
        <a:xfrm>
          <a:off x="936702" y="960120"/>
          <a:ext cx="802888" cy="1280160"/>
        </a:xfrm>
        <a:prstGeom prst="roundRect">
          <a:avLst/>
        </a:prstGeom>
        <a:sp3d prstMaterial="plastic">
          <a:bevelT w="127000" h="25400" prst="relaxedInset"/>
        </a:sp3d>
      </dsp:spPr>
      <dsp:style>
        <a:lnRef idx="0">
          <a:schemeClr val="lt1"/>
        </a:lnRef>
        <a:fillRef idx="3">
          <a:schemeClr val="accent2">
            <a:hueOff val="240000"/>
            <a:satOff val="2667"/>
            <a:lumOff val="-1646"/>
            <a:alpha val="100000"/>
          </a:schemeClr>
        </a:fillRef>
        <a:effectRef idx="2">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ysClr val="windowText" lastClr="000000"/>
              </a:solidFill>
              <a:latin typeface="Times New Roman" panose="02020603050405020304" charset="0"/>
              <a:cs typeface="Times New Roman" panose="02020603050405020304" charset="0"/>
            </a:rPr>
            <a:t>Receive Product </a:t>
          </a:r>
          <a:endParaRPr lang="en-US" sz="1200" b="1">
            <a:solidFill>
              <a:sysClr val="windowText" lastClr="000000"/>
            </a:solidFill>
            <a:latin typeface="Times New Roman" panose="02020603050405020304" charset="0"/>
            <a:cs typeface="Times New Roman" panose="02020603050405020304" charset="0"/>
          </a:endParaRPr>
        </a:p>
      </dsp:txBody>
      <dsp:txXfrm>
        <a:off x="936702" y="960120"/>
        <a:ext cx="802888" cy="1280160"/>
      </dsp:txXfrm>
    </dsp:sp>
    <dsp:sp modelId="{7DF9489B-93E2-48AE-8DFC-FC874FDBFB80}">
      <dsp:nvSpPr>
        <dsp:cNvPr id="6" name="Rounded Rectangle 5"/>
        <dsp:cNvSpPr/>
      </dsp:nvSpPr>
      <dsp:spPr bwMode="white">
        <a:xfrm>
          <a:off x="1873405" y="960120"/>
          <a:ext cx="802888" cy="1280160"/>
        </a:xfrm>
        <a:prstGeom prst="roundRect">
          <a:avLst/>
        </a:prstGeom>
        <a:sp3d prstMaterial="plastic">
          <a:bevelT w="127000" h="25400" prst="relaxedInset"/>
        </a:sp3d>
      </dsp:spPr>
      <dsp:style>
        <a:lnRef idx="0">
          <a:schemeClr val="lt1"/>
        </a:lnRef>
        <a:fillRef idx="3">
          <a:schemeClr val="accent2">
            <a:hueOff val="480000"/>
            <a:satOff val="5333"/>
            <a:lumOff val="-3293"/>
            <a:alpha val="100000"/>
          </a:schemeClr>
        </a:fillRef>
        <a:effectRef idx="2">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ysClr val="windowText" lastClr="000000"/>
              </a:solidFill>
              <a:latin typeface="Times New Roman" panose="02020603050405020304" charset="0"/>
              <a:cs typeface="Times New Roman" panose="02020603050405020304" charset="0"/>
            </a:rPr>
            <a:t>Use Product </a:t>
          </a:r>
          <a:endParaRPr lang="en-US" sz="1200" b="1">
            <a:solidFill>
              <a:sysClr val="windowText" lastClr="000000"/>
            </a:solidFill>
            <a:latin typeface="Times New Roman" panose="02020603050405020304" charset="0"/>
            <a:cs typeface="Times New Roman" panose="02020603050405020304" charset="0"/>
          </a:endParaRPr>
        </a:p>
      </dsp:txBody>
      <dsp:txXfrm>
        <a:off x="1873405" y="960120"/>
        <a:ext cx="802888" cy="1280160"/>
      </dsp:txXfrm>
    </dsp:sp>
    <dsp:sp modelId="{4FA0B4A8-FFFA-4FFB-AE3B-591C60D4107A}">
      <dsp:nvSpPr>
        <dsp:cNvPr id="7" name="Rounded Rectangle 6"/>
        <dsp:cNvSpPr/>
      </dsp:nvSpPr>
      <dsp:spPr bwMode="white">
        <a:xfrm>
          <a:off x="2810107" y="960120"/>
          <a:ext cx="802888" cy="1280160"/>
        </a:xfrm>
        <a:prstGeom prst="roundRect">
          <a:avLst/>
        </a:prstGeom>
        <a:sp3d prstMaterial="plastic">
          <a:bevelT w="127000" h="25400" prst="relaxedInset"/>
        </a:sp3d>
      </dsp:spPr>
      <dsp:style>
        <a:lnRef idx="0">
          <a:schemeClr val="lt1"/>
        </a:lnRef>
        <a:fillRef idx="3">
          <a:schemeClr val="accent2">
            <a:hueOff val="720000"/>
            <a:satOff val="8000"/>
            <a:lumOff val="-4940"/>
            <a:alpha val="100000"/>
          </a:schemeClr>
        </a:fillRef>
        <a:effectRef idx="2">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ysClr val="windowText" lastClr="000000"/>
              </a:solidFill>
              <a:latin typeface="Times New Roman" panose="02020603050405020304" charset="0"/>
              <a:cs typeface="Times New Roman" panose="02020603050405020304" charset="0"/>
            </a:rPr>
            <a:t>Return Product </a:t>
          </a:r>
          <a:endParaRPr lang="en-US" sz="1200" b="1">
            <a:solidFill>
              <a:sysClr val="windowText" lastClr="000000"/>
            </a:solidFill>
            <a:latin typeface="Times New Roman" panose="02020603050405020304" charset="0"/>
            <a:cs typeface="Times New Roman" panose="02020603050405020304" charset="0"/>
          </a:endParaRPr>
        </a:p>
      </dsp:txBody>
      <dsp:txXfrm>
        <a:off x="2810107" y="960120"/>
        <a:ext cx="802888" cy="1280160"/>
      </dsp:txXfrm>
    </dsp:sp>
    <dsp:sp modelId="{EA5C68EB-F9E2-4B6E-B5A1-CFB248D29BAF}">
      <dsp:nvSpPr>
        <dsp:cNvPr id="8" name="Rounded Rectangle 7"/>
        <dsp:cNvSpPr/>
      </dsp:nvSpPr>
      <dsp:spPr bwMode="white">
        <a:xfrm>
          <a:off x="3746810" y="960120"/>
          <a:ext cx="802888" cy="1280160"/>
        </a:xfrm>
        <a:prstGeom prst="roundRect">
          <a:avLst/>
        </a:prstGeom>
        <a:sp3d prstMaterial="plastic">
          <a:bevelT w="127000" h="25400" prst="relaxedInset"/>
        </a:sp3d>
      </dsp:spPr>
      <dsp:style>
        <a:lnRef idx="0">
          <a:schemeClr val="lt1"/>
        </a:lnRef>
        <a:fillRef idx="3">
          <a:schemeClr val="accent2">
            <a:hueOff val="960000"/>
            <a:satOff val="10667"/>
            <a:lumOff val="-6587"/>
            <a:alpha val="100000"/>
          </a:schemeClr>
        </a:fillRef>
        <a:effectRef idx="2">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ysClr val="windowText" lastClr="000000"/>
              </a:solidFill>
              <a:latin typeface="Times New Roman" panose="02020603050405020304" charset="0"/>
              <a:cs typeface="Times New Roman" panose="02020603050405020304" charset="0"/>
            </a:rPr>
            <a:t>Refurbishment</a:t>
          </a:r>
          <a:endParaRPr lang="en-US" sz="1200" b="1">
            <a:solidFill>
              <a:sysClr val="windowText" lastClr="000000"/>
            </a:solidFill>
            <a:latin typeface="Times New Roman" panose="02020603050405020304" charset="0"/>
            <a:cs typeface="Times New Roman" panose="02020603050405020304" charset="0"/>
          </a:endParaRPr>
        </a:p>
      </dsp:txBody>
      <dsp:txXfrm>
        <a:off x="3746810" y="960120"/>
        <a:ext cx="802888" cy="1280160"/>
      </dsp:txXfrm>
    </dsp:sp>
    <dsp:sp modelId="{904BD31A-9970-4FD4-B6B4-DEF1ABC9876E}">
      <dsp:nvSpPr>
        <dsp:cNvPr id="9" name="Rounded Rectangle 8"/>
        <dsp:cNvSpPr/>
      </dsp:nvSpPr>
      <dsp:spPr bwMode="white">
        <a:xfrm>
          <a:off x="4683512" y="960120"/>
          <a:ext cx="802888" cy="1280160"/>
        </a:xfrm>
        <a:prstGeom prst="roundRect">
          <a:avLst/>
        </a:prstGeom>
        <a:sp3d prstMaterial="plastic">
          <a:bevelT w="127000" h="25400" prst="relaxedInset"/>
        </a:sp3d>
      </dsp:spPr>
      <dsp:style>
        <a:lnRef idx="0">
          <a:schemeClr val="lt1"/>
        </a:lnRef>
        <a:fillRef idx="3">
          <a:schemeClr val="accent2">
            <a:hueOff val="1200000"/>
            <a:satOff val="13333"/>
            <a:lumOff val="-8234"/>
            <a:alpha val="100000"/>
          </a:schemeClr>
        </a:fillRef>
        <a:effectRef idx="2">
          <a:scrgbClr r="0" g="0" b="0"/>
        </a:effectRef>
        <a:fontRef idx="minor">
          <a:schemeClr val="lt1"/>
        </a:fontRef>
      </dsp:style>
      <dsp:txBody>
        <a:bodyPr lIns="45719" tIns="45719" rIns="45719" bIns="45719"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200" b="1">
              <a:solidFill>
                <a:sysClr val="windowText" lastClr="000000"/>
              </a:solidFill>
              <a:latin typeface="Times New Roman" panose="02020603050405020304" charset="0"/>
              <a:cs typeface="Times New Roman" panose="02020603050405020304" charset="0"/>
            </a:rPr>
            <a:t>Redistribution.</a:t>
          </a:r>
          <a:endParaRPr lang="en-US" sz="1200" b="1">
            <a:solidFill>
              <a:sysClr val="windowText" lastClr="000000"/>
            </a:solidFill>
            <a:latin typeface="Times New Roman" panose="02020603050405020304" charset="0"/>
            <a:cs typeface="Times New Roman" panose="02020603050405020304" charset="0"/>
          </a:endParaRPr>
        </a:p>
      </dsp:txBody>
      <dsp:txXfrm>
        <a:off x="4683512" y="960120"/>
        <a:ext cx="802888" cy="128016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vertAlign" val="mid"/>
      <dgm:param type="horzAlign" val="ctr"/>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Def>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445</Words>
  <Characters>2816</Characters>
  <Lines>0</Lines>
  <Paragraphs>0</Paragraphs>
  <TotalTime>0</TotalTime>
  <ScaleCrop>false</ScaleCrop>
  <LinksUpToDate>false</LinksUpToDate>
  <CharactersWithSpaces>3269</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2026-06-22T22:17:00Z</dcterms:created>
  <dc:creator>Kirti Patel</dc:creator>
  <cp:lastModifiedBy>Kirti Patel</cp:lastModifiedBy>
  <dcterms:modified xsi:type="dcterms:W3CDTF">2026-07-17T23:11:57Z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028B610277DE42E6BFCFF959A94D6224_11</vt:lpwstr>
  </property>
  <property fmtid="{D5CDD505-2E9C-101B-9397-08002B2CF9AE}" pid="4" name="KSOTemplateDocerSaveRecord">
    <vt:lpwstr>eyJoZGlkIjoiZTUzZTNhZDA5MWQ4OWIyNWEyY2ExYzllMWJmYzBjYTAiLCJ1c2VySWQiOiI1NjcxNzg5OTY0MTkifQ==</vt:lpwstr>
  </property>
</Properties>
</file>