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738BE" w14:textId="77777777" w:rsidR="0098595E" w:rsidRDefault="0098595E" w:rsidP="0098595E">
      <w:pPr>
        <w:spacing w:line="360" w:lineRule="auto"/>
        <w:jc w:val="center"/>
        <w:rPr>
          <w:rFonts w:ascii="Arial" w:hAnsi="Arial"/>
          <w:b/>
          <w:color w:val="1F497D" w:themeColor="text2"/>
          <w:sz w:val="22"/>
          <w:szCs w:val="22"/>
        </w:rPr>
      </w:pPr>
      <w:r w:rsidRPr="0098595E">
        <w:rPr>
          <w:rFonts w:ascii="Arial" w:hAnsi="Arial"/>
          <w:b/>
          <w:color w:val="1F497D" w:themeColor="text2"/>
          <w:sz w:val="22"/>
          <w:szCs w:val="22"/>
        </w:rPr>
        <w:t>Issues of Iconoclasm</w:t>
      </w:r>
    </w:p>
    <w:p w14:paraId="19B8B402" w14:textId="77777777" w:rsidR="0098595E" w:rsidRPr="0098595E" w:rsidRDefault="0098595E" w:rsidP="0098595E">
      <w:pPr>
        <w:spacing w:line="360" w:lineRule="auto"/>
        <w:jc w:val="center"/>
        <w:rPr>
          <w:rFonts w:ascii="Arial" w:hAnsi="Arial"/>
          <w:b/>
          <w:color w:val="1F497D" w:themeColor="text2"/>
          <w:sz w:val="22"/>
          <w:szCs w:val="22"/>
        </w:rPr>
      </w:pPr>
      <w:r>
        <w:rPr>
          <w:rFonts w:ascii="Arial" w:hAnsi="Arial"/>
          <w:b/>
          <w:color w:val="1F497D" w:themeColor="text2"/>
          <w:sz w:val="22"/>
          <w:szCs w:val="22"/>
        </w:rPr>
        <w:t>(from: Martin O’Kane, The Artist as Biblical Interpreter.)</w:t>
      </w:r>
    </w:p>
    <w:p w14:paraId="5DDE622E" w14:textId="77777777" w:rsidR="0098595E" w:rsidRDefault="0098595E" w:rsidP="0098595E">
      <w:pPr>
        <w:spacing w:line="360" w:lineRule="auto"/>
        <w:jc w:val="both"/>
        <w:rPr>
          <w:rFonts w:ascii="Arial" w:hAnsi="Arial"/>
          <w:sz w:val="22"/>
          <w:szCs w:val="22"/>
        </w:rPr>
      </w:pPr>
    </w:p>
    <w:p w14:paraId="3769540E" w14:textId="77777777" w:rsidR="0098595E" w:rsidRPr="00BC3058" w:rsidRDefault="0098595E" w:rsidP="0098595E">
      <w:pPr>
        <w:spacing w:line="360" w:lineRule="auto"/>
        <w:jc w:val="both"/>
        <w:rPr>
          <w:rFonts w:ascii="Arial" w:hAnsi="Arial"/>
          <w:sz w:val="22"/>
          <w:szCs w:val="22"/>
        </w:rPr>
      </w:pPr>
      <w:r w:rsidRPr="00BC3058">
        <w:rPr>
          <w:rFonts w:ascii="Arial" w:hAnsi="Arial"/>
          <w:sz w:val="22"/>
          <w:szCs w:val="22"/>
        </w:rPr>
        <w:t>Given the ambiguity we encounter in biblical literature in relation to visuality, it is not surprising that attempts were made to provide clarification at important junctures in the history of interpretation (particularly during the Council of Nicaea, the Reformation and Counter-Reformation) since the illiterate faithful in effect relied on the visual to understand and appreciate the significance of biblical stories.</w:t>
      </w:r>
      <w:r w:rsidRPr="00BC3058">
        <w:rPr>
          <w:rStyle w:val="FootnoteReference"/>
          <w:rFonts w:ascii="Arial" w:hAnsi="Arial"/>
          <w:sz w:val="22"/>
          <w:szCs w:val="22"/>
        </w:rPr>
        <w:footnoteReference w:id="1"/>
      </w:r>
      <w:r w:rsidRPr="00BC3058">
        <w:rPr>
          <w:rFonts w:ascii="Arial" w:hAnsi="Arial"/>
          <w:sz w:val="22"/>
          <w:szCs w:val="22"/>
        </w:rPr>
        <w:t xml:space="preserve">  The fear that any ambiguity regarding the place and role of images could lead to idolatry or moral corruption developed into a desire to control the way the faithful ‘saw’ the Bible. But from our standpoint today, what is surprising is that the arguments for or against the use of images should have centred around the interpretation of a relatively small number of biblical texts and indeed some that we might today consider quite obscure.  We must keep in mind, however, that since the aim was to ensure that a largely illiterate faithful did not mistake the power of the images for the power of God himself, the biblical texts to support this aim were chosen for doctrinal reasons: the dangers of the allurement of visual images had to be refuted on very specific grounds and so very specific texts had to be identified in support of the argument.</w:t>
      </w:r>
    </w:p>
    <w:p w14:paraId="5ECA72A7" w14:textId="77777777" w:rsidR="0098595E" w:rsidRPr="00BC3058" w:rsidRDefault="0098595E" w:rsidP="0098595E">
      <w:pPr>
        <w:spacing w:line="360" w:lineRule="auto"/>
        <w:rPr>
          <w:rFonts w:ascii="Arial" w:hAnsi="Arial"/>
          <w:sz w:val="22"/>
          <w:szCs w:val="22"/>
        </w:rPr>
      </w:pPr>
    </w:p>
    <w:p w14:paraId="179D5B25" w14:textId="77777777" w:rsidR="0098595E" w:rsidRPr="00BC3058" w:rsidRDefault="0098595E" w:rsidP="0098595E">
      <w:pPr>
        <w:pStyle w:val="BodyText"/>
        <w:spacing w:line="360" w:lineRule="auto"/>
        <w:rPr>
          <w:sz w:val="22"/>
          <w:szCs w:val="22"/>
        </w:rPr>
      </w:pPr>
      <w:r w:rsidRPr="00BC3058">
        <w:rPr>
          <w:sz w:val="22"/>
          <w:szCs w:val="22"/>
        </w:rPr>
        <w:t>There is no doubt that the Hebrew Bible cannot be more uncompromising in its condemnation of crafting idols or likenesses. It is forbidden to make an image or likeness of a being of any kind (Ex. 20:4)</w:t>
      </w:r>
      <w:r w:rsidRPr="00BC3058">
        <w:rPr>
          <w:rStyle w:val="FootnoteReference"/>
          <w:sz w:val="22"/>
          <w:szCs w:val="22"/>
        </w:rPr>
        <w:footnoteReference w:id="2"/>
      </w:r>
      <w:r w:rsidRPr="00BC3058">
        <w:rPr>
          <w:sz w:val="22"/>
          <w:szCs w:val="22"/>
        </w:rPr>
        <w:t xml:space="preserve"> and several texts concerning the worship of idols roundly condemn any such practice:  the incident of the golden calf in Exodus 32-33, Jeroboam’s two calves of gold in 1 Kgs. 12:28ff, Micah’s molten image in Judges 17-18 and the destruction of images especially those of the goddess Asherah in 2 Kings 23. In addition, since the Israelites did not see God’s form at Sinai but only heard his voice  (Deut. 4:12-31), so the argument goes, no-one should ever presume to make any likeness of him for, if he were to be revealed, imagined or visualized, he could be controlled and manipulated. It was precisely in relation to these texts that several Church Fathers argued that the use of any visual image illustrating biblical </w:t>
      </w:r>
      <w:r w:rsidRPr="00BC3058">
        <w:rPr>
          <w:sz w:val="22"/>
          <w:szCs w:val="22"/>
        </w:rPr>
        <w:lastRenderedPageBreak/>
        <w:t>characters or scenes should be banned.</w:t>
      </w:r>
      <w:r w:rsidRPr="00BC3058">
        <w:rPr>
          <w:rStyle w:val="FootnoteReference"/>
          <w:sz w:val="22"/>
          <w:szCs w:val="22"/>
        </w:rPr>
        <w:footnoteReference w:id="3"/>
      </w:r>
      <w:r w:rsidRPr="00BC3058">
        <w:rPr>
          <w:sz w:val="22"/>
          <w:szCs w:val="22"/>
        </w:rPr>
        <w:t xml:space="preserve">  Those defending the use of images had a weaker argument: for example, they appealed to instances where God had commanded images to be made for inclusion in the furniture of worship or as part of the </w:t>
      </w:r>
      <w:smartTag w:uri="urn:schemas-microsoft-com:office:smarttags" w:element="place">
        <w:smartTag w:uri="urn:schemas-microsoft-com:office:smarttags" w:element="City">
          <w:r w:rsidRPr="00BC3058">
            <w:rPr>
              <w:sz w:val="22"/>
              <w:szCs w:val="22"/>
            </w:rPr>
            <w:t>Temple</w:t>
          </w:r>
        </w:smartTag>
      </w:smartTag>
      <w:r w:rsidRPr="00BC3058">
        <w:rPr>
          <w:sz w:val="22"/>
          <w:szCs w:val="22"/>
        </w:rPr>
        <w:t xml:space="preserve"> (Exodus 25,  Ezekiel 41). </w:t>
      </w:r>
    </w:p>
    <w:p w14:paraId="0ABE5231" w14:textId="77777777" w:rsidR="0098595E" w:rsidRPr="00BC3058" w:rsidRDefault="0098595E" w:rsidP="0098595E">
      <w:pPr>
        <w:pStyle w:val="BodyText"/>
        <w:spacing w:line="360" w:lineRule="auto"/>
        <w:rPr>
          <w:sz w:val="22"/>
          <w:szCs w:val="22"/>
        </w:rPr>
      </w:pPr>
    </w:p>
    <w:p w14:paraId="4263DAAC" w14:textId="77777777" w:rsidR="0098595E" w:rsidRPr="00BC3058" w:rsidRDefault="0098595E" w:rsidP="0098595E">
      <w:pPr>
        <w:pStyle w:val="BodyText"/>
        <w:spacing w:line="360" w:lineRule="auto"/>
        <w:rPr>
          <w:sz w:val="22"/>
          <w:szCs w:val="22"/>
        </w:rPr>
      </w:pPr>
      <w:r w:rsidRPr="00BC3058">
        <w:rPr>
          <w:sz w:val="22"/>
          <w:szCs w:val="22"/>
        </w:rPr>
        <w:t>David Brown argues forcefully that the New Testament provides no qualification or clarification whatsoever of the harsh attitudes towards the proscription of images in the Hebrew Bible.</w:t>
      </w:r>
      <w:r w:rsidRPr="00BC3058">
        <w:rPr>
          <w:rStyle w:val="FootnoteReference"/>
          <w:sz w:val="22"/>
          <w:szCs w:val="22"/>
        </w:rPr>
        <w:footnoteReference w:id="4"/>
      </w:r>
      <w:r w:rsidRPr="00BC3058">
        <w:rPr>
          <w:sz w:val="22"/>
          <w:szCs w:val="22"/>
        </w:rPr>
        <w:t xml:space="preserve">  It is only the Incarnation, God-made-visible, that really allows a rationale for art, he argues, and it is only from the Church’s later history that a critique could be thrown back upon scriptural assumptions through a refocussed understanding of the full implications of the Incarnation:</w:t>
      </w:r>
    </w:p>
    <w:p w14:paraId="0BC8CD28" w14:textId="77777777" w:rsidR="0098595E" w:rsidRPr="00BC3058" w:rsidRDefault="0098595E" w:rsidP="0098595E">
      <w:pPr>
        <w:pStyle w:val="BodyText2"/>
        <w:spacing w:line="360" w:lineRule="auto"/>
        <w:rPr>
          <w:sz w:val="22"/>
          <w:szCs w:val="22"/>
        </w:rPr>
      </w:pPr>
    </w:p>
    <w:p w14:paraId="317334C0" w14:textId="77777777" w:rsidR="0098595E" w:rsidRDefault="0098595E" w:rsidP="0098595E">
      <w:pPr>
        <w:pStyle w:val="BodyText2"/>
        <w:spacing w:line="360" w:lineRule="auto"/>
        <w:jc w:val="both"/>
        <w:rPr>
          <w:sz w:val="20"/>
        </w:rPr>
      </w:pPr>
      <w:r>
        <w:rPr>
          <w:sz w:val="20"/>
        </w:rPr>
        <w:t>The ancient priority of hearing in biblical thought …had now been forced to yield to the priority of seeing as a consequence of the Incarnation…as Word, God was still there to be heard and obeyed…but as Light, he was now there to be seen as well – and therefore to be visualised.</w:t>
      </w:r>
      <w:r>
        <w:rPr>
          <w:rStyle w:val="FootnoteReference"/>
        </w:rPr>
        <w:footnoteReference w:id="5"/>
      </w:r>
      <w:r>
        <w:rPr>
          <w:sz w:val="20"/>
        </w:rPr>
        <w:t xml:space="preserve">  </w:t>
      </w:r>
    </w:p>
    <w:p w14:paraId="2BBB6C96" w14:textId="77777777" w:rsidR="0098595E" w:rsidRDefault="0098595E" w:rsidP="0098595E">
      <w:pPr>
        <w:spacing w:line="360" w:lineRule="auto"/>
        <w:jc w:val="both"/>
        <w:rPr>
          <w:rFonts w:ascii="Arial" w:hAnsi="Arial"/>
        </w:rPr>
      </w:pPr>
    </w:p>
    <w:p w14:paraId="5041913B" w14:textId="77777777" w:rsidR="0098595E" w:rsidRPr="00BC3058" w:rsidRDefault="0098595E" w:rsidP="0098595E">
      <w:pPr>
        <w:pStyle w:val="BodyText"/>
        <w:spacing w:line="360" w:lineRule="auto"/>
        <w:rPr>
          <w:sz w:val="22"/>
          <w:szCs w:val="22"/>
        </w:rPr>
      </w:pPr>
      <w:r w:rsidRPr="00BC3058">
        <w:rPr>
          <w:sz w:val="22"/>
          <w:szCs w:val="22"/>
        </w:rPr>
        <w:t>This was precisely the argument used at the Council of Nicaea. As an extension of the principle of the Incarnation, it was declared, the function of visual images was merely to call up memories of their archetypes and so the honour paid to an image is in reality directed to the person it depicts and therefore can be a source of instruction and edification. (In the 13</w:t>
      </w:r>
      <w:r w:rsidRPr="00BC3058">
        <w:rPr>
          <w:sz w:val="22"/>
          <w:szCs w:val="22"/>
          <w:vertAlign w:val="superscript"/>
        </w:rPr>
        <w:t>th</w:t>
      </w:r>
      <w:r w:rsidRPr="00BC3058">
        <w:rPr>
          <w:sz w:val="22"/>
          <w:szCs w:val="22"/>
        </w:rPr>
        <w:t xml:space="preserve"> century, Thomas Aquinas was to defend the use of visual images in a similar way based on the Pauline relation of things seen to things unseen in Rom 1:20). The Council appealed specifically to texts relating to the function of the cherubim (Num. 7:89, Ezek. 10:16-20 and Heb. 9:1-5) but particularly Ex. 25:17-22 that describes in detail the crafting of the two cherubim of gold.</w:t>
      </w:r>
      <w:r w:rsidRPr="00BC3058">
        <w:rPr>
          <w:rStyle w:val="FootnoteReference"/>
          <w:sz w:val="22"/>
          <w:szCs w:val="22"/>
        </w:rPr>
        <w:footnoteReference w:id="6"/>
      </w:r>
      <w:r w:rsidRPr="00BC3058">
        <w:rPr>
          <w:sz w:val="22"/>
          <w:szCs w:val="22"/>
        </w:rPr>
        <w:t xml:space="preserve">  But Calvin was later to use the same texts to argue that the function of the cherubim was </w:t>
      </w:r>
      <w:r w:rsidRPr="00BC3058">
        <w:rPr>
          <w:i/>
          <w:sz w:val="22"/>
          <w:szCs w:val="22"/>
        </w:rPr>
        <w:t>to conceal</w:t>
      </w:r>
      <w:r w:rsidRPr="00BC3058">
        <w:rPr>
          <w:sz w:val="22"/>
          <w:szCs w:val="22"/>
        </w:rPr>
        <w:t xml:space="preserve"> the mercy seat with their wings and therefore to protect and maintain the essential incomprehensibility and invisibility of God.  Indeed, his suspicion of the visual led him to claim ‘We may infer [from Scripture] that the human mind is, so to speak, a perpetual forger of idols’ (Inst. 1.11.8). He did make a distinction, however, as to which parts of the Bible might rightfully be represented visually:</w:t>
      </w:r>
    </w:p>
    <w:p w14:paraId="7E6D5CFF" w14:textId="77777777" w:rsidR="0098595E" w:rsidRPr="00BC3058" w:rsidRDefault="0098595E" w:rsidP="0098595E">
      <w:pPr>
        <w:spacing w:line="360" w:lineRule="auto"/>
        <w:rPr>
          <w:rFonts w:ascii="Arial" w:hAnsi="Arial"/>
          <w:sz w:val="22"/>
          <w:szCs w:val="22"/>
        </w:rPr>
      </w:pPr>
    </w:p>
    <w:p w14:paraId="4495974D" w14:textId="77777777" w:rsidR="0098595E" w:rsidRDefault="0098595E" w:rsidP="0098595E">
      <w:pPr>
        <w:pStyle w:val="BodyText3"/>
        <w:spacing w:line="360" w:lineRule="auto"/>
        <w:rPr>
          <w:sz w:val="20"/>
        </w:rPr>
      </w:pPr>
      <w:r>
        <w:rPr>
          <w:sz w:val="20"/>
        </w:rPr>
        <w:lastRenderedPageBreak/>
        <w:t xml:space="preserve"> Both sculpture and paintings are gifts from God … to be used purely and lawfully. It is unlawful to give a visible shape to God because he has forbidden it…the only things to be painted or sculptured are things which can be presented to the eye; the majesty of God which is beyond the reach of any eye must not be dishonoured by unbecoming representations.  Visible representations are of two classes: historical which give a representation of events and pictorial which merely exhibit bodily shapes and figures. The first are of some use for instruction but the second are only fitted for amusement’ (Inst. 1.11.12).</w:t>
      </w:r>
      <w:r>
        <w:rPr>
          <w:rStyle w:val="FootnoteReference"/>
        </w:rPr>
        <w:footnoteReference w:id="7"/>
      </w:r>
      <w:r>
        <w:rPr>
          <w:sz w:val="20"/>
        </w:rPr>
        <w:t xml:space="preserve"> </w:t>
      </w:r>
    </w:p>
    <w:p w14:paraId="39DA37C5" w14:textId="77777777" w:rsidR="0098595E" w:rsidRPr="00BC3058" w:rsidRDefault="0098595E" w:rsidP="0098595E">
      <w:pPr>
        <w:spacing w:line="360" w:lineRule="auto"/>
        <w:rPr>
          <w:rFonts w:ascii="Arial" w:hAnsi="Arial"/>
          <w:sz w:val="22"/>
          <w:szCs w:val="22"/>
        </w:rPr>
      </w:pPr>
    </w:p>
    <w:p w14:paraId="039A4F65" w14:textId="77777777" w:rsidR="0098595E" w:rsidRPr="00BC3058" w:rsidRDefault="0098595E" w:rsidP="0098595E">
      <w:pPr>
        <w:pStyle w:val="BodyText"/>
        <w:spacing w:line="360" w:lineRule="auto"/>
        <w:rPr>
          <w:sz w:val="22"/>
          <w:szCs w:val="22"/>
        </w:rPr>
      </w:pPr>
      <w:r w:rsidRPr="00BC3058">
        <w:rPr>
          <w:sz w:val="22"/>
          <w:szCs w:val="22"/>
        </w:rPr>
        <w:t>Old Testament narrative, Calvin concluded, is more appropriate for visual representation than any scenes from the New Testament that included Christ.</w:t>
      </w:r>
      <w:r w:rsidRPr="00BC3058">
        <w:rPr>
          <w:rStyle w:val="FootnoteReference"/>
          <w:sz w:val="22"/>
          <w:szCs w:val="22"/>
        </w:rPr>
        <w:footnoteReference w:id="8"/>
      </w:r>
    </w:p>
    <w:p w14:paraId="51E48C77" w14:textId="77777777" w:rsidR="0098595E" w:rsidRPr="00BC3058" w:rsidRDefault="0098595E" w:rsidP="0098595E">
      <w:pPr>
        <w:spacing w:line="360" w:lineRule="auto"/>
        <w:rPr>
          <w:rFonts w:ascii="Arial" w:hAnsi="Arial"/>
          <w:sz w:val="22"/>
          <w:szCs w:val="22"/>
        </w:rPr>
      </w:pPr>
    </w:p>
    <w:p w14:paraId="47ED829A" w14:textId="77777777" w:rsidR="00332A1E" w:rsidRDefault="0098595E" w:rsidP="0098595E">
      <w:pPr>
        <w:spacing w:line="360" w:lineRule="auto"/>
        <w:jc w:val="both"/>
      </w:pPr>
      <w:r w:rsidRPr="00BC3058">
        <w:rPr>
          <w:rFonts w:ascii="Arial" w:hAnsi="Arial" w:cs="Arial"/>
          <w:sz w:val="22"/>
          <w:szCs w:val="22"/>
        </w:rPr>
        <w:t>The extent and intensity of the so-called iconoclastic debate illustrate the legacy of ambiguity and suspicion of the visual we are left with,  not only from biblical literature itself but also from the entire history of interpretation; but what is different today, however, given the popularity and range of literary (as opposed to doctrinal) approaches, is that the questions raised by the Bible’s ambiguities regarding the visual are first and foremost of a literary nature. We no longer focus on specific isolated texts to support a doctrinal stance but are more concerned with larger units of narrative or poetry that offer us a more subtle and nuanced understanding of how biblical authors use visual language. We also take into consideration the reader’s personal engagement in and reaction to the narrative rather than its doctrinal implications.  As Calvino points out, the idea that the God of Moses does not tolerate being represented in images never seems to have occurred to Ignatius of Loyola. On the contrary, he claimed for every believer the grandiose visionary gifts of a Dante or a Michelangelo, the ability to create a picture even from some of the most laconic of biblical verses. But while contemporary literary approaches point us in the right direction, we must extend their boundaries to include the role of the reader’s imagination in reading biblical stories, the reader’s imagistic consciousness. Calvino argues that we live in an age when ‘literature no longer refers back to an authority or tradition as its origin or goal but aims at novelty, originality and invention.’</w:t>
      </w:r>
      <w:r w:rsidRPr="00BC3058">
        <w:rPr>
          <w:rStyle w:val="FootnoteReference"/>
          <w:rFonts w:ascii="Arial" w:hAnsi="Arial" w:cs="Arial"/>
          <w:sz w:val="22"/>
          <w:szCs w:val="22"/>
        </w:rPr>
        <w:footnoteReference w:id="9"/>
      </w:r>
      <w:r w:rsidRPr="00BC3058">
        <w:rPr>
          <w:rFonts w:ascii="Arial" w:hAnsi="Arial" w:cs="Arial"/>
          <w:sz w:val="22"/>
          <w:szCs w:val="22"/>
        </w:rPr>
        <w:t xml:space="preserve"> Following Calvino and in relation to visibility in the Bible, what is important for contemporary scholarship is not the doctrinal debates of the past but how we use the visual (in ways similar to literary </w:t>
      </w:r>
      <w:r w:rsidRPr="00BC3058">
        <w:rPr>
          <w:rFonts w:ascii="Arial" w:hAnsi="Arial" w:cs="Arial"/>
          <w:sz w:val="22"/>
          <w:szCs w:val="22"/>
        </w:rPr>
        <w:lastRenderedPageBreak/>
        <w:t xml:space="preserve">approaches) as a way of bringing out the new and unexpected, the hidden and the silenced in the text. </w:t>
      </w:r>
    </w:p>
    <w:sectPr w:rsidR="00332A1E" w:rsidSect="00332A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C2AC0" w14:textId="77777777" w:rsidR="00332953" w:rsidRDefault="00332953" w:rsidP="0098595E">
      <w:r>
        <w:separator/>
      </w:r>
    </w:p>
  </w:endnote>
  <w:endnote w:type="continuationSeparator" w:id="0">
    <w:p w14:paraId="4EF451AB" w14:textId="77777777" w:rsidR="00332953" w:rsidRDefault="00332953" w:rsidP="00985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03877" w14:textId="77777777" w:rsidR="00332953" w:rsidRDefault="00332953" w:rsidP="0098595E">
      <w:r>
        <w:separator/>
      </w:r>
    </w:p>
  </w:footnote>
  <w:footnote w:type="continuationSeparator" w:id="0">
    <w:p w14:paraId="68B0E387" w14:textId="77777777" w:rsidR="00332953" w:rsidRDefault="00332953" w:rsidP="0098595E">
      <w:r>
        <w:continuationSeparator/>
      </w:r>
    </w:p>
  </w:footnote>
  <w:footnote w:id="1">
    <w:p w14:paraId="695F8B6A" w14:textId="77777777" w:rsidR="0098595E" w:rsidRPr="0070071F" w:rsidRDefault="0098595E" w:rsidP="0098595E">
      <w:pPr>
        <w:pStyle w:val="FootnoteText"/>
        <w:spacing w:line="360" w:lineRule="auto"/>
        <w:jc w:val="both"/>
        <w:rPr>
          <w:rFonts w:ascii="Arial" w:hAnsi="Arial" w:cs="Arial"/>
        </w:rPr>
      </w:pPr>
      <w:r>
        <w:rPr>
          <w:rStyle w:val="FootnoteReference"/>
        </w:rPr>
        <w:footnoteRef/>
      </w:r>
      <w:r>
        <w:t xml:space="preserve"> </w:t>
      </w:r>
      <w:r w:rsidRPr="0070071F">
        <w:rPr>
          <w:rFonts w:ascii="Arial" w:hAnsi="Arial" w:cs="Arial"/>
        </w:rPr>
        <w:t>For</w:t>
      </w:r>
      <w:r>
        <w:rPr>
          <w:rFonts w:ascii="Arial" w:hAnsi="Arial" w:cs="Arial"/>
        </w:rPr>
        <w:t xml:space="preserve"> a </w:t>
      </w:r>
      <w:r w:rsidRPr="0070071F">
        <w:rPr>
          <w:rFonts w:ascii="Arial" w:hAnsi="Arial" w:cs="Arial"/>
        </w:rPr>
        <w:t xml:space="preserve">discussion, see Charles Barber, </w:t>
      </w:r>
      <w:r w:rsidRPr="0070071F">
        <w:rPr>
          <w:rFonts w:ascii="Arial" w:hAnsi="Arial" w:cs="Arial"/>
          <w:i/>
        </w:rPr>
        <w:t>Figure and Likeness: On the Limits of Representation in Byzantine Iconoclasm</w:t>
      </w:r>
      <w:r w:rsidRPr="0070071F">
        <w:rPr>
          <w:rFonts w:ascii="Arial" w:hAnsi="Arial" w:cs="Arial"/>
        </w:rPr>
        <w:t xml:space="preserve"> (Princeton: Princeton University Press, 2002), </w:t>
      </w:r>
      <w:r>
        <w:rPr>
          <w:rFonts w:ascii="Arial" w:hAnsi="Arial" w:cs="Arial"/>
        </w:rPr>
        <w:t xml:space="preserve">especially ‘Word and Image’, pp. 125-137 and </w:t>
      </w:r>
      <w:r w:rsidRPr="0070071F">
        <w:rPr>
          <w:rFonts w:ascii="Arial" w:hAnsi="Arial" w:cs="Arial"/>
        </w:rPr>
        <w:t xml:space="preserve"> David Morgan, </w:t>
      </w:r>
      <w:r w:rsidRPr="0070071F">
        <w:rPr>
          <w:rFonts w:ascii="Arial" w:hAnsi="Arial" w:cs="Arial"/>
          <w:i/>
        </w:rPr>
        <w:t>The Sacred Gaze: Religious Visual Culture in Theory and Practice</w:t>
      </w:r>
      <w:r w:rsidRPr="0070071F">
        <w:rPr>
          <w:rFonts w:ascii="Arial" w:hAnsi="Arial" w:cs="Arial"/>
        </w:rPr>
        <w:t xml:space="preserve"> (</w:t>
      </w:r>
      <w:smartTag w:uri="urn:schemas-microsoft-com:office:smarttags" w:element="City">
        <w:r w:rsidRPr="0070071F">
          <w:rPr>
            <w:rFonts w:ascii="Arial" w:hAnsi="Arial" w:cs="Arial"/>
          </w:rPr>
          <w:t>Berkeley</w:t>
        </w:r>
      </w:smartTag>
      <w:r w:rsidRPr="0070071F">
        <w:rPr>
          <w:rFonts w:ascii="Arial" w:hAnsi="Arial" w:cs="Arial"/>
        </w:rPr>
        <w:t xml:space="preserve">: </w:t>
      </w:r>
      <w:smartTag w:uri="urn:schemas-microsoft-com:office:smarttags" w:element="place">
        <w:smartTag w:uri="urn:schemas-microsoft-com:office:smarttags" w:element="PlaceType">
          <w:r w:rsidRPr="0070071F">
            <w:rPr>
              <w:rFonts w:ascii="Arial" w:hAnsi="Arial" w:cs="Arial"/>
            </w:rPr>
            <w:t>University</w:t>
          </w:r>
        </w:smartTag>
        <w:r w:rsidRPr="0070071F">
          <w:rPr>
            <w:rFonts w:ascii="Arial" w:hAnsi="Arial" w:cs="Arial"/>
          </w:rPr>
          <w:t xml:space="preserve"> of </w:t>
        </w:r>
        <w:smartTag w:uri="urn:schemas-microsoft-com:office:smarttags" w:element="PlaceName">
          <w:r w:rsidRPr="0070071F">
            <w:rPr>
              <w:rFonts w:ascii="Arial" w:hAnsi="Arial" w:cs="Arial"/>
            </w:rPr>
            <w:t>California Press</w:t>
          </w:r>
        </w:smartTag>
      </w:smartTag>
      <w:r w:rsidRPr="0070071F">
        <w:rPr>
          <w:rFonts w:ascii="Arial" w:hAnsi="Arial" w:cs="Arial"/>
        </w:rPr>
        <w:t xml:space="preserve">, 2005), pp. </w:t>
      </w:r>
      <w:r>
        <w:rPr>
          <w:rFonts w:ascii="Arial" w:hAnsi="Arial" w:cs="Arial"/>
        </w:rPr>
        <w:t xml:space="preserve"> </w:t>
      </w:r>
      <w:r w:rsidRPr="0070071F">
        <w:rPr>
          <w:rFonts w:ascii="Arial" w:hAnsi="Arial" w:cs="Arial"/>
        </w:rPr>
        <w:t>141-146.</w:t>
      </w:r>
    </w:p>
  </w:footnote>
  <w:footnote w:id="2">
    <w:p w14:paraId="11744E4F" w14:textId="77777777" w:rsidR="0098595E" w:rsidRPr="00002217" w:rsidRDefault="0098595E" w:rsidP="0098595E">
      <w:pPr>
        <w:tabs>
          <w:tab w:val="left" w:pos="4140"/>
        </w:tabs>
        <w:spacing w:line="360" w:lineRule="auto"/>
        <w:jc w:val="both"/>
        <w:rPr>
          <w:rFonts w:ascii="Arial" w:hAnsi="Arial" w:cs="Arial"/>
        </w:rPr>
      </w:pPr>
      <w:r>
        <w:rPr>
          <w:rStyle w:val="FootnoteReference"/>
        </w:rPr>
        <w:footnoteRef/>
      </w:r>
      <w:r>
        <w:t xml:space="preserve"> </w:t>
      </w:r>
      <w:r>
        <w:rPr>
          <w:rFonts w:ascii="Arial" w:hAnsi="Arial" w:cs="Arial"/>
        </w:rPr>
        <w:t xml:space="preserve">As David Brown points out, </w:t>
      </w:r>
      <w:r w:rsidRPr="00002217">
        <w:rPr>
          <w:rFonts w:ascii="Arial" w:hAnsi="Arial" w:cs="Arial"/>
          <w:i/>
        </w:rPr>
        <w:t>Tradition and Imagination</w:t>
      </w:r>
      <w:r w:rsidRPr="00002217">
        <w:rPr>
          <w:rFonts w:ascii="Arial" w:hAnsi="Arial" w:cs="Arial"/>
        </w:rPr>
        <w:t xml:space="preserve"> (Oxford: Oxford </w:t>
      </w:r>
      <w:r>
        <w:rPr>
          <w:rFonts w:ascii="Arial" w:hAnsi="Arial" w:cs="Arial"/>
        </w:rPr>
        <w:t>University Press, 1999), p. 340</w:t>
      </w:r>
      <w:r w:rsidRPr="00002217">
        <w:rPr>
          <w:rFonts w:ascii="Arial" w:hAnsi="Arial" w:cs="Arial"/>
        </w:rPr>
        <w:t xml:space="preserve">, Jerome’s translation in the Vulgate, </w:t>
      </w:r>
      <w:proofErr w:type="spellStart"/>
      <w:r>
        <w:rPr>
          <w:rFonts w:ascii="Arial" w:hAnsi="Arial" w:cs="Arial"/>
          <w:i/>
        </w:rPr>
        <w:t>non facies</w:t>
      </w:r>
      <w:proofErr w:type="spellEnd"/>
      <w:r>
        <w:rPr>
          <w:rFonts w:ascii="Arial" w:hAnsi="Arial" w:cs="Arial"/>
          <w:i/>
        </w:rPr>
        <w:t xml:space="preserve"> </w:t>
      </w:r>
      <w:proofErr w:type="spellStart"/>
      <w:r>
        <w:rPr>
          <w:rFonts w:ascii="Arial" w:hAnsi="Arial" w:cs="Arial"/>
          <w:i/>
        </w:rPr>
        <w:t>tibi</w:t>
      </w:r>
      <w:proofErr w:type="spellEnd"/>
      <w:r>
        <w:rPr>
          <w:rFonts w:ascii="Arial" w:hAnsi="Arial" w:cs="Arial"/>
          <w:i/>
        </w:rPr>
        <w:t xml:space="preserve"> </w:t>
      </w:r>
      <w:proofErr w:type="spellStart"/>
      <w:r>
        <w:rPr>
          <w:rFonts w:ascii="Arial" w:hAnsi="Arial" w:cs="Arial"/>
          <w:i/>
        </w:rPr>
        <w:t>sculptile</w:t>
      </w:r>
      <w:proofErr w:type="spellEnd"/>
      <w:r>
        <w:rPr>
          <w:rFonts w:ascii="Arial" w:hAnsi="Arial" w:cs="Arial"/>
          <w:i/>
        </w:rPr>
        <w:t>,</w:t>
      </w:r>
      <w:r w:rsidRPr="00002217">
        <w:rPr>
          <w:rFonts w:ascii="Arial" w:hAnsi="Arial" w:cs="Arial"/>
          <w:i/>
        </w:rPr>
        <w:t xml:space="preserve"> </w:t>
      </w:r>
      <w:r w:rsidRPr="00002217">
        <w:rPr>
          <w:rFonts w:ascii="Arial" w:hAnsi="Arial" w:cs="Arial"/>
        </w:rPr>
        <w:t xml:space="preserve">makes the prohibition even more stark. </w:t>
      </w:r>
    </w:p>
  </w:footnote>
  <w:footnote w:id="3">
    <w:p w14:paraId="35ECD649" w14:textId="77777777" w:rsidR="0098595E" w:rsidRPr="00002217" w:rsidRDefault="0098595E" w:rsidP="0098595E">
      <w:pPr>
        <w:pStyle w:val="BodyText"/>
        <w:spacing w:line="360" w:lineRule="auto"/>
        <w:rPr>
          <w:rFonts w:cs="Arial"/>
        </w:rPr>
      </w:pPr>
      <w:r w:rsidRPr="00002217">
        <w:rPr>
          <w:rStyle w:val="FootnoteReference"/>
          <w:rFonts w:cs="Arial"/>
        </w:rPr>
        <w:footnoteRef/>
      </w:r>
      <w:r w:rsidRPr="00002217">
        <w:rPr>
          <w:rFonts w:cs="Arial"/>
          <w:sz w:val="20"/>
        </w:rPr>
        <w:t xml:space="preserve"> For example, Origen</w:t>
      </w:r>
      <w:r>
        <w:rPr>
          <w:rFonts w:cs="Arial"/>
          <w:sz w:val="20"/>
        </w:rPr>
        <w:t>,</w:t>
      </w:r>
      <w:r w:rsidRPr="00002217">
        <w:rPr>
          <w:rFonts w:cs="Arial"/>
          <w:sz w:val="20"/>
        </w:rPr>
        <w:t xml:space="preserve"> </w:t>
      </w:r>
      <w:r w:rsidRPr="00002217">
        <w:rPr>
          <w:rFonts w:cs="Arial"/>
          <w:i/>
          <w:sz w:val="20"/>
        </w:rPr>
        <w:t xml:space="preserve">Contra </w:t>
      </w:r>
      <w:proofErr w:type="spellStart"/>
      <w:r w:rsidRPr="00002217">
        <w:rPr>
          <w:rFonts w:cs="Arial"/>
          <w:i/>
          <w:sz w:val="20"/>
        </w:rPr>
        <w:t>Celsum</w:t>
      </w:r>
      <w:proofErr w:type="spellEnd"/>
      <w:r w:rsidRPr="00002217">
        <w:rPr>
          <w:rFonts w:cs="Arial"/>
          <w:sz w:val="20"/>
        </w:rPr>
        <w:t xml:space="preserve"> IV.31, VI.4,</w:t>
      </w:r>
      <w:r>
        <w:rPr>
          <w:rFonts w:cs="Arial"/>
          <w:sz w:val="20"/>
        </w:rPr>
        <w:t xml:space="preserve"> </w:t>
      </w:r>
      <w:r w:rsidRPr="00002217">
        <w:rPr>
          <w:rFonts w:cs="Arial"/>
          <w:sz w:val="20"/>
        </w:rPr>
        <w:t xml:space="preserve">VII.44, 62-67, VIII.17-19; Clement, </w:t>
      </w:r>
      <w:proofErr w:type="spellStart"/>
      <w:r w:rsidRPr="00002217">
        <w:rPr>
          <w:rFonts w:cs="Arial"/>
          <w:i/>
          <w:sz w:val="20"/>
        </w:rPr>
        <w:t>Stromateis</w:t>
      </w:r>
      <w:proofErr w:type="spellEnd"/>
      <w:r w:rsidRPr="00002217">
        <w:rPr>
          <w:rFonts w:cs="Arial"/>
          <w:sz w:val="20"/>
        </w:rPr>
        <w:t xml:space="preserve">  VI.16, 18 and </w:t>
      </w:r>
      <w:r w:rsidRPr="00002217">
        <w:rPr>
          <w:rFonts w:cs="Arial"/>
          <w:i/>
          <w:sz w:val="20"/>
        </w:rPr>
        <w:t>Exhortation to the Heathen</w:t>
      </w:r>
      <w:r w:rsidRPr="00002217">
        <w:rPr>
          <w:rFonts w:cs="Arial"/>
          <w:sz w:val="20"/>
        </w:rPr>
        <w:t xml:space="preserve"> IV.57-62.</w:t>
      </w:r>
    </w:p>
  </w:footnote>
  <w:footnote w:id="4">
    <w:p w14:paraId="59E58117" w14:textId="77777777" w:rsidR="0098595E" w:rsidRDefault="0098595E" w:rsidP="0098595E">
      <w:pPr>
        <w:pStyle w:val="FootnoteText"/>
        <w:spacing w:line="360" w:lineRule="auto"/>
        <w:jc w:val="both"/>
      </w:pPr>
      <w:r w:rsidRPr="00002217">
        <w:rPr>
          <w:rStyle w:val="FootnoteReference"/>
          <w:rFonts w:ascii="Arial" w:hAnsi="Arial" w:cs="Arial"/>
        </w:rPr>
        <w:footnoteRef/>
      </w:r>
      <w:r w:rsidRPr="00002217">
        <w:rPr>
          <w:rFonts w:ascii="Arial" w:hAnsi="Arial" w:cs="Arial"/>
        </w:rPr>
        <w:t xml:space="preserve"> Brown, </w:t>
      </w:r>
      <w:r w:rsidRPr="00002217">
        <w:rPr>
          <w:rFonts w:ascii="Arial" w:hAnsi="Arial" w:cs="Arial"/>
          <w:i/>
        </w:rPr>
        <w:t>Tradition and Imagination</w:t>
      </w:r>
      <w:r>
        <w:rPr>
          <w:rFonts w:ascii="Arial" w:hAnsi="Arial" w:cs="Arial"/>
        </w:rPr>
        <w:t xml:space="preserve">, pp. </w:t>
      </w:r>
      <w:r w:rsidRPr="00002217">
        <w:rPr>
          <w:rFonts w:ascii="Arial" w:hAnsi="Arial" w:cs="Arial"/>
        </w:rPr>
        <w:t>342-344</w:t>
      </w:r>
      <w:r>
        <w:rPr>
          <w:rFonts w:ascii="Arial" w:hAnsi="Arial" w:cs="Arial"/>
        </w:rPr>
        <w:t>.</w:t>
      </w:r>
    </w:p>
  </w:footnote>
  <w:footnote w:id="5">
    <w:p w14:paraId="54962FA3" w14:textId="77777777" w:rsidR="0098595E" w:rsidRPr="001825B9" w:rsidRDefault="0098595E" w:rsidP="0098595E">
      <w:pPr>
        <w:pStyle w:val="FootnoteText"/>
        <w:spacing w:line="360" w:lineRule="auto"/>
        <w:jc w:val="both"/>
        <w:rPr>
          <w:rFonts w:ascii="Arial" w:hAnsi="Arial" w:cs="Arial"/>
        </w:rPr>
      </w:pPr>
      <w:r>
        <w:rPr>
          <w:rStyle w:val="FootnoteReference"/>
        </w:rPr>
        <w:footnoteRef/>
      </w:r>
      <w:r>
        <w:t xml:space="preserve"> </w:t>
      </w:r>
      <w:r w:rsidRPr="001825B9">
        <w:rPr>
          <w:rFonts w:ascii="Arial" w:hAnsi="Arial" w:cs="Arial"/>
        </w:rPr>
        <w:t xml:space="preserve">J. </w:t>
      </w:r>
      <w:proofErr w:type="spellStart"/>
      <w:r w:rsidRPr="001825B9">
        <w:rPr>
          <w:rFonts w:ascii="Arial" w:hAnsi="Arial" w:cs="Arial"/>
        </w:rPr>
        <w:t>Pelikan</w:t>
      </w:r>
      <w:proofErr w:type="spellEnd"/>
      <w:r w:rsidRPr="001825B9">
        <w:rPr>
          <w:rFonts w:ascii="Arial" w:hAnsi="Arial" w:cs="Arial"/>
        </w:rPr>
        <w:t xml:space="preserve">, </w:t>
      </w:r>
      <w:r w:rsidRPr="001825B9">
        <w:rPr>
          <w:rFonts w:ascii="Arial" w:hAnsi="Arial" w:cs="Arial"/>
          <w:i/>
        </w:rPr>
        <w:t>Imago Dei: The Byzantine Apologia for Icons</w:t>
      </w:r>
      <w:r w:rsidRPr="001825B9">
        <w:rPr>
          <w:rFonts w:ascii="Arial" w:hAnsi="Arial" w:cs="Arial"/>
        </w:rPr>
        <w:t xml:space="preserve"> (Princeton: Princeton Univer</w:t>
      </w:r>
      <w:r>
        <w:rPr>
          <w:rFonts w:ascii="Arial" w:hAnsi="Arial" w:cs="Arial"/>
        </w:rPr>
        <w:t xml:space="preserve">sity Press, 1990), p. 99, cited in Brown, </w:t>
      </w:r>
      <w:r w:rsidRPr="00986563">
        <w:rPr>
          <w:rFonts w:ascii="Arial" w:hAnsi="Arial" w:cs="Arial"/>
          <w:i/>
        </w:rPr>
        <w:t>Tradition and Imagination</w:t>
      </w:r>
      <w:r>
        <w:rPr>
          <w:rFonts w:ascii="Arial" w:hAnsi="Arial" w:cs="Arial"/>
        </w:rPr>
        <w:t>, p. 342.</w:t>
      </w:r>
    </w:p>
  </w:footnote>
  <w:footnote w:id="6">
    <w:p w14:paraId="20AE69B7" w14:textId="77777777" w:rsidR="0098595E" w:rsidRPr="001825B9" w:rsidRDefault="0098595E" w:rsidP="0098595E">
      <w:pPr>
        <w:pStyle w:val="FootnoteText"/>
        <w:spacing w:line="360" w:lineRule="auto"/>
        <w:jc w:val="both"/>
        <w:rPr>
          <w:rFonts w:ascii="Arial" w:hAnsi="Arial" w:cs="Arial"/>
        </w:rPr>
      </w:pPr>
      <w:r w:rsidRPr="001825B9">
        <w:rPr>
          <w:rStyle w:val="FootnoteReference"/>
          <w:rFonts w:ascii="Arial" w:hAnsi="Arial" w:cs="Arial"/>
        </w:rPr>
        <w:footnoteRef/>
      </w:r>
      <w:r w:rsidRPr="001825B9">
        <w:rPr>
          <w:rFonts w:ascii="Arial" w:hAnsi="Arial" w:cs="Arial"/>
        </w:rPr>
        <w:t xml:space="preserve"> See Brown, </w:t>
      </w:r>
      <w:r w:rsidRPr="001825B9">
        <w:rPr>
          <w:rFonts w:ascii="Arial" w:hAnsi="Arial" w:cs="Arial"/>
          <w:i/>
        </w:rPr>
        <w:t>Tradition and Imagination</w:t>
      </w:r>
      <w:r w:rsidRPr="001825B9">
        <w:rPr>
          <w:rFonts w:ascii="Arial" w:hAnsi="Arial" w:cs="Arial"/>
        </w:rPr>
        <w:t>, p.</w:t>
      </w:r>
      <w:r>
        <w:rPr>
          <w:rFonts w:ascii="Arial" w:hAnsi="Arial" w:cs="Arial"/>
        </w:rPr>
        <w:t xml:space="preserve"> </w:t>
      </w:r>
      <w:r w:rsidRPr="001825B9">
        <w:rPr>
          <w:rFonts w:ascii="Arial" w:hAnsi="Arial" w:cs="Arial"/>
        </w:rPr>
        <w:t>332</w:t>
      </w:r>
      <w:r>
        <w:rPr>
          <w:rFonts w:ascii="Arial" w:hAnsi="Arial" w:cs="Arial"/>
        </w:rPr>
        <w:t>,</w:t>
      </w:r>
      <w:r w:rsidRPr="001825B9">
        <w:rPr>
          <w:rFonts w:ascii="Arial" w:hAnsi="Arial" w:cs="Arial"/>
        </w:rPr>
        <w:t xml:space="preserve"> note 33.</w:t>
      </w:r>
    </w:p>
  </w:footnote>
  <w:footnote w:id="7">
    <w:p w14:paraId="5E1A61BA" w14:textId="77777777" w:rsidR="0098595E" w:rsidRPr="004057C5" w:rsidRDefault="0098595E" w:rsidP="0098595E">
      <w:pPr>
        <w:tabs>
          <w:tab w:val="left" w:pos="4140"/>
        </w:tabs>
        <w:spacing w:line="360" w:lineRule="auto"/>
        <w:jc w:val="both"/>
        <w:rPr>
          <w:rFonts w:ascii="Arial" w:hAnsi="Arial" w:cs="Arial"/>
        </w:rPr>
      </w:pPr>
      <w:r w:rsidRPr="001825B9">
        <w:rPr>
          <w:rStyle w:val="FootnoteReference"/>
          <w:rFonts w:ascii="Arial" w:hAnsi="Arial" w:cs="Arial"/>
        </w:rPr>
        <w:footnoteRef/>
      </w:r>
      <w:r w:rsidRPr="001825B9">
        <w:rPr>
          <w:rFonts w:ascii="Arial" w:hAnsi="Arial" w:cs="Arial"/>
        </w:rPr>
        <w:t xml:space="preserve"> </w:t>
      </w:r>
      <w:r w:rsidRPr="004057C5">
        <w:rPr>
          <w:rFonts w:ascii="Arial" w:hAnsi="Arial" w:cs="Arial"/>
        </w:rPr>
        <w:t xml:space="preserve">Cited in John Sandys-Wunsch, ‘Graven Image’ in David Lyle Jeffrey (ed.),  </w:t>
      </w:r>
      <w:r w:rsidRPr="004057C5">
        <w:rPr>
          <w:rFonts w:ascii="Arial" w:hAnsi="Arial" w:cs="Arial"/>
          <w:i/>
        </w:rPr>
        <w:t>A Dictionary of Biblical Tradition in English Literature</w:t>
      </w:r>
      <w:r w:rsidRPr="004057C5">
        <w:rPr>
          <w:rFonts w:ascii="Arial" w:hAnsi="Arial" w:cs="Arial"/>
        </w:rPr>
        <w:t xml:space="preserve"> (Gra</w:t>
      </w:r>
      <w:r>
        <w:rPr>
          <w:rFonts w:ascii="Arial" w:hAnsi="Arial" w:cs="Arial"/>
        </w:rPr>
        <w:t>nd Rapids: Eerdmans, 1991), pp. 320-323 (</w:t>
      </w:r>
      <w:r w:rsidRPr="004057C5">
        <w:rPr>
          <w:rFonts w:ascii="Arial" w:hAnsi="Arial" w:cs="Arial"/>
        </w:rPr>
        <w:t>322</w:t>
      </w:r>
      <w:r>
        <w:rPr>
          <w:rFonts w:ascii="Arial" w:hAnsi="Arial" w:cs="Arial"/>
        </w:rPr>
        <w:t>)</w:t>
      </w:r>
      <w:r w:rsidRPr="004057C5">
        <w:rPr>
          <w:rFonts w:ascii="Arial" w:hAnsi="Arial" w:cs="Arial"/>
        </w:rPr>
        <w:t>.</w:t>
      </w:r>
    </w:p>
  </w:footnote>
  <w:footnote w:id="8">
    <w:p w14:paraId="35240B04" w14:textId="77777777" w:rsidR="0098595E" w:rsidRDefault="0098595E" w:rsidP="0098595E">
      <w:pPr>
        <w:pStyle w:val="BodyText"/>
        <w:spacing w:line="360" w:lineRule="auto"/>
      </w:pPr>
      <w:r w:rsidRPr="004057C5">
        <w:rPr>
          <w:rStyle w:val="FootnoteReference"/>
          <w:rFonts w:cs="Arial"/>
        </w:rPr>
        <w:footnoteRef/>
      </w:r>
      <w:r w:rsidRPr="004057C5">
        <w:rPr>
          <w:sz w:val="20"/>
        </w:rPr>
        <w:t xml:space="preserve"> Luther however permitted more iconography than Calvin and encouraged painting church walls and wealthy homes with scenes from biblical narratives. See Sandys-Wunsch, </w:t>
      </w:r>
      <w:r w:rsidRPr="004057C5">
        <w:rPr>
          <w:i/>
          <w:sz w:val="20"/>
        </w:rPr>
        <w:t>Graven Image</w:t>
      </w:r>
      <w:r w:rsidRPr="004057C5">
        <w:rPr>
          <w:sz w:val="20"/>
        </w:rPr>
        <w:t>, p. 322.</w:t>
      </w:r>
    </w:p>
  </w:footnote>
  <w:footnote w:id="9">
    <w:p w14:paraId="42C76840" w14:textId="77777777" w:rsidR="0098595E" w:rsidRDefault="0098595E" w:rsidP="0098595E">
      <w:pPr>
        <w:pStyle w:val="FootnoteText"/>
        <w:spacing w:line="360" w:lineRule="auto"/>
      </w:pPr>
      <w:r>
        <w:rPr>
          <w:rStyle w:val="FootnoteReference"/>
        </w:rPr>
        <w:footnoteRef/>
      </w:r>
      <w:r>
        <w:t xml:space="preserve"> </w:t>
      </w:r>
      <w:r w:rsidRPr="00F110DA">
        <w:rPr>
          <w:rFonts w:ascii="Arial" w:hAnsi="Arial" w:cs="Arial"/>
        </w:rPr>
        <w:t xml:space="preserve">Calvino, </w:t>
      </w:r>
      <w:r w:rsidRPr="00BF6004">
        <w:rPr>
          <w:rFonts w:ascii="Arial" w:hAnsi="Arial" w:cs="Arial"/>
          <w:i/>
        </w:rPr>
        <w:t>Six Memos for the Next Millennium</w:t>
      </w:r>
      <w:r>
        <w:rPr>
          <w:rFonts w:ascii="Arial" w:hAnsi="Arial" w:cs="Arial"/>
        </w:rPr>
        <w:t>, p. 85.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5E"/>
    <w:rsid w:val="00101224"/>
    <w:rsid w:val="00332953"/>
    <w:rsid w:val="00332A1E"/>
    <w:rsid w:val="00577A07"/>
    <w:rsid w:val="009859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33C13F7"/>
  <w15:docId w15:val="{F9B9F7D5-0312-42B0-9D1D-A4C50C208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95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98595E"/>
  </w:style>
  <w:style w:type="character" w:customStyle="1" w:styleId="FootnoteTextChar">
    <w:name w:val="Footnote Text Char"/>
    <w:basedOn w:val="DefaultParagraphFont"/>
    <w:link w:val="FootnoteText"/>
    <w:semiHidden/>
    <w:rsid w:val="0098595E"/>
    <w:rPr>
      <w:rFonts w:ascii="Times New Roman" w:eastAsia="Times New Roman" w:hAnsi="Times New Roman" w:cs="Times New Roman"/>
      <w:sz w:val="20"/>
      <w:szCs w:val="20"/>
      <w:lang w:eastAsia="en-GB"/>
    </w:rPr>
  </w:style>
  <w:style w:type="character" w:styleId="FootnoteReference">
    <w:name w:val="footnote reference"/>
    <w:basedOn w:val="DefaultParagraphFont"/>
    <w:semiHidden/>
    <w:rsid w:val="0098595E"/>
    <w:rPr>
      <w:vertAlign w:val="superscript"/>
    </w:rPr>
  </w:style>
  <w:style w:type="paragraph" w:styleId="BodyText">
    <w:name w:val="Body Text"/>
    <w:basedOn w:val="Normal"/>
    <w:link w:val="BodyTextChar"/>
    <w:rsid w:val="0098595E"/>
    <w:pPr>
      <w:jc w:val="both"/>
    </w:pPr>
    <w:rPr>
      <w:rFonts w:ascii="Arial" w:hAnsi="Arial"/>
      <w:sz w:val="24"/>
    </w:rPr>
  </w:style>
  <w:style w:type="character" w:customStyle="1" w:styleId="BodyTextChar">
    <w:name w:val="Body Text Char"/>
    <w:basedOn w:val="DefaultParagraphFont"/>
    <w:link w:val="BodyText"/>
    <w:rsid w:val="0098595E"/>
    <w:rPr>
      <w:rFonts w:ascii="Arial" w:eastAsia="Times New Roman" w:hAnsi="Arial" w:cs="Times New Roman"/>
      <w:sz w:val="24"/>
      <w:szCs w:val="20"/>
      <w:lang w:eastAsia="en-GB"/>
    </w:rPr>
  </w:style>
  <w:style w:type="paragraph" w:styleId="BodyText2">
    <w:name w:val="Body Text 2"/>
    <w:basedOn w:val="Normal"/>
    <w:link w:val="BodyText2Char"/>
    <w:rsid w:val="0098595E"/>
    <w:rPr>
      <w:rFonts w:ascii="Arial" w:hAnsi="Arial"/>
      <w:sz w:val="24"/>
    </w:rPr>
  </w:style>
  <w:style w:type="character" w:customStyle="1" w:styleId="BodyText2Char">
    <w:name w:val="Body Text 2 Char"/>
    <w:basedOn w:val="DefaultParagraphFont"/>
    <w:link w:val="BodyText2"/>
    <w:rsid w:val="0098595E"/>
    <w:rPr>
      <w:rFonts w:ascii="Arial" w:eastAsia="Times New Roman" w:hAnsi="Arial" w:cs="Times New Roman"/>
      <w:sz w:val="24"/>
      <w:szCs w:val="20"/>
      <w:lang w:eastAsia="en-GB"/>
    </w:rPr>
  </w:style>
  <w:style w:type="paragraph" w:styleId="BodyText3">
    <w:name w:val="Body Text 3"/>
    <w:basedOn w:val="Normal"/>
    <w:link w:val="BodyText3Char"/>
    <w:rsid w:val="0098595E"/>
    <w:pPr>
      <w:jc w:val="both"/>
    </w:pPr>
    <w:rPr>
      <w:rFonts w:ascii="Arial" w:hAnsi="Arial"/>
      <w:sz w:val="22"/>
    </w:rPr>
  </w:style>
  <w:style w:type="character" w:customStyle="1" w:styleId="BodyText3Char">
    <w:name w:val="Body Text 3 Char"/>
    <w:basedOn w:val="DefaultParagraphFont"/>
    <w:link w:val="BodyText3"/>
    <w:rsid w:val="0098595E"/>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Jessica Keady</cp:lastModifiedBy>
  <cp:revision>3</cp:revision>
  <dcterms:created xsi:type="dcterms:W3CDTF">2022-02-11T10:40:00Z</dcterms:created>
  <dcterms:modified xsi:type="dcterms:W3CDTF">2022-02-11T10:41:00Z</dcterms:modified>
</cp:coreProperties>
</file>