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977B6" w14:textId="69746DE6" w:rsidR="00535E11" w:rsidRDefault="00535E11" w:rsidP="00535E11">
      <w:pPr>
        <w:pStyle w:val="NormalWeb"/>
        <w:spacing w:before="0" w:beforeAutospacing="0" w:after="0" w:afterAutospacing="0"/>
        <w:ind w:left="-180" w:right="-334"/>
      </w:pPr>
      <w:r>
        <w:rPr>
          <w:noProof/>
        </w:rPr>
        <w:drawing>
          <wp:inline distT="0" distB="0" distL="0" distR="0" wp14:anchorId="77366765" wp14:editId="5873B1AF">
            <wp:extent cx="1905635" cy="635000"/>
            <wp:effectExtent l="19050" t="19050" r="18415" b="1270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14:paraId="3AE28238" w14:textId="77777777" w:rsidR="00535E11" w:rsidRDefault="00535E11" w:rsidP="00535E11">
      <w:pPr>
        <w:pStyle w:val="NormalWeb"/>
        <w:spacing w:before="0" w:beforeAutospacing="0" w:after="0" w:afterAutospacing="0"/>
        <w:ind w:left="-180" w:right="-334"/>
      </w:pPr>
    </w:p>
    <w:p w14:paraId="1EAA76FC" w14:textId="77777777" w:rsidR="00535E11" w:rsidRDefault="00535E11" w:rsidP="00535E11">
      <w:pPr>
        <w:pStyle w:val="NormalWeb"/>
        <w:spacing w:before="0" w:beforeAutospacing="0" w:after="0" w:afterAutospacing="0"/>
        <w:ind w:left="-180" w:right="-334"/>
      </w:pPr>
    </w:p>
    <w:p w14:paraId="0CA376D2" w14:textId="77777777" w:rsidR="00535E11" w:rsidRDefault="00535E11" w:rsidP="00535E1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611FE86" w14:textId="77777777" w:rsidR="00535E11" w:rsidRPr="00230F35" w:rsidRDefault="00535E11" w:rsidP="00535E1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B5E4947" w14:textId="77777777" w:rsidR="00535E11" w:rsidRPr="00230F35" w:rsidRDefault="00535E11" w:rsidP="00535E11">
      <w:pPr>
        <w:rPr>
          <w:rFonts w:ascii="Arial" w:hAnsi="Arial" w:cs="Arial"/>
          <w:sz w:val="28"/>
          <w:szCs w:val="28"/>
          <w:lang w:val="cy-GB"/>
        </w:rPr>
      </w:pPr>
    </w:p>
    <w:p w14:paraId="5B2DE02A" w14:textId="77777777" w:rsidR="00535E11" w:rsidRDefault="00535E11" w:rsidP="00535E11">
      <w:pPr>
        <w:pStyle w:val="Heading3"/>
        <w:jc w:val="center"/>
        <w:rPr>
          <w:lang w:val="cy-GB"/>
        </w:rPr>
      </w:pPr>
      <w:r>
        <w:rPr>
          <w:lang w:val="cy-GB"/>
        </w:rPr>
        <w:t>THIS SHEET MUST BE THE FIRST PAGE OF THE ASSIGNMENT YOU ARE SUBMITTING  (DO NOT SEND AS A SEPARATE FILE)</w:t>
      </w:r>
    </w:p>
    <w:p w14:paraId="09FD8E04" w14:textId="77777777" w:rsidR="00535E11" w:rsidRDefault="00535E11" w:rsidP="00535E1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35E11" w:rsidRPr="00230F35" w14:paraId="6687BB7D" w14:textId="77777777" w:rsidTr="00597754">
        <w:trPr>
          <w:trHeight w:val="614"/>
        </w:trPr>
        <w:tc>
          <w:tcPr>
            <w:tcW w:w="8856" w:type="dxa"/>
            <w:gridSpan w:val="5"/>
          </w:tcPr>
          <w:p w14:paraId="5F3DF25D" w14:textId="77777777" w:rsidR="00535E11" w:rsidRPr="00230F35"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35E11" w:rsidRPr="00230F35" w14:paraId="6A5BB874" w14:textId="77777777" w:rsidTr="00597754">
        <w:trPr>
          <w:trHeight w:val="718"/>
        </w:trPr>
        <w:tc>
          <w:tcPr>
            <w:tcW w:w="8856" w:type="dxa"/>
            <w:gridSpan w:val="5"/>
          </w:tcPr>
          <w:p w14:paraId="0030A539" w14:textId="77777777" w:rsidR="00535E11"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Christine Allen</w:t>
            </w:r>
          </w:p>
          <w:p w14:paraId="653F2404" w14:textId="77777777" w:rsidR="00535E11" w:rsidRPr="00230F35" w:rsidRDefault="00535E11" w:rsidP="00597754">
            <w:pPr>
              <w:pStyle w:val="NormalWeb"/>
              <w:spacing w:before="0" w:beforeAutospacing="0" w:after="0" w:afterAutospacing="0"/>
              <w:ind w:right="34"/>
              <w:rPr>
                <w:rFonts w:ascii="Arial" w:hAnsi="Arial" w:cs="Arial"/>
                <w:sz w:val="22"/>
                <w:szCs w:val="22"/>
              </w:rPr>
            </w:pPr>
          </w:p>
          <w:p w14:paraId="4255A304" w14:textId="77777777" w:rsidR="00535E11" w:rsidRPr="00230F35"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2008524@student.uwtsd.ac.uk</w:t>
            </w:r>
          </w:p>
        </w:tc>
      </w:tr>
      <w:tr w:rsidR="00535E11" w:rsidRPr="00230F35" w14:paraId="2469AADC" w14:textId="77777777" w:rsidTr="00597754">
        <w:trPr>
          <w:trHeight w:val="849"/>
        </w:trPr>
        <w:tc>
          <w:tcPr>
            <w:tcW w:w="4788" w:type="dxa"/>
          </w:tcPr>
          <w:p w14:paraId="5BC01879" w14:textId="77777777" w:rsidR="00535E11" w:rsidRPr="00230F35"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7377CE18" w14:textId="77777777" w:rsidR="00535E11" w:rsidRPr="00230F35" w:rsidRDefault="00535E11" w:rsidP="00597754">
            <w:pPr>
              <w:pStyle w:val="NormalWeb"/>
              <w:spacing w:before="0" w:beforeAutospacing="0" w:after="0" w:afterAutospacing="0"/>
              <w:ind w:right="34"/>
              <w:rPr>
                <w:rFonts w:ascii="Arial" w:hAnsi="Arial" w:cs="Arial"/>
                <w:sz w:val="22"/>
                <w:szCs w:val="22"/>
              </w:rPr>
            </w:pPr>
          </w:p>
          <w:p w14:paraId="562A5D63" w14:textId="77777777" w:rsidR="00535E11"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324D83BF" w14:textId="77777777" w:rsidR="00535E11" w:rsidRDefault="00535E11" w:rsidP="00597754">
            <w:pPr>
              <w:pStyle w:val="NormalWeb"/>
              <w:spacing w:before="0" w:beforeAutospacing="0" w:after="0" w:afterAutospacing="0"/>
              <w:ind w:right="34"/>
              <w:rPr>
                <w:rFonts w:ascii="Arial" w:hAnsi="Arial" w:cs="Arial"/>
                <w:sz w:val="22"/>
                <w:szCs w:val="22"/>
              </w:rPr>
            </w:pPr>
          </w:p>
          <w:p w14:paraId="62C3F5A0" w14:textId="77777777" w:rsidR="00535E11" w:rsidRPr="00230F35" w:rsidRDefault="00535E11" w:rsidP="00597754">
            <w:pPr>
              <w:pStyle w:val="NormalWeb"/>
              <w:spacing w:before="0" w:beforeAutospacing="0" w:after="0" w:afterAutospacing="0"/>
              <w:ind w:right="34"/>
              <w:rPr>
                <w:rFonts w:ascii="Arial" w:hAnsi="Arial" w:cs="Arial"/>
                <w:sz w:val="22"/>
                <w:szCs w:val="22"/>
              </w:rPr>
            </w:pPr>
          </w:p>
        </w:tc>
        <w:tc>
          <w:tcPr>
            <w:tcW w:w="2266" w:type="dxa"/>
            <w:gridSpan w:val="3"/>
          </w:tcPr>
          <w:p w14:paraId="12B2E0A8" w14:textId="77777777" w:rsidR="00535E11"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61453A" w14:textId="77777777" w:rsidR="00535E11" w:rsidRPr="00230F35" w:rsidRDefault="00535E11" w:rsidP="00597754">
            <w:pPr>
              <w:pStyle w:val="NormalWeb"/>
              <w:spacing w:before="0" w:beforeAutospacing="0" w:after="0" w:afterAutospacing="0"/>
              <w:ind w:right="34"/>
              <w:rPr>
                <w:rFonts w:ascii="Arial" w:hAnsi="Arial" w:cs="Arial"/>
                <w:sz w:val="22"/>
                <w:szCs w:val="22"/>
              </w:rPr>
            </w:pPr>
            <w:r>
              <w:rPr>
                <w:rFonts w:ascii="Arial" w:hAnsi="Arial" w:cs="Arial"/>
                <w:sz w:val="22"/>
                <w:szCs w:val="22"/>
              </w:rPr>
              <w:t>2008524</w:t>
            </w:r>
          </w:p>
        </w:tc>
        <w:tc>
          <w:tcPr>
            <w:tcW w:w="1802" w:type="dxa"/>
          </w:tcPr>
          <w:p w14:paraId="75A9A4BF" w14:textId="77777777" w:rsidR="00535E11" w:rsidRPr="00230F35"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8223C22" w14:textId="77777777" w:rsidR="00535E11" w:rsidRPr="00230F35"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535E11" w:rsidRPr="00230F35" w14:paraId="7539C32E" w14:textId="77777777" w:rsidTr="00597754">
        <w:trPr>
          <w:trHeight w:val="1139"/>
        </w:trPr>
        <w:tc>
          <w:tcPr>
            <w:tcW w:w="8856" w:type="dxa"/>
            <w:gridSpan w:val="5"/>
          </w:tcPr>
          <w:p w14:paraId="04CC90D8" w14:textId="77777777" w:rsidR="00535E11" w:rsidRPr="001576C5" w:rsidRDefault="00535E11" w:rsidP="00597754">
            <w:pPr>
              <w:pStyle w:val="Title"/>
              <w:jc w:val="center"/>
              <w:rPr>
                <w:sz w:val="24"/>
                <w:szCs w:val="24"/>
              </w:rPr>
            </w:pPr>
            <w:r w:rsidRPr="00230F35">
              <w:rPr>
                <w:rFonts w:ascii="Arial" w:hAnsi="Arial" w:cs="Arial"/>
                <w:sz w:val="22"/>
                <w:szCs w:val="22"/>
              </w:rPr>
              <w:t>Assignment title:</w:t>
            </w:r>
            <w:r w:rsidRPr="008821B7">
              <w:rPr>
                <w:sz w:val="48"/>
                <w:szCs w:val="48"/>
              </w:rPr>
              <w:t xml:space="preserve"> </w:t>
            </w:r>
            <w:r w:rsidRPr="001576C5">
              <w:rPr>
                <w:sz w:val="24"/>
                <w:szCs w:val="24"/>
              </w:rPr>
              <w:t xml:space="preserve">You will </w:t>
            </w:r>
            <w:proofErr w:type="gramStart"/>
            <w:r w:rsidRPr="001576C5">
              <w:rPr>
                <w:sz w:val="24"/>
                <w:szCs w:val="24"/>
              </w:rPr>
              <w:t>compare and contrast</w:t>
            </w:r>
            <w:proofErr w:type="gramEnd"/>
            <w:r w:rsidRPr="001576C5">
              <w:rPr>
                <w:sz w:val="24"/>
                <w:szCs w:val="24"/>
              </w:rPr>
              <w:t xml:space="preserve"> the methodologies used in TWO research papers and discuss the position of the researchers in relation to their fields of research.</w:t>
            </w:r>
          </w:p>
          <w:p w14:paraId="36DD568E" w14:textId="77777777" w:rsidR="00535E11" w:rsidRPr="00230F35" w:rsidRDefault="00535E11" w:rsidP="00597754">
            <w:pPr>
              <w:pStyle w:val="NormalWeb"/>
              <w:spacing w:before="0" w:beforeAutospacing="0" w:after="0" w:afterAutospacing="0"/>
              <w:ind w:right="34"/>
              <w:rPr>
                <w:rFonts w:ascii="Arial" w:hAnsi="Arial" w:cs="Arial"/>
                <w:sz w:val="22"/>
                <w:szCs w:val="22"/>
              </w:rPr>
            </w:pPr>
          </w:p>
          <w:p w14:paraId="644E663E" w14:textId="77777777" w:rsidR="00535E11" w:rsidRPr="00230F35" w:rsidRDefault="00535E11" w:rsidP="00597754">
            <w:pPr>
              <w:pStyle w:val="NormalWeb"/>
              <w:spacing w:before="0" w:beforeAutospacing="0" w:after="0" w:afterAutospacing="0"/>
              <w:ind w:right="34"/>
              <w:rPr>
                <w:rFonts w:ascii="Arial" w:hAnsi="Arial" w:cs="Arial"/>
                <w:sz w:val="22"/>
                <w:szCs w:val="22"/>
              </w:rPr>
            </w:pPr>
          </w:p>
          <w:p w14:paraId="2EB53E81" w14:textId="77777777" w:rsidR="00535E11" w:rsidRDefault="00535E11" w:rsidP="00597754">
            <w:pPr>
              <w:pStyle w:val="NormalWeb"/>
              <w:spacing w:before="0" w:beforeAutospacing="0" w:after="0" w:afterAutospacing="0"/>
              <w:ind w:right="34"/>
              <w:rPr>
                <w:rFonts w:ascii="Arial" w:hAnsi="Arial" w:cs="Arial"/>
                <w:sz w:val="22"/>
                <w:szCs w:val="22"/>
              </w:rPr>
            </w:pPr>
          </w:p>
          <w:p w14:paraId="7A2B9681" w14:textId="77777777" w:rsidR="00535E11" w:rsidRPr="00230F35"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21/3/2022</w:t>
            </w:r>
          </w:p>
        </w:tc>
      </w:tr>
      <w:tr w:rsidR="00535E11" w:rsidRPr="00230F35" w14:paraId="0D71015A" w14:textId="77777777" w:rsidTr="00597754">
        <w:trPr>
          <w:trHeight w:val="978"/>
        </w:trPr>
        <w:tc>
          <w:tcPr>
            <w:tcW w:w="8856" w:type="dxa"/>
            <w:gridSpan w:val="5"/>
            <w:tcBorders>
              <w:bottom w:val="single" w:sz="4" w:space="0" w:color="000000"/>
            </w:tcBorders>
          </w:tcPr>
          <w:p w14:paraId="4401A057" w14:textId="77777777" w:rsidR="00535E11" w:rsidRPr="00230F35" w:rsidRDefault="00535E11" w:rsidP="0059775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proofErr w:type="gramStart"/>
            <w:r w:rsidRPr="00230F35">
              <w:rPr>
                <w:rFonts w:ascii="Arial" w:hAnsi="Arial" w:cs="Arial"/>
                <w:vertAlign w:val="superscript"/>
              </w:rPr>
              <w:t>nd</w:t>
            </w:r>
            <w:r w:rsidRPr="00230F35">
              <w:rPr>
                <w:rFonts w:ascii="Arial" w:hAnsi="Arial" w:cs="Arial"/>
              </w:rPr>
              <w:t xml:space="preserve">  </w:t>
            </w:r>
            <w:r>
              <w:rPr>
                <w:rFonts w:ascii="Arial" w:hAnsi="Arial" w:cs="Arial"/>
              </w:rPr>
              <w:t>x</w:t>
            </w:r>
            <w:proofErr w:type="gramEnd"/>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535E11" w:rsidRPr="00230F35" w14:paraId="2BD08C2A" w14:textId="77777777" w:rsidTr="00597754">
        <w:trPr>
          <w:trHeight w:val="978"/>
        </w:trPr>
        <w:tc>
          <w:tcPr>
            <w:tcW w:w="8856" w:type="dxa"/>
            <w:gridSpan w:val="5"/>
            <w:shd w:val="clear" w:color="auto" w:fill="D9D9D9"/>
          </w:tcPr>
          <w:p w14:paraId="434D81B5" w14:textId="77777777" w:rsidR="00535E11" w:rsidRPr="00230F35"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F75D672" w14:textId="77777777" w:rsidR="00535E11" w:rsidRDefault="00535E11" w:rsidP="005977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Christine Allen</w:t>
            </w:r>
            <w:r w:rsidRPr="00230F35">
              <w:rPr>
                <w:rFonts w:ascii="Arial" w:hAnsi="Arial" w:cs="Arial"/>
                <w:sz w:val="22"/>
                <w:szCs w:val="22"/>
              </w:rPr>
              <w:t>…………………………………………………</w:t>
            </w:r>
          </w:p>
          <w:p w14:paraId="36B09726" w14:textId="77777777" w:rsidR="00535E11" w:rsidRDefault="00535E11" w:rsidP="0059775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x</w:t>
            </w:r>
            <w:r w:rsidRPr="005979EE">
              <w:rPr>
                <w:rFonts w:ascii="Calibri" w:hAnsi="Calibri" w:cs="Calibri"/>
                <w:b/>
                <w:sz w:val="44"/>
                <w:szCs w:val="44"/>
              </w:rPr>
              <w:t>□</w:t>
            </w:r>
          </w:p>
          <w:p w14:paraId="2FA36E70" w14:textId="77777777" w:rsidR="00535E11" w:rsidRPr="00230F35" w:rsidRDefault="00535E11" w:rsidP="00597754">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35E11" w:rsidRPr="00230F35" w14:paraId="5FCF76E3" w14:textId="77777777" w:rsidTr="00597754">
        <w:trPr>
          <w:trHeight w:val="3972"/>
        </w:trPr>
        <w:tc>
          <w:tcPr>
            <w:tcW w:w="8856" w:type="dxa"/>
            <w:gridSpan w:val="5"/>
          </w:tcPr>
          <w:p w14:paraId="7A9DFA0D" w14:textId="77777777" w:rsidR="00535E11" w:rsidRDefault="00535E11" w:rsidP="00597754">
            <w:pPr>
              <w:rPr>
                <w:rFonts w:ascii="Arial" w:hAnsi="Arial"/>
                <w:b/>
              </w:rPr>
            </w:pPr>
          </w:p>
          <w:p w14:paraId="198EB9EA" w14:textId="77777777" w:rsidR="00535E11" w:rsidRPr="00116CE6" w:rsidRDefault="00535E11" w:rsidP="0059775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35E11" w:rsidRPr="00116CE6" w14:paraId="6CE2C3F1" w14:textId="77777777" w:rsidTr="00597754">
              <w:tc>
                <w:tcPr>
                  <w:tcW w:w="6970" w:type="dxa"/>
                </w:tcPr>
                <w:p w14:paraId="137EFCC9" w14:textId="77777777" w:rsidR="00535E11" w:rsidRPr="00116CE6" w:rsidRDefault="00535E11" w:rsidP="00597754">
                  <w:pPr>
                    <w:rPr>
                      <w:rFonts w:ascii="Arial" w:hAnsi="Arial"/>
                      <w:sz w:val="20"/>
                      <w:szCs w:val="20"/>
                    </w:rPr>
                  </w:pPr>
                </w:p>
                <w:p w14:paraId="09B45608" w14:textId="77777777" w:rsidR="00535E11" w:rsidRPr="00116CE6" w:rsidRDefault="00535E11" w:rsidP="0059775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6552E6C" w14:textId="77777777" w:rsidR="00535E11" w:rsidRPr="00116CE6" w:rsidRDefault="00535E11" w:rsidP="00597754">
                  <w:pPr>
                    <w:rPr>
                      <w:rFonts w:ascii="Arial" w:hAnsi="Arial"/>
                      <w:sz w:val="20"/>
                      <w:szCs w:val="20"/>
                    </w:rPr>
                  </w:pPr>
                </w:p>
              </w:tc>
            </w:tr>
            <w:tr w:rsidR="00535E11" w:rsidRPr="00116CE6" w14:paraId="11500B17" w14:textId="77777777" w:rsidTr="00597754">
              <w:tc>
                <w:tcPr>
                  <w:tcW w:w="6970" w:type="dxa"/>
                </w:tcPr>
                <w:p w14:paraId="5283E52B" w14:textId="77777777" w:rsidR="00535E11" w:rsidRPr="00116CE6" w:rsidRDefault="00535E11" w:rsidP="00597754">
                  <w:pPr>
                    <w:rPr>
                      <w:rFonts w:ascii="Arial" w:hAnsi="Arial"/>
                      <w:sz w:val="20"/>
                      <w:szCs w:val="20"/>
                    </w:rPr>
                  </w:pPr>
                </w:p>
                <w:p w14:paraId="28FB7CC3" w14:textId="77777777" w:rsidR="00535E11" w:rsidRPr="00116CE6" w:rsidRDefault="00535E11" w:rsidP="0059775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2EE0C05" w14:textId="77777777" w:rsidR="00535E11" w:rsidRPr="00116CE6" w:rsidRDefault="00535E11" w:rsidP="00597754">
                  <w:pPr>
                    <w:rPr>
                      <w:rFonts w:ascii="Arial" w:hAnsi="Arial"/>
                      <w:sz w:val="20"/>
                      <w:szCs w:val="20"/>
                    </w:rPr>
                  </w:pPr>
                </w:p>
              </w:tc>
            </w:tr>
            <w:tr w:rsidR="00535E11" w:rsidRPr="00116CE6" w14:paraId="1F231064" w14:textId="77777777" w:rsidTr="00597754">
              <w:tc>
                <w:tcPr>
                  <w:tcW w:w="6970" w:type="dxa"/>
                </w:tcPr>
                <w:p w14:paraId="46C61AB7" w14:textId="77777777" w:rsidR="00535E11" w:rsidRPr="00116CE6" w:rsidRDefault="00535E11" w:rsidP="00597754">
                  <w:pPr>
                    <w:rPr>
                      <w:rFonts w:ascii="Arial" w:hAnsi="Arial"/>
                      <w:sz w:val="20"/>
                      <w:szCs w:val="20"/>
                    </w:rPr>
                  </w:pPr>
                </w:p>
                <w:p w14:paraId="38FBC283" w14:textId="77777777" w:rsidR="00535E11" w:rsidRPr="00116CE6" w:rsidRDefault="00535E11" w:rsidP="0059775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61E1E0" w14:textId="77777777" w:rsidR="00535E11" w:rsidRPr="00116CE6" w:rsidRDefault="00535E11" w:rsidP="00597754">
                  <w:pPr>
                    <w:rPr>
                      <w:rFonts w:ascii="Arial" w:hAnsi="Arial"/>
                      <w:sz w:val="20"/>
                      <w:szCs w:val="20"/>
                    </w:rPr>
                  </w:pPr>
                </w:p>
              </w:tc>
            </w:tr>
            <w:tr w:rsidR="00535E11" w:rsidRPr="00116CE6" w14:paraId="5FCB77AC" w14:textId="77777777" w:rsidTr="00597754">
              <w:tc>
                <w:tcPr>
                  <w:tcW w:w="6970" w:type="dxa"/>
                </w:tcPr>
                <w:p w14:paraId="1F3880C8" w14:textId="77777777" w:rsidR="00535E11" w:rsidRDefault="00535E11" w:rsidP="00597754">
                  <w:pPr>
                    <w:rPr>
                      <w:rFonts w:ascii="Arial" w:hAnsi="Arial"/>
                      <w:sz w:val="20"/>
                      <w:szCs w:val="20"/>
                    </w:rPr>
                  </w:pPr>
                </w:p>
                <w:p w14:paraId="55B131D3" w14:textId="77777777" w:rsidR="00535E11" w:rsidRPr="00022345" w:rsidRDefault="00535E11" w:rsidP="00597754">
                  <w:pPr>
                    <w:rPr>
                      <w:rFonts w:ascii="Arial" w:hAnsi="Arial"/>
                      <w:b/>
                      <w:sz w:val="20"/>
                      <w:szCs w:val="20"/>
                    </w:rPr>
                  </w:pPr>
                  <w:r w:rsidRPr="00022345">
                    <w:rPr>
                      <w:rFonts w:ascii="Arial" w:hAnsi="Arial"/>
                      <w:b/>
                      <w:sz w:val="20"/>
                      <w:szCs w:val="20"/>
                    </w:rPr>
                    <w:t>Final Mark</w:t>
                  </w:r>
                </w:p>
                <w:p w14:paraId="09D15C33" w14:textId="77777777" w:rsidR="00535E11" w:rsidRPr="00116CE6" w:rsidRDefault="00535E11" w:rsidP="00597754">
                  <w:pPr>
                    <w:rPr>
                      <w:rFonts w:ascii="Arial" w:hAnsi="Arial"/>
                      <w:sz w:val="20"/>
                      <w:szCs w:val="20"/>
                    </w:rPr>
                  </w:pPr>
                </w:p>
              </w:tc>
              <w:tc>
                <w:tcPr>
                  <w:tcW w:w="1660" w:type="dxa"/>
                </w:tcPr>
                <w:p w14:paraId="3FCABD43" w14:textId="77777777" w:rsidR="00535E11" w:rsidRPr="00116CE6" w:rsidRDefault="00535E11" w:rsidP="00597754">
                  <w:pPr>
                    <w:rPr>
                      <w:rFonts w:ascii="Arial" w:hAnsi="Arial"/>
                      <w:sz w:val="20"/>
                      <w:szCs w:val="20"/>
                    </w:rPr>
                  </w:pPr>
                </w:p>
              </w:tc>
            </w:tr>
          </w:tbl>
          <w:p w14:paraId="1BBAF480" w14:textId="77777777" w:rsidR="00535E11" w:rsidRDefault="00535E11" w:rsidP="00597754">
            <w:pPr>
              <w:pStyle w:val="NormalWeb"/>
              <w:spacing w:before="0" w:beforeAutospacing="0" w:after="0" w:afterAutospacing="0"/>
              <w:ind w:left="142" w:right="34"/>
              <w:rPr>
                <w:rFonts w:ascii="Arial" w:hAnsi="Arial" w:cs="Arial"/>
                <w:b/>
                <w:sz w:val="22"/>
                <w:szCs w:val="22"/>
              </w:rPr>
            </w:pPr>
          </w:p>
          <w:p w14:paraId="6E42A55E" w14:textId="77777777" w:rsidR="00535E11" w:rsidRPr="00230F35" w:rsidRDefault="00535E11" w:rsidP="0059775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DCF034F" w14:textId="77777777" w:rsidR="00535E11" w:rsidRDefault="00535E11" w:rsidP="00597754">
            <w:pPr>
              <w:pStyle w:val="NormalWeb"/>
              <w:spacing w:before="0" w:beforeAutospacing="0" w:after="0" w:afterAutospacing="0"/>
              <w:rPr>
                <w:rFonts w:ascii="Arial" w:hAnsi="Arial" w:cs="Arial"/>
                <w:b/>
                <w:sz w:val="22"/>
                <w:szCs w:val="22"/>
              </w:rPr>
            </w:pPr>
          </w:p>
          <w:p w14:paraId="59BEA06D" w14:textId="77777777" w:rsidR="00535E11" w:rsidRDefault="00535E11" w:rsidP="00597754">
            <w:pPr>
              <w:pStyle w:val="NormalWeb"/>
              <w:spacing w:before="0" w:beforeAutospacing="0" w:after="0" w:afterAutospacing="0"/>
              <w:rPr>
                <w:rFonts w:ascii="Arial" w:hAnsi="Arial" w:cs="Arial"/>
                <w:b/>
                <w:sz w:val="22"/>
                <w:szCs w:val="22"/>
              </w:rPr>
            </w:pPr>
          </w:p>
          <w:p w14:paraId="011D4E51" w14:textId="77777777" w:rsidR="00535E11" w:rsidRDefault="00535E11" w:rsidP="00597754">
            <w:pPr>
              <w:pStyle w:val="NormalWeb"/>
              <w:spacing w:before="0" w:beforeAutospacing="0" w:after="0" w:afterAutospacing="0"/>
              <w:rPr>
                <w:rFonts w:ascii="Arial" w:hAnsi="Arial" w:cs="Arial"/>
                <w:b/>
                <w:sz w:val="22"/>
                <w:szCs w:val="22"/>
              </w:rPr>
            </w:pPr>
          </w:p>
          <w:p w14:paraId="5C522F4C" w14:textId="77777777" w:rsidR="00535E11" w:rsidRDefault="00535E11" w:rsidP="00597754">
            <w:pPr>
              <w:pStyle w:val="NormalWeb"/>
              <w:spacing w:before="0" w:beforeAutospacing="0" w:after="0" w:afterAutospacing="0"/>
              <w:rPr>
                <w:rFonts w:ascii="Arial" w:hAnsi="Arial" w:cs="Arial"/>
                <w:b/>
                <w:sz w:val="22"/>
                <w:szCs w:val="22"/>
              </w:rPr>
            </w:pPr>
          </w:p>
          <w:p w14:paraId="57ED6774" w14:textId="77777777" w:rsidR="00535E11" w:rsidRDefault="00535E11" w:rsidP="00597754">
            <w:pPr>
              <w:pStyle w:val="NormalWeb"/>
              <w:spacing w:before="0" w:beforeAutospacing="0" w:after="0" w:afterAutospacing="0"/>
              <w:rPr>
                <w:rFonts w:ascii="Arial" w:hAnsi="Arial" w:cs="Arial"/>
                <w:b/>
                <w:sz w:val="22"/>
                <w:szCs w:val="22"/>
              </w:rPr>
            </w:pPr>
          </w:p>
          <w:p w14:paraId="49A6A136" w14:textId="77777777" w:rsidR="00535E11" w:rsidRPr="00230F35" w:rsidRDefault="00535E11" w:rsidP="0059775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88366D1" w14:textId="77777777" w:rsidR="00535E11" w:rsidRDefault="00535E11" w:rsidP="0059775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40C1D5F" w14:textId="77777777" w:rsidR="00535E11" w:rsidRPr="00001C3B" w:rsidRDefault="00535E11" w:rsidP="00597754">
            <w:pPr>
              <w:pStyle w:val="NormalWeb"/>
              <w:rPr>
                <w:rFonts w:ascii="Arial" w:hAnsi="Arial" w:cs="Arial"/>
                <w:sz w:val="22"/>
                <w:szCs w:val="22"/>
              </w:rPr>
            </w:pPr>
          </w:p>
        </w:tc>
      </w:tr>
      <w:tr w:rsidR="00535E11" w:rsidRPr="00230F35" w14:paraId="03EE7ADE" w14:textId="77777777" w:rsidTr="00597754">
        <w:trPr>
          <w:trHeight w:val="492"/>
        </w:trPr>
        <w:tc>
          <w:tcPr>
            <w:tcW w:w="6768" w:type="dxa"/>
            <w:gridSpan w:val="3"/>
          </w:tcPr>
          <w:p w14:paraId="3510D734" w14:textId="77777777" w:rsidR="00535E11" w:rsidRPr="00230F35" w:rsidRDefault="00535E11" w:rsidP="0059775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1CBF94" w14:textId="77777777" w:rsidR="00535E11" w:rsidRPr="00230F35" w:rsidRDefault="00535E11" w:rsidP="00597754">
            <w:pPr>
              <w:pStyle w:val="NormalWeb"/>
              <w:spacing w:after="0"/>
              <w:ind w:left="142" w:right="34"/>
              <w:rPr>
                <w:rFonts w:ascii="Arial" w:hAnsi="Arial" w:cs="Arial"/>
                <w:sz w:val="22"/>
                <w:szCs w:val="22"/>
              </w:rPr>
            </w:pPr>
            <w:r w:rsidRPr="00230F35">
              <w:rPr>
                <w:rFonts w:ascii="Arial" w:hAnsi="Arial" w:cs="Arial"/>
                <w:sz w:val="22"/>
                <w:szCs w:val="22"/>
              </w:rPr>
              <w:t>Date:</w:t>
            </w:r>
          </w:p>
        </w:tc>
      </w:tr>
      <w:tr w:rsidR="00535E11" w:rsidRPr="002F467C" w14:paraId="3503F3E5" w14:textId="77777777" w:rsidTr="00597754">
        <w:tc>
          <w:tcPr>
            <w:tcW w:w="8856" w:type="dxa"/>
            <w:gridSpan w:val="5"/>
          </w:tcPr>
          <w:p w14:paraId="6EEC51EA" w14:textId="77777777" w:rsidR="00535E11" w:rsidRPr="00230F35" w:rsidRDefault="00535E11" w:rsidP="00597754">
            <w:pPr>
              <w:pStyle w:val="NormalWeb"/>
              <w:spacing w:before="0" w:beforeAutospacing="0" w:after="0" w:afterAutospacing="0"/>
              <w:ind w:right="-334"/>
              <w:rPr>
                <w:rFonts w:ascii="Arial" w:hAnsi="Arial" w:cs="Arial"/>
                <w:bCs/>
                <w:i/>
                <w:sz w:val="22"/>
                <w:szCs w:val="22"/>
              </w:rPr>
            </w:pPr>
          </w:p>
          <w:p w14:paraId="7B0F71D8" w14:textId="77777777" w:rsidR="00535E11" w:rsidRPr="00230F35" w:rsidRDefault="00535E11" w:rsidP="0059775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A8F64C8" w14:textId="77777777" w:rsidR="00535E11" w:rsidRPr="00230F35" w:rsidRDefault="00535E11" w:rsidP="00597754">
            <w:pPr>
              <w:pStyle w:val="NormalWeb"/>
              <w:spacing w:before="0" w:beforeAutospacing="0" w:after="0" w:afterAutospacing="0"/>
              <w:ind w:right="-334"/>
              <w:rPr>
                <w:rFonts w:ascii="Arial" w:hAnsi="Arial" w:cs="Arial"/>
                <w:b/>
                <w:bCs/>
                <w:sz w:val="22"/>
                <w:szCs w:val="22"/>
              </w:rPr>
            </w:pPr>
          </w:p>
          <w:p w14:paraId="0A1A0322"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2F6E4DA"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74B64D31"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10BC5461"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23FDBF38"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589D80BD"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2D60B1BF"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718FB31E"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30D771B9"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5432885E" w14:textId="77777777" w:rsidR="00535E11" w:rsidRDefault="00535E11" w:rsidP="00597754">
            <w:pPr>
              <w:pStyle w:val="NormalWeb"/>
              <w:spacing w:before="0" w:beforeAutospacing="0" w:after="0" w:afterAutospacing="0"/>
              <w:ind w:right="-334"/>
              <w:rPr>
                <w:rFonts w:ascii="Arial" w:hAnsi="Arial" w:cs="Arial"/>
                <w:bCs/>
                <w:sz w:val="22"/>
                <w:szCs w:val="22"/>
              </w:rPr>
            </w:pPr>
          </w:p>
          <w:p w14:paraId="31A666E6"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57C65CD8"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6FE4BBC2"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tc>
      </w:tr>
      <w:tr w:rsidR="00535E11" w:rsidRPr="002F467C" w14:paraId="1A67F8BC" w14:textId="77777777" w:rsidTr="00597754">
        <w:trPr>
          <w:trHeight w:val="720"/>
        </w:trPr>
        <w:tc>
          <w:tcPr>
            <w:tcW w:w="5211" w:type="dxa"/>
            <w:gridSpan w:val="2"/>
          </w:tcPr>
          <w:p w14:paraId="73B059C0"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F70187B"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35E11" w:rsidRPr="002F467C" w14:paraId="41119DBA" w14:textId="77777777" w:rsidTr="00597754">
        <w:trPr>
          <w:trHeight w:val="720"/>
        </w:trPr>
        <w:tc>
          <w:tcPr>
            <w:tcW w:w="8856" w:type="dxa"/>
            <w:gridSpan w:val="5"/>
          </w:tcPr>
          <w:p w14:paraId="21BDF3CE" w14:textId="77777777" w:rsidR="00535E11" w:rsidRPr="00B34964" w:rsidRDefault="00535E11" w:rsidP="00597754">
            <w:pPr>
              <w:rPr>
                <w:rFonts w:ascii="Arial" w:hAnsi="Arial" w:cs="Arial"/>
                <w:b/>
              </w:rPr>
            </w:pPr>
            <w:r w:rsidRPr="00B34964">
              <w:rPr>
                <w:rFonts w:ascii="Arial" w:hAnsi="Arial" w:cs="Arial"/>
                <w:b/>
              </w:rPr>
              <w:t>External Examiner’s comments (if relevant)</w:t>
            </w:r>
          </w:p>
          <w:p w14:paraId="0F3EDF76"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7A0F5920"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39DB27B9"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278FAADE"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4D9AC523"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4589BC49"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50091DED"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08CDEC09"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5EE4CE10" w14:textId="77777777" w:rsidR="00535E11" w:rsidRDefault="00535E11" w:rsidP="00597754">
            <w:pPr>
              <w:pStyle w:val="NormalWeb"/>
              <w:spacing w:before="0" w:beforeAutospacing="0" w:after="0" w:afterAutospacing="0"/>
              <w:ind w:right="-334"/>
              <w:rPr>
                <w:rFonts w:ascii="Arial" w:hAnsi="Arial" w:cs="Arial"/>
                <w:bCs/>
                <w:sz w:val="22"/>
                <w:szCs w:val="22"/>
              </w:rPr>
            </w:pPr>
          </w:p>
          <w:p w14:paraId="0AC22FE1"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p w14:paraId="56B38C13" w14:textId="77777777" w:rsidR="00535E11" w:rsidRPr="00230F35" w:rsidRDefault="00535E11" w:rsidP="00597754">
            <w:pPr>
              <w:pStyle w:val="NormalWeb"/>
              <w:spacing w:before="0" w:beforeAutospacing="0" w:after="0" w:afterAutospacing="0"/>
              <w:ind w:right="-334"/>
              <w:rPr>
                <w:rFonts w:ascii="Arial" w:hAnsi="Arial" w:cs="Arial"/>
                <w:bCs/>
                <w:sz w:val="22"/>
                <w:szCs w:val="22"/>
              </w:rPr>
            </w:pPr>
          </w:p>
        </w:tc>
      </w:tr>
      <w:tr w:rsidR="00535E11" w:rsidRPr="002F467C" w14:paraId="75421DDD" w14:textId="77777777" w:rsidTr="00597754">
        <w:trPr>
          <w:trHeight w:val="720"/>
        </w:trPr>
        <w:tc>
          <w:tcPr>
            <w:tcW w:w="5211" w:type="dxa"/>
            <w:gridSpan w:val="2"/>
          </w:tcPr>
          <w:p w14:paraId="5BDCC6D4" w14:textId="77777777" w:rsidR="00535E11" w:rsidRPr="00230F35" w:rsidRDefault="00535E11" w:rsidP="00597754">
            <w:pPr>
              <w:rPr>
                <w:rFonts w:ascii="Arial" w:hAnsi="Arial" w:cs="Arial"/>
              </w:rPr>
            </w:pPr>
            <w:r w:rsidRPr="00230F35">
              <w:rPr>
                <w:rFonts w:ascii="Arial" w:hAnsi="Arial" w:cs="Arial"/>
              </w:rPr>
              <w:lastRenderedPageBreak/>
              <w:t>External Examiner’s Signature:</w:t>
            </w:r>
          </w:p>
        </w:tc>
        <w:tc>
          <w:tcPr>
            <w:tcW w:w="3645" w:type="dxa"/>
            <w:gridSpan w:val="3"/>
          </w:tcPr>
          <w:p w14:paraId="3FC4A030" w14:textId="77777777" w:rsidR="00535E11" w:rsidRPr="00230F35" w:rsidRDefault="00535E11" w:rsidP="00597754">
            <w:pPr>
              <w:rPr>
                <w:rFonts w:ascii="Arial" w:hAnsi="Arial" w:cs="Arial"/>
              </w:rPr>
            </w:pPr>
            <w:r w:rsidRPr="00230F35">
              <w:rPr>
                <w:rFonts w:ascii="Arial" w:hAnsi="Arial" w:cs="Arial"/>
              </w:rPr>
              <w:t>Date:</w:t>
            </w:r>
          </w:p>
        </w:tc>
      </w:tr>
    </w:tbl>
    <w:p w14:paraId="04808B9E" w14:textId="77777777" w:rsidR="00535E11" w:rsidRPr="00D67BF8" w:rsidRDefault="00535E11" w:rsidP="00535E11">
      <w:pPr>
        <w:pStyle w:val="NormalWeb"/>
        <w:spacing w:before="0" w:beforeAutospacing="0" w:after="0" w:afterAutospacing="0"/>
        <w:ind w:right="-334"/>
        <w:rPr>
          <w:rFonts w:ascii="Trebuchet MS" w:hAnsi="Trebuchet MS" w:cs="Tahoma"/>
          <w:bCs/>
          <w:sz w:val="24"/>
          <w:szCs w:val="24"/>
        </w:rPr>
      </w:pPr>
    </w:p>
    <w:p w14:paraId="46401BB4" w14:textId="77777777" w:rsidR="00535E11" w:rsidRDefault="00535E11" w:rsidP="008821B7">
      <w:pPr>
        <w:pStyle w:val="Title"/>
        <w:jc w:val="center"/>
        <w:rPr>
          <w:sz w:val="48"/>
          <w:szCs w:val="48"/>
        </w:rPr>
      </w:pPr>
    </w:p>
    <w:p w14:paraId="02462D11" w14:textId="77777777" w:rsidR="00535E11" w:rsidRDefault="00535E11" w:rsidP="008821B7">
      <w:pPr>
        <w:pStyle w:val="Title"/>
        <w:jc w:val="center"/>
        <w:rPr>
          <w:sz w:val="48"/>
          <w:szCs w:val="48"/>
        </w:rPr>
      </w:pPr>
    </w:p>
    <w:p w14:paraId="5FDA5F24" w14:textId="77777777" w:rsidR="00535E11" w:rsidRDefault="00535E11" w:rsidP="008821B7">
      <w:pPr>
        <w:pStyle w:val="Title"/>
        <w:jc w:val="center"/>
        <w:rPr>
          <w:sz w:val="48"/>
          <w:szCs w:val="48"/>
        </w:rPr>
      </w:pPr>
    </w:p>
    <w:p w14:paraId="0356D221" w14:textId="77777777" w:rsidR="00535E11" w:rsidRDefault="00535E11" w:rsidP="008821B7">
      <w:pPr>
        <w:pStyle w:val="Title"/>
        <w:jc w:val="center"/>
        <w:rPr>
          <w:sz w:val="48"/>
          <w:szCs w:val="48"/>
        </w:rPr>
      </w:pPr>
    </w:p>
    <w:p w14:paraId="77C9DC6A" w14:textId="77777777" w:rsidR="00535E11" w:rsidRDefault="00535E11" w:rsidP="008821B7">
      <w:pPr>
        <w:pStyle w:val="Title"/>
        <w:jc w:val="center"/>
        <w:rPr>
          <w:sz w:val="48"/>
          <w:szCs w:val="48"/>
        </w:rPr>
      </w:pPr>
    </w:p>
    <w:p w14:paraId="74364F3A" w14:textId="77777777" w:rsidR="00535E11" w:rsidRDefault="00535E11" w:rsidP="008821B7">
      <w:pPr>
        <w:pStyle w:val="Title"/>
        <w:jc w:val="center"/>
        <w:rPr>
          <w:sz w:val="48"/>
          <w:szCs w:val="48"/>
        </w:rPr>
      </w:pPr>
    </w:p>
    <w:p w14:paraId="718C0ABB" w14:textId="77777777" w:rsidR="00535E11" w:rsidRDefault="00535E11" w:rsidP="008821B7">
      <w:pPr>
        <w:pStyle w:val="Title"/>
        <w:jc w:val="center"/>
        <w:rPr>
          <w:sz w:val="48"/>
          <w:szCs w:val="48"/>
        </w:rPr>
      </w:pPr>
    </w:p>
    <w:p w14:paraId="0C536528" w14:textId="77777777" w:rsidR="00535E11" w:rsidRDefault="00535E11" w:rsidP="008821B7">
      <w:pPr>
        <w:pStyle w:val="Title"/>
        <w:jc w:val="center"/>
        <w:rPr>
          <w:sz w:val="48"/>
          <w:szCs w:val="48"/>
        </w:rPr>
      </w:pPr>
    </w:p>
    <w:p w14:paraId="53AD9A1C" w14:textId="77777777" w:rsidR="00535E11" w:rsidRDefault="00535E11" w:rsidP="008821B7">
      <w:pPr>
        <w:pStyle w:val="Title"/>
        <w:jc w:val="center"/>
        <w:rPr>
          <w:sz w:val="48"/>
          <w:szCs w:val="48"/>
        </w:rPr>
      </w:pPr>
    </w:p>
    <w:p w14:paraId="3DE3B54B" w14:textId="77777777" w:rsidR="00535E11" w:rsidRDefault="00535E11" w:rsidP="008821B7">
      <w:pPr>
        <w:pStyle w:val="Title"/>
        <w:jc w:val="center"/>
        <w:rPr>
          <w:sz w:val="48"/>
          <w:szCs w:val="48"/>
        </w:rPr>
      </w:pPr>
    </w:p>
    <w:p w14:paraId="468A8B51" w14:textId="77777777" w:rsidR="00535E11" w:rsidRDefault="00535E11" w:rsidP="008821B7">
      <w:pPr>
        <w:pStyle w:val="Title"/>
        <w:jc w:val="center"/>
        <w:rPr>
          <w:sz w:val="48"/>
          <w:szCs w:val="48"/>
        </w:rPr>
      </w:pPr>
    </w:p>
    <w:p w14:paraId="0B63B441" w14:textId="77777777" w:rsidR="00535E11" w:rsidRDefault="00535E11" w:rsidP="008821B7">
      <w:pPr>
        <w:pStyle w:val="Title"/>
        <w:jc w:val="center"/>
        <w:rPr>
          <w:sz w:val="48"/>
          <w:szCs w:val="48"/>
        </w:rPr>
      </w:pPr>
    </w:p>
    <w:p w14:paraId="21D311E4" w14:textId="77777777" w:rsidR="00535E11" w:rsidRDefault="00535E11" w:rsidP="008821B7">
      <w:pPr>
        <w:pStyle w:val="Title"/>
        <w:jc w:val="center"/>
        <w:rPr>
          <w:sz w:val="48"/>
          <w:szCs w:val="48"/>
        </w:rPr>
      </w:pPr>
    </w:p>
    <w:p w14:paraId="01DCBB10" w14:textId="77777777" w:rsidR="00535E11" w:rsidRDefault="00535E11" w:rsidP="008821B7">
      <w:pPr>
        <w:pStyle w:val="Title"/>
        <w:jc w:val="center"/>
        <w:rPr>
          <w:sz w:val="48"/>
          <w:szCs w:val="48"/>
        </w:rPr>
      </w:pPr>
    </w:p>
    <w:p w14:paraId="1EECCD75" w14:textId="77777777" w:rsidR="00535E11" w:rsidRDefault="00535E11" w:rsidP="008821B7">
      <w:pPr>
        <w:pStyle w:val="Title"/>
        <w:jc w:val="center"/>
        <w:rPr>
          <w:sz w:val="48"/>
          <w:szCs w:val="48"/>
        </w:rPr>
      </w:pPr>
    </w:p>
    <w:p w14:paraId="0043D63D" w14:textId="77777777" w:rsidR="00535E11" w:rsidRDefault="00535E11" w:rsidP="008821B7">
      <w:pPr>
        <w:pStyle w:val="Title"/>
        <w:jc w:val="center"/>
        <w:rPr>
          <w:sz w:val="48"/>
          <w:szCs w:val="48"/>
        </w:rPr>
      </w:pPr>
    </w:p>
    <w:p w14:paraId="242E20AB" w14:textId="77777777" w:rsidR="00535E11" w:rsidRDefault="00535E11" w:rsidP="008821B7">
      <w:pPr>
        <w:pStyle w:val="Title"/>
        <w:jc w:val="center"/>
        <w:rPr>
          <w:sz w:val="48"/>
          <w:szCs w:val="48"/>
        </w:rPr>
      </w:pPr>
    </w:p>
    <w:p w14:paraId="5D9B4751" w14:textId="457E9530" w:rsidR="00171CE4" w:rsidRPr="008821B7" w:rsidRDefault="00171CE4" w:rsidP="008821B7">
      <w:pPr>
        <w:pStyle w:val="Title"/>
        <w:jc w:val="center"/>
        <w:rPr>
          <w:sz w:val="48"/>
          <w:szCs w:val="48"/>
        </w:rPr>
      </w:pPr>
      <w:r w:rsidRPr="008821B7">
        <w:rPr>
          <w:sz w:val="48"/>
          <w:szCs w:val="48"/>
        </w:rPr>
        <w:lastRenderedPageBreak/>
        <w:t xml:space="preserve">You will </w:t>
      </w:r>
      <w:proofErr w:type="gramStart"/>
      <w:r w:rsidRPr="008821B7">
        <w:rPr>
          <w:sz w:val="48"/>
          <w:szCs w:val="48"/>
        </w:rPr>
        <w:t>compare and contrast</w:t>
      </w:r>
      <w:proofErr w:type="gramEnd"/>
      <w:r w:rsidRPr="008821B7">
        <w:rPr>
          <w:sz w:val="48"/>
          <w:szCs w:val="48"/>
        </w:rPr>
        <w:t xml:space="preserve"> the methodologies used in TWO research papers and discuss the position of the researchers in relation to their fields of research.</w:t>
      </w:r>
    </w:p>
    <w:p w14:paraId="2673A18A" w14:textId="0230683B" w:rsidR="0092309E" w:rsidRPr="008821B7" w:rsidRDefault="0092309E" w:rsidP="008821B7">
      <w:pPr>
        <w:spacing w:line="360" w:lineRule="auto"/>
        <w:jc w:val="right"/>
        <w:rPr>
          <w:rFonts w:cstheme="minorHAnsi"/>
        </w:rPr>
      </w:pPr>
      <w:r w:rsidRPr="008821B7">
        <w:rPr>
          <w:rFonts w:cstheme="minorHAnsi"/>
        </w:rPr>
        <w:t>Word Count 2689</w:t>
      </w:r>
    </w:p>
    <w:p w14:paraId="15741AC4" w14:textId="52F2B17A" w:rsidR="00171CE4" w:rsidRPr="008821B7" w:rsidRDefault="00171CE4" w:rsidP="008821B7">
      <w:pPr>
        <w:spacing w:line="360" w:lineRule="auto"/>
        <w:rPr>
          <w:rFonts w:cstheme="minorHAnsi"/>
        </w:rPr>
      </w:pPr>
    </w:p>
    <w:p w14:paraId="25CF4560" w14:textId="25C2FE90" w:rsidR="00B75708" w:rsidRPr="008821B7" w:rsidRDefault="00B75708" w:rsidP="008821B7">
      <w:pPr>
        <w:pStyle w:val="Heading1"/>
      </w:pPr>
      <w:r w:rsidRPr="008821B7">
        <w:t>Introduction</w:t>
      </w:r>
    </w:p>
    <w:p w14:paraId="5BF4B5D7" w14:textId="2A0FA2E5" w:rsidR="00B635F9" w:rsidRPr="008821B7" w:rsidRDefault="00171CE4" w:rsidP="008821B7">
      <w:pPr>
        <w:spacing w:line="360" w:lineRule="auto"/>
        <w:rPr>
          <w:rFonts w:cstheme="minorHAnsi"/>
        </w:rPr>
      </w:pPr>
      <w:r w:rsidRPr="008821B7">
        <w:rPr>
          <w:rFonts w:cstheme="minorHAnsi"/>
        </w:rPr>
        <w:t>This essay</w:t>
      </w:r>
      <w:r w:rsidR="00A62D37" w:rsidRPr="008821B7">
        <w:rPr>
          <w:rFonts w:cstheme="minorHAnsi"/>
        </w:rPr>
        <w:t xml:space="preserve"> </w:t>
      </w:r>
      <w:r w:rsidR="00B75708" w:rsidRPr="008821B7">
        <w:rPr>
          <w:rFonts w:cstheme="minorHAnsi"/>
        </w:rPr>
        <w:t>compare</w:t>
      </w:r>
      <w:r w:rsidR="007F3954" w:rsidRPr="008821B7">
        <w:rPr>
          <w:rFonts w:cstheme="minorHAnsi"/>
        </w:rPr>
        <w:t>s</w:t>
      </w:r>
      <w:r w:rsidRPr="008821B7">
        <w:rPr>
          <w:rFonts w:cstheme="minorHAnsi"/>
        </w:rPr>
        <w:t xml:space="preserve"> T L </w:t>
      </w:r>
      <w:r w:rsidR="000307BB" w:rsidRPr="008821B7">
        <w:rPr>
          <w:rFonts w:cstheme="minorHAnsi"/>
        </w:rPr>
        <w:t>Brink’s ‘</w:t>
      </w:r>
      <w:r w:rsidRPr="008821B7">
        <w:rPr>
          <w:rFonts w:cstheme="minorHAnsi"/>
        </w:rPr>
        <w:t>Inconsistency of Belief among Roman Catholic Girls: Concerning Religion, Astrology, Reincarnation’</w:t>
      </w:r>
      <w:r w:rsidR="00BF2C9D" w:rsidRPr="008821B7">
        <w:rPr>
          <w:rFonts w:cstheme="minorHAnsi"/>
        </w:rPr>
        <w:t>,</w:t>
      </w:r>
      <w:r w:rsidR="00913778" w:rsidRPr="008821B7">
        <w:rPr>
          <w:rStyle w:val="FootnoteReference"/>
          <w:rFonts w:cstheme="minorHAnsi"/>
        </w:rPr>
        <w:footnoteReference w:id="1"/>
      </w:r>
      <w:r w:rsidRPr="008821B7">
        <w:rPr>
          <w:rFonts w:cstheme="minorHAnsi"/>
        </w:rPr>
        <w:t xml:space="preserve"> published in </w:t>
      </w:r>
      <w:r w:rsidR="00B635F9" w:rsidRPr="008821B7">
        <w:rPr>
          <w:rFonts w:cstheme="minorHAnsi"/>
        </w:rPr>
        <w:t xml:space="preserve">Rice University’s </w:t>
      </w:r>
      <w:r w:rsidRPr="008821B7">
        <w:rPr>
          <w:rFonts w:cstheme="minorHAnsi"/>
        </w:rPr>
        <w:t>Review of Religious Research</w:t>
      </w:r>
      <w:r w:rsidR="00BF2C9D" w:rsidRPr="008821B7">
        <w:rPr>
          <w:rFonts w:cstheme="minorHAnsi"/>
        </w:rPr>
        <w:t xml:space="preserve"> </w:t>
      </w:r>
      <w:r w:rsidRPr="008821B7">
        <w:rPr>
          <w:rFonts w:cstheme="minorHAnsi"/>
        </w:rPr>
        <w:t xml:space="preserve">1978, with Tony Walter and Helen Waterhouse’s </w:t>
      </w:r>
      <w:r w:rsidR="00913778" w:rsidRPr="008821B7">
        <w:rPr>
          <w:rFonts w:cstheme="minorHAnsi"/>
        </w:rPr>
        <w:t>paper ‘</w:t>
      </w:r>
      <w:r w:rsidRPr="008821B7">
        <w:rPr>
          <w:rFonts w:cstheme="minorHAnsi"/>
        </w:rPr>
        <w:t>A Very Private Belief: Reincarnation in Contemporary England’</w:t>
      </w:r>
      <w:r w:rsidR="00BF2C9D" w:rsidRPr="008821B7">
        <w:rPr>
          <w:rFonts w:cstheme="minorHAnsi"/>
        </w:rPr>
        <w:t>,</w:t>
      </w:r>
      <w:r w:rsidR="00913778" w:rsidRPr="008821B7">
        <w:rPr>
          <w:rStyle w:val="FootnoteReference"/>
          <w:rFonts w:cstheme="minorHAnsi"/>
        </w:rPr>
        <w:footnoteReference w:id="2"/>
      </w:r>
      <w:r w:rsidRPr="008821B7">
        <w:rPr>
          <w:rFonts w:cstheme="minorHAnsi"/>
        </w:rPr>
        <w:t xml:space="preserve"> published in Sociology of Religion 1999.</w:t>
      </w:r>
      <w:r w:rsidR="000307BB" w:rsidRPr="008821B7">
        <w:rPr>
          <w:rFonts w:cstheme="minorHAnsi"/>
        </w:rPr>
        <w:t xml:space="preserve"> </w:t>
      </w:r>
      <w:r w:rsidR="00AE437D" w:rsidRPr="008821B7">
        <w:rPr>
          <w:rFonts w:cstheme="minorHAnsi"/>
        </w:rPr>
        <w:t xml:space="preserve">The papers are similar in </w:t>
      </w:r>
      <w:r w:rsidR="00F5049D" w:rsidRPr="008821B7">
        <w:rPr>
          <w:rFonts w:cstheme="minorHAnsi"/>
        </w:rPr>
        <w:t>theme</w:t>
      </w:r>
      <w:r w:rsidR="00BF2C9D" w:rsidRPr="008821B7">
        <w:rPr>
          <w:rFonts w:cstheme="minorHAnsi"/>
        </w:rPr>
        <w:t>,</w:t>
      </w:r>
      <w:r w:rsidR="00AE437D" w:rsidRPr="008821B7">
        <w:rPr>
          <w:rFonts w:cstheme="minorHAnsi"/>
        </w:rPr>
        <w:t xml:space="preserve"> </w:t>
      </w:r>
      <w:r w:rsidR="00F5049D" w:rsidRPr="008821B7">
        <w:rPr>
          <w:rFonts w:cstheme="minorHAnsi"/>
        </w:rPr>
        <w:t>as</w:t>
      </w:r>
      <w:r w:rsidR="00AE437D" w:rsidRPr="008821B7">
        <w:rPr>
          <w:rFonts w:cstheme="minorHAnsi"/>
        </w:rPr>
        <w:t xml:space="preserve"> they both explore belief in reincarnation in western society, although Brink’s focus is not belief in reincarnation per se. His paper is interested in </w:t>
      </w:r>
      <w:r w:rsidR="00B75708" w:rsidRPr="008821B7">
        <w:rPr>
          <w:rFonts w:cstheme="minorHAnsi"/>
        </w:rPr>
        <w:t>inconsistent beliefs generally.</w:t>
      </w:r>
    </w:p>
    <w:p w14:paraId="13695D31" w14:textId="77777777" w:rsidR="008821B7" w:rsidRDefault="00BF2C9D" w:rsidP="008821B7">
      <w:pPr>
        <w:tabs>
          <w:tab w:val="num" w:pos="720"/>
        </w:tabs>
        <w:spacing w:line="360" w:lineRule="auto"/>
        <w:rPr>
          <w:rFonts w:cstheme="minorHAnsi"/>
        </w:rPr>
      </w:pPr>
      <w:r w:rsidRPr="008821B7">
        <w:rPr>
          <w:rFonts w:cstheme="minorHAnsi"/>
        </w:rPr>
        <w:t>This essay will examine the authors’ methodology, their position</w:t>
      </w:r>
      <w:r w:rsidR="00F5049D" w:rsidRPr="008821B7">
        <w:rPr>
          <w:rFonts w:cstheme="minorHAnsi"/>
        </w:rPr>
        <w:t>ality,</w:t>
      </w:r>
      <w:r w:rsidR="001C2906" w:rsidRPr="008821B7">
        <w:rPr>
          <w:rFonts w:cstheme="minorHAnsi"/>
        </w:rPr>
        <w:t xml:space="preserve"> before going on to look at how effectively the</w:t>
      </w:r>
      <w:r w:rsidR="00F5049D" w:rsidRPr="008821B7">
        <w:rPr>
          <w:rFonts w:cstheme="minorHAnsi"/>
        </w:rPr>
        <w:t>y</w:t>
      </w:r>
      <w:r w:rsidR="001C2906" w:rsidRPr="008821B7">
        <w:rPr>
          <w:rFonts w:cstheme="minorHAnsi"/>
        </w:rPr>
        <w:t xml:space="preserve"> related their </w:t>
      </w:r>
      <w:r w:rsidR="00F5049D" w:rsidRPr="008821B7">
        <w:rPr>
          <w:rFonts w:cstheme="minorHAnsi"/>
        </w:rPr>
        <w:t>fieldwork</w:t>
      </w:r>
      <w:r w:rsidR="001C2906" w:rsidRPr="008821B7">
        <w:rPr>
          <w:rFonts w:cstheme="minorHAnsi"/>
        </w:rPr>
        <w:t xml:space="preserve"> data to</w:t>
      </w:r>
      <w:r w:rsidR="00F5049D" w:rsidRPr="008821B7">
        <w:rPr>
          <w:rFonts w:cstheme="minorHAnsi"/>
        </w:rPr>
        <w:t xml:space="preserve"> </w:t>
      </w:r>
      <w:r w:rsidR="001C2906" w:rsidRPr="008821B7">
        <w:rPr>
          <w:rFonts w:cstheme="minorHAnsi"/>
        </w:rPr>
        <w:t>relevant academic literature.</w:t>
      </w:r>
    </w:p>
    <w:p w14:paraId="5935CD7E" w14:textId="77777777" w:rsidR="008821B7" w:rsidRDefault="008821B7" w:rsidP="008821B7">
      <w:pPr>
        <w:tabs>
          <w:tab w:val="num" w:pos="720"/>
        </w:tabs>
        <w:spacing w:line="360" w:lineRule="auto"/>
        <w:rPr>
          <w:rFonts w:cstheme="minorHAnsi"/>
        </w:rPr>
      </w:pPr>
    </w:p>
    <w:p w14:paraId="3083373E" w14:textId="4C28EDC0" w:rsidR="00696499" w:rsidRPr="008821B7" w:rsidRDefault="00696499" w:rsidP="008821B7">
      <w:pPr>
        <w:pStyle w:val="Heading1"/>
      </w:pPr>
      <w:r w:rsidRPr="008821B7">
        <w:t>Methodology</w:t>
      </w:r>
    </w:p>
    <w:p w14:paraId="792E178D" w14:textId="49C076E0" w:rsidR="00696499" w:rsidRPr="008821B7" w:rsidRDefault="00696499" w:rsidP="008821B7">
      <w:pPr>
        <w:pStyle w:val="Heading2"/>
      </w:pPr>
      <w:r w:rsidRPr="008821B7">
        <w:t>Recruiting participants</w:t>
      </w:r>
    </w:p>
    <w:p w14:paraId="0E541650" w14:textId="09F082E9" w:rsidR="000307BB" w:rsidRPr="008821B7" w:rsidRDefault="00696499" w:rsidP="008821B7">
      <w:pPr>
        <w:spacing w:line="360" w:lineRule="auto"/>
        <w:rPr>
          <w:rFonts w:cstheme="minorHAnsi"/>
        </w:rPr>
      </w:pPr>
      <w:r w:rsidRPr="008821B7">
        <w:rPr>
          <w:rFonts w:cstheme="minorHAnsi"/>
        </w:rPr>
        <w:t xml:space="preserve">Brink aimed to test </w:t>
      </w:r>
      <w:r w:rsidR="00B75C00" w:rsidRPr="008821B7">
        <w:rPr>
          <w:rFonts w:cstheme="minorHAnsi"/>
        </w:rPr>
        <w:t>a congruency-of-belief</w:t>
      </w:r>
      <w:r w:rsidRPr="008821B7">
        <w:rPr>
          <w:rFonts w:cstheme="minorHAnsi"/>
        </w:rPr>
        <w:t xml:space="preserve"> hypothesis </w:t>
      </w:r>
      <w:r w:rsidR="00B75C00" w:rsidRPr="008821B7">
        <w:rPr>
          <w:rFonts w:cstheme="minorHAnsi"/>
        </w:rPr>
        <w:t xml:space="preserve">among schoolgirls by exploring whether they believed in </w:t>
      </w:r>
      <w:r w:rsidR="00CD51EF" w:rsidRPr="008821B7">
        <w:rPr>
          <w:rFonts w:cstheme="minorHAnsi"/>
        </w:rPr>
        <w:t>God</w:t>
      </w:r>
      <w:r w:rsidRPr="008821B7">
        <w:rPr>
          <w:rFonts w:cstheme="minorHAnsi"/>
        </w:rPr>
        <w:t>, astrology</w:t>
      </w:r>
      <w:r w:rsidR="00B75C00" w:rsidRPr="008821B7">
        <w:rPr>
          <w:rFonts w:cstheme="minorHAnsi"/>
        </w:rPr>
        <w:t xml:space="preserve"> and/or</w:t>
      </w:r>
      <w:r w:rsidRPr="008821B7">
        <w:rPr>
          <w:rFonts w:cstheme="minorHAnsi"/>
        </w:rPr>
        <w:t xml:space="preserve"> reincarnation</w:t>
      </w:r>
      <w:r w:rsidR="00B75C00" w:rsidRPr="008821B7">
        <w:rPr>
          <w:rFonts w:cstheme="minorHAnsi"/>
        </w:rPr>
        <w:t xml:space="preserve"> simultaneously.</w:t>
      </w:r>
      <w:r w:rsidRPr="008821B7">
        <w:rPr>
          <w:rStyle w:val="FootnoteReference"/>
          <w:rFonts w:cstheme="minorHAnsi"/>
        </w:rPr>
        <w:footnoteReference w:id="3"/>
      </w:r>
      <w:r w:rsidRPr="008821B7">
        <w:rPr>
          <w:rFonts w:cstheme="minorHAnsi"/>
        </w:rPr>
        <w:t xml:space="preserve"> </w:t>
      </w:r>
      <w:r w:rsidR="00F5049D" w:rsidRPr="008821B7">
        <w:rPr>
          <w:rFonts w:cstheme="minorHAnsi"/>
        </w:rPr>
        <w:t>Brink</w:t>
      </w:r>
      <w:r w:rsidRPr="008821B7">
        <w:rPr>
          <w:rFonts w:cstheme="minorHAnsi"/>
        </w:rPr>
        <w:t xml:space="preserve"> assumed their apparent Catholicism would </w:t>
      </w:r>
      <w:r w:rsidR="00CD51EF" w:rsidRPr="008821B7">
        <w:rPr>
          <w:rFonts w:cstheme="minorHAnsi"/>
        </w:rPr>
        <w:t xml:space="preserve">exclude belief in astrology/reincarnation. </w:t>
      </w:r>
      <w:r w:rsidRPr="008821B7">
        <w:rPr>
          <w:rFonts w:cstheme="minorHAnsi"/>
        </w:rPr>
        <w:t xml:space="preserve">He recruited 227 students from a girls’ Catholic high school in Chicago. </w:t>
      </w:r>
    </w:p>
    <w:p w14:paraId="1D7B0169" w14:textId="166DA83D" w:rsidR="00D17ECF" w:rsidRPr="008821B7" w:rsidRDefault="00696499" w:rsidP="008821B7">
      <w:pPr>
        <w:spacing w:line="360" w:lineRule="auto"/>
        <w:rPr>
          <w:rFonts w:cstheme="minorHAnsi"/>
        </w:rPr>
      </w:pPr>
      <w:r w:rsidRPr="008821B7">
        <w:rPr>
          <w:rFonts w:cstheme="minorHAnsi"/>
        </w:rPr>
        <w:lastRenderedPageBreak/>
        <w:t xml:space="preserve">Walter and Waterhouse recruited a smaller sample </w:t>
      </w:r>
      <w:r w:rsidR="00463F60" w:rsidRPr="008821B7">
        <w:rPr>
          <w:rFonts w:cstheme="minorHAnsi"/>
        </w:rPr>
        <w:t>group</w:t>
      </w:r>
      <w:r w:rsidR="00CD51EF" w:rsidRPr="008821B7">
        <w:rPr>
          <w:rFonts w:cstheme="minorHAnsi"/>
        </w:rPr>
        <w:t xml:space="preserve"> as they did not intend ‘</w:t>
      </w:r>
      <w:r w:rsidRPr="008821B7">
        <w:rPr>
          <w:rFonts w:cstheme="minorHAnsi"/>
        </w:rPr>
        <w:t>to assemble a representative sample.’</w:t>
      </w:r>
      <w:r w:rsidRPr="008821B7">
        <w:rPr>
          <w:rStyle w:val="FootnoteReference"/>
          <w:rFonts w:cstheme="minorHAnsi"/>
        </w:rPr>
        <w:footnoteReference w:id="4"/>
      </w:r>
      <w:r w:rsidRPr="008821B7">
        <w:rPr>
          <w:rFonts w:cstheme="minorHAnsi"/>
        </w:rPr>
        <w:t xml:space="preserve">  Unlike Brink’s positivist, </w:t>
      </w:r>
      <w:r w:rsidR="000307BB" w:rsidRPr="008821B7">
        <w:rPr>
          <w:rFonts w:cstheme="minorHAnsi"/>
        </w:rPr>
        <w:t>probability</w:t>
      </w:r>
      <w:r w:rsidRPr="008821B7">
        <w:rPr>
          <w:rFonts w:cstheme="minorHAnsi"/>
        </w:rPr>
        <w:t xml:space="preserve"> approach</w:t>
      </w:r>
      <w:r w:rsidR="00463F60" w:rsidRPr="008821B7">
        <w:rPr>
          <w:rFonts w:cstheme="minorHAnsi"/>
        </w:rPr>
        <w:t>,</w:t>
      </w:r>
      <w:r w:rsidRPr="008821B7">
        <w:rPr>
          <w:rFonts w:cstheme="minorHAnsi"/>
        </w:rPr>
        <w:t xml:space="preserve"> </w:t>
      </w:r>
      <w:r w:rsidR="00CD51EF" w:rsidRPr="008821B7">
        <w:rPr>
          <w:rFonts w:cstheme="minorHAnsi"/>
        </w:rPr>
        <w:t>selecting</w:t>
      </w:r>
      <w:r w:rsidRPr="008821B7">
        <w:rPr>
          <w:rFonts w:cstheme="minorHAnsi"/>
        </w:rPr>
        <w:t xml:space="preserve"> his sample on the assumption that the</w:t>
      </w:r>
      <w:r w:rsidR="00D17ECF" w:rsidRPr="008821B7">
        <w:rPr>
          <w:rFonts w:cstheme="minorHAnsi"/>
        </w:rPr>
        <w:t xml:space="preserve"> girls</w:t>
      </w:r>
      <w:r w:rsidRPr="008821B7">
        <w:rPr>
          <w:rFonts w:cstheme="minorHAnsi"/>
        </w:rPr>
        <w:t xml:space="preserve"> were likely to believe that Catholicism was ‘the one for them’</w:t>
      </w:r>
      <w:r w:rsidRPr="008821B7">
        <w:rPr>
          <w:rStyle w:val="FootnoteReference"/>
          <w:rFonts w:cstheme="minorHAnsi"/>
        </w:rPr>
        <w:footnoteReference w:id="5"/>
      </w:r>
      <w:r w:rsidRPr="008821B7">
        <w:rPr>
          <w:rFonts w:cstheme="minorHAnsi"/>
        </w:rPr>
        <w:t xml:space="preserve">, </w:t>
      </w:r>
      <w:r w:rsidR="00D17ECF" w:rsidRPr="008821B7">
        <w:rPr>
          <w:rFonts w:cstheme="minorHAnsi"/>
        </w:rPr>
        <w:t>Walter and Waterhouse</w:t>
      </w:r>
      <w:r w:rsidRPr="008821B7">
        <w:rPr>
          <w:rFonts w:cstheme="minorHAnsi"/>
        </w:rPr>
        <w:t xml:space="preserve"> were not looking to extrapolate general characteristics of a particular </w:t>
      </w:r>
      <w:r w:rsidR="00D17ECF" w:rsidRPr="008821B7">
        <w:rPr>
          <w:rFonts w:cstheme="minorHAnsi"/>
        </w:rPr>
        <w:t xml:space="preserve">representative </w:t>
      </w:r>
      <w:r w:rsidRPr="008821B7">
        <w:rPr>
          <w:rFonts w:cstheme="minorHAnsi"/>
        </w:rPr>
        <w:t>group</w:t>
      </w:r>
      <w:r w:rsidR="00D17ECF" w:rsidRPr="008821B7">
        <w:rPr>
          <w:rFonts w:cstheme="minorHAnsi"/>
        </w:rPr>
        <w:t xml:space="preserve">. </w:t>
      </w:r>
    </w:p>
    <w:p w14:paraId="784A72E8" w14:textId="33C86F04" w:rsidR="00696499" w:rsidRPr="008821B7" w:rsidRDefault="00CD51EF" w:rsidP="008821B7">
      <w:pPr>
        <w:spacing w:line="360" w:lineRule="auto"/>
        <w:rPr>
          <w:rFonts w:cstheme="minorHAnsi"/>
        </w:rPr>
      </w:pPr>
      <w:r w:rsidRPr="008821B7">
        <w:rPr>
          <w:rFonts w:cstheme="minorHAnsi"/>
        </w:rPr>
        <w:t>Unl</w:t>
      </w:r>
      <w:r w:rsidR="00696499" w:rsidRPr="008821B7">
        <w:rPr>
          <w:rFonts w:cstheme="minorHAnsi"/>
        </w:rPr>
        <w:t xml:space="preserve">ike Brink, </w:t>
      </w:r>
      <w:r w:rsidR="00D17ECF" w:rsidRPr="008821B7">
        <w:rPr>
          <w:rFonts w:cstheme="minorHAnsi"/>
        </w:rPr>
        <w:t xml:space="preserve">Walter and Waterhouse </w:t>
      </w:r>
      <w:r w:rsidR="00696499" w:rsidRPr="008821B7">
        <w:rPr>
          <w:rFonts w:cstheme="minorHAnsi"/>
        </w:rPr>
        <w:t>interviewed adults</w:t>
      </w:r>
      <w:r w:rsidRPr="008821B7">
        <w:rPr>
          <w:rFonts w:cstheme="minorHAnsi"/>
        </w:rPr>
        <w:t>, as well as young people</w:t>
      </w:r>
      <w:r w:rsidR="00D17ECF" w:rsidRPr="008821B7">
        <w:rPr>
          <w:rFonts w:cstheme="minorHAnsi"/>
        </w:rPr>
        <w:t xml:space="preserve">. This </w:t>
      </w:r>
      <w:r w:rsidR="00696499" w:rsidRPr="008821B7">
        <w:rPr>
          <w:rFonts w:cstheme="minorHAnsi"/>
        </w:rPr>
        <w:t xml:space="preserve">gave them a wider spectrum of views, despite being a smaller sample group. Walter and Waterhouse were also more selective in their recruitment of </w:t>
      </w:r>
      <w:r w:rsidR="00D17ECF" w:rsidRPr="008821B7">
        <w:rPr>
          <w:rFonts w:cstheme="minorHAnsi"/>
        </w:rPr>
        <w:t>participants</w:t>
      </w:r>
      <w:r w:rsidR="00696499" w:rsidRPr="008821B7">
        <w:rPr>
          <w:rFonts w:cstheme="minorHAnsi"/>
        </w:rPr>
        <w:t xml:space="preserve"> than Brink</w:t>
      </w:r>
      <w:r w:rsidR="00463F60" w:rsidRPr="008821B7">
        <w:rPr>
          <w:rFonts w:cstheme="minorHAnsi"/>
        </w:rPr>
        <w:t>, excluding</w:t>
      </w:r>
      <w:r w:rsidR="00696499" w:rsidRPr="008821B7">
        <w:rPr>
          <w:rFonts w:cstheme="minorHAnsi"/>
        </w:rPr>
        <w:t xml:space="preserve"> Hindu, Sikh and Buddhist, as well as ‘obvious New Agers’.</w:t>
      </w:r>
      <w:r w:rsidR="00696499" w:rsidRPr="008821B7">
        <w:rPr>
          <w:rStyle w:val="FootnoteReference"/>
          <w:rFonts w:cstheme="minorHAnsi"/>
        </w:rPr>
        <w:footnoteReference w:id="6"/>
      </w:r>
      <w:r w:rsidR="00696499" w:rsidRPr="008821B7">
        <w:rPr>
          <w:rFonts w:cstheme="minorHAnsi"/>
        </w:rPr>
        <w:t xml:space="preserve">  </w:t>
      </w:r>
      <w:proofErr w:type="spellStart"/>
      <w:r w:rsidR="00696499" w:rsidRPr="008821B7">
        <w:rPr>
          <w:rFonts w:cstheme="minorHAnsi"/>
        </w:rPr>
        <w:t>Hennink</w:t>
      </w:r>
      <w:proofErr w:type="spellEnd"/>
      <w:r w:rsidR="00696499" w:rsidRPr="008821B7">
        <w:rPr>
          <w:rFonts w:cstheme="minorHAnsi"/>
        </w:rPr>
        <w:t xml:space="preserve">, </w:t>
      </w:r>
      <w:proofErr w:type="spellStart"/>
      <w:r w:rsidR="00696499" w:rsidRPr="008821B7">
        <w:rPr>
          <w:rFonts w:cstheme="minorHAnsi"/>
        </w:rPr>
        <w:t>Hutter</w:t>
      </w:r>
      <w:proofErr w:type="spellEnd"/>
      <w:r w:rsidR="00696499" w:rsidRPr="008821B7">
        <w:rPr>
          <w:rFonts w:cstheme="minorHAnsi"/>
        </w:rPr>
        <w:t xml:space="preserve"> and Bailey suggest that </w:t>
      </w:r>
      <w:r w:rsidR="00D17ECF" w:rsidRPr="008821B7">
        <w:rPr>
          <w:rFonts w:cstheme="minorHAnsi"/>
        </w:rPr>
        <w:t>a</w:t>
      </w:r>
      <w:r w:rsidR="00696499" w:rsidRPr="008821B7">
        <w:rPr>
          <w:rFonts w:cstheme="minorHAnsi"/>
        </w:rPr>
        <w:t xml:space="preserve"> ‘study population needs to be clearly defined so that you can determine who is eligible to participate in the study.’</w:t>
      </w:r>
      <w:r w:rsidR="00696499" w:rsidRPr="008821B7">
        <w:rPr>
          <w:rStyle w:val="FootnoteReference"/>
          <w:rFonts w:cstheme="minorHAnsi"/>
        </w:rPr>
        <w:footnoteReference w:id="7"/>
      </w:r>
      <w:r w:rsidR="00696499" w:rsidRPr="008821B7">
        <w:rPr>
          <w:rFonts w:cstheme="minorHAnsi"/>
        </w:rPr>
        <w:t xml:space="preserve"> Walter and Waterhouse </w:t>
      </w:r>
      <w:r w:rsidR="000D008B" w:rsidRPr="008821B7">
        <w:rPr>
          <w:rFonts w:cstheme="minorHAnsi"/>
        </w:rPr>
        <w:t xml:space="preserve">linked their exclusion </w:t>
      </w:r>
      <w:r w:rsidR="00696499" w:rsidRPr="008821B7">
        <w:rPr>
          <w:rFonts w:cstheme="minorHAnsi"/>
        </w:rPr>
        <w:t xml:space="preserve">rationale </w:t>
      </w:r>
      <w:r w:rsidR="00463F60" w:rsidRPr="008821B7">
        <w:rPr>
          <w:rFonts w:cstheme="minorHAnsi"/>
        </w:rPr>
        <w:t>very</w:t>
      </w:r>
      <w:r w:rsidR="00696499" w:rsidRPr="008821B7">
        <w:rPr>
          <w:rFonts w:cstheme="minorHAnsi"/>
        </w:rPr>
        <w:t xml:space="preserve"> clearly to their original research topi</w:t>
      </w:r>
      <w:r w:rsidR="00D17ECF" w:rsidRPr="008821B7">
        <w:rPr>
          <w:rFonts w:cstheme="minorHAnsi"/>
        </w:rPr>
        <w:t>c</w:t>
      </w:r>
      <w:r w:rsidR="00696499" w:rsidRPr="008821B7">
        <w:rPr>
          <w:rFonts w:cstheme="minorHAnsi"/>
        </w:rPr>
        <w:t xml:space="preserve">, </w:t>
      </w:r>
      <w:r w:rsidR="000D008B" w:rsidRPr="008821B7">
        <w:rPr>
          <w:rFonts w:cstheme="minorHAnsi"/>
        </w:rPr>
        <w:t>suggesting</w:t>
      </w:r>
      <w:r w:rsidR="00696499" w:rsidRPr="008821B7">
        <w:rPr>
          <w:rFonts w:cstheme="minorHAnsi"/>
        </w:rPr>
        <w:t xml:space="preserve"> that that they</w:t>
      </w:r>
      <w:r w:rsidR="000D008B" w:rsidRPr="008821B7">
        <w:rPr>
          <w:rFonts w:cstheme="minorHAnsi"/>
        </w:rPr>
        <w:t xml:space="preserve"> </w:t>
      </w:r>
      <w:r w:rsidR="00696499" w:rsidRPr="008821B7">
        <w:rPr>
          <w:rFonts w:cstheme="minorHAnsi"/>
        </w:rPr>
        <w:t>defined their study population more clearly than Brink, with his convenience sampling.</w:t>
      </w:r>
    </w:p>
    <w:p w14:paraId="45585100" w14:textId="7C161A02" w:rsidR="00696499" w:rsidRPr="008821B7" w:rsidRDefault="00696499" w:rsidP="008821B7">
      <w:pPr>
        <w:spacing w:line="360" w:lineRule="auto"/>
        <w:rPr>
          <w:rFonts w:cstheme="minorHAnsi"/>
        </w:rPr>
      </w:pPr>
      <w:r w:rsidRPr="008821B7">
        <w:rPr>
          <w:rFonts w:cstheme="minorHAnsi"/>
        </w:rPr>
        <w:t>The two papers describe different methods for recruiting their participants.</w:t>
      </w:r>
      <w:r w:rsidR="00942210" w:rsidRPr="008821B7">
        <w:rPr>
          <w:rFonts w:cstheme="minorHAnsi"/>
        </w:rPr>
        <w:t xml:space="preserve"> </w:t>
      </w:r>
      <w:r w:rsidRPr="008821B7">
        <w:rPr>
          <w:rFonts w:cstheme="minorHAnsi"/>
        </w:rPr>
        <w:t>Brink’s survey was administered in school, during class, and whoever was present in class that day received the questionnaire</w:t>
      </w:r>
      <w:r w:rsidR="000D008B" w:rsidRPr="008821B7">
        <w:rPr>
          <w:rFonts w:cstheme="minorHAnsi"/>
        </w:rPr>
        <w:t>, which was</w:t>
      </w:r>
      <w:r w:rsidRPr="008821B7">
        <w:rPr>
          <w:rFonts w:cstheme="minorHAnsi"/>
        </w:rPr>
        <w:t xml:space="preserve"> a form of “opportunity” sampling. </w:t>
      </w:r>
      <w:r w:rsidR="00942210" w:rsidRPr="008821B7">
        <w:rPr>
          <w:rFonts w:cstheme="minorHAnsi"/>
        </w:rPr>
        <w:t xml:space="preserve"> </w:t>
      </w:r>
      <w:r w:rsidRPr="008821B7">
        <w:rPr>
          <w:rFonts w:cstheme="minorHAnsi"/>
        </w:rPr>
        <w:t xml:space="preserve">Bell and Waters </w:t>
      </w:r>
      <w:r w:rsidR="00942210" w:rsidRPr="008821B7">
        <w:rPr>
          <w:rFonts w:cstheme="minorHAnsi"/>
        </w:rPr>
        <w:t>explain</w:t>
      </w:r>
      <w:r w:rsidRPr="008821B7">
        <w:rPr>
          <w:rFonts w:cstheme="minorHAnsi"/>
        </w:rPr>
        <w:t xml:space="preserve"> that such samples are ‘generally acceptable, as long as the make-up of the sample is clearly </w:t>
      </w:r>
      <w:proofErr w:type="gramStart"/>
      <w:r w:rsidRPr="008821B7">
        <w:rPr>
          <w:rFonts w:cstheme="minorHAnsi"/>
        </w:rPr>
        <w:t>stated</w:t>
      </w:r>
      <w:proofErr w:type="gramEnd"/>
      <w:r w:rsidRPr="008821B7">
        <w:rPr>
          <w:rFonts w:cstheme="minorHAnsi"/>
        </w:rPr>
        <w:t xml:space="preserve"> and the limitations of the data are realized.’</w:t>
      </w:r>
      <w:r w:rsidRPr="008821B7">
        <w:rPr>
          <w:rStyle w:val="FootnoteReference"/>
          <w:rFonts w:cstheme="minorHAnsi"/>
        </w:rPr>
        <w:footnoteReference w:id="8"/>
      </w:r>
      <w:r w:rsidRPr="008821B7">
        <w:rPr>
          <w:rFonts w:cstheme="minorHAnsi"/>
        </w:rPr>
        <w:t xml:space="preserve">  Brink does describe the make-up of the sample group </w:t>
      </w:r>
      <w:r w:rsidR="00942210" w:rsidRPr="008821B7">
        <w:rPr>
          <w:rFonts w:cstheme="minorHAnsi"/>
        </w:rPr>
        <w:t>–</w:t>
      </w:r>
      <w:r w:rsidRPr="008821B7">
        <w:rPr>
          <w:rFonts w:cstheme="minorHAnsi"/>
        </w:rPr>
        <w:t xml:space="preserve"> girls from working-class Polish and Italian families from </w:t>
      </w:r>
      <w:r w:rsidR="009C2658" w:rsidRPr="008821B7">
        <w:rPr>
          <w:rFonts w:cstheme="minorHAnsi"/>
        </w:rPr>
        <w:t>Chicago but</w:t>
      </w:r>
      <w:r w:rsidR="000D008B" w:rsidRPr="008821B7">
        <w:rPr>
          <w:rFonts w:cstheme="minorHAnsi"/>
        </w:rPr>
        <w:t xml:space="preserve"> fails to</w:t>
      </w:r>
      <w:r w:rsidRPr="008821B7">
        <w:rPr>
          <w:rFonts w:cstheme="minorHAnsi"/>
        </w:rPr>
        <w:t xml:space="preserve"> explore the limitations</w:t>
      </w:r>
      <w:r w:rsidR="000D008B" w:rsidRPr="008821B7">
        <w:rPr>
          <w:rFonts w:cstheme="minorHAnsi"/>
        </w:rPr>
        <w:t xml:space="preserve"> that</w:t>
      </w:r>
      <w:r w:rsidRPr="008821B7">
        <w:rPr>
          <w:rFonts w:cstheme="minorHAnsi"/>
        </w:rPr>
        <w:t xml:space="preserve"> such a convenience sample might have had on data collect</w:t>
      </w:r>
      <w:r w:rsidR="00463F60" w:rsidRPr="008821B7">
        <w:rPr>
          <w:rFonts w:cstheme="minorHAnsi"/>
        </w:rPr>
        <w:t>ion</w:t>
      </w:r>
      <w:r w:rsidRPr="008821B7">
        <w:rPr>
          <w:rFonts w:cstheme="minorHAnsi"/>
        </w:rPr>
        <w:t xml:space="preserve">. For example, when his survey produces unexpected data, Brink cites findings of sociologists like </w:t>
      </w:r>
      <w:proofErr w:type="spellStart"/>
      <w:r w:rsidR="00942210" w:rsidRPr="008821B7">
        <w:rPr>
          <w:rFonts w:cstheme="minorHAnsi"/>
        </w:rPr>
        <w:t>Wuthnow</w:t>
      </w:r>
      <w:proofErr w:type="spellEnd"/>
      <w:r w:rsidR="00942210" w:rsidRPr="008821B7">
        <w:rPr>
          <w:rFonts w:cstheme="minorHAnsi"/>
        </w:rPr>
        <w:t xml:space="preserve"> (</w:t>
      </w:r>
      <w:r w:rsidRPr="008821B7">
        <w:rPr>
          <w:rFonts w:cstheme="minorHAnsi"/>
        </w:rPr>
        <w:t xml:space="preserve">who attributes changes in belief to social changes) rather than exploring the limitations of the fact that he had sampled a very homogeneous group. </w:t>
      </w:r>
    </w:p>
    <w:p w14:paraId="682842A4" w14:textId="4C5C158B" w:rsidR="00696499" w:rsidRPr="008821B7" w:rsidRDefault="00696499" w:rsidP="008821B7">
      <w:pPr>
        <w:spacing w:line="360" w:lineRule="auto"/>
        <w:rPr>
          <w:rFonts w:cstheme="minorHAnsi"/>
        </w:rPr>
      </w:pPr>
      <w:r w:rsidRPr="008821B7">
        <w:rPr>
          <w:rFonts w:cstheme="minorHAnsi"/>
        </w:rPr>
        <w:t xml:space="preserve">Walter and Waterhouse </w:t>
      </w:r>
      <w:r w:rsidR="000D008B" w:rsidRPr="008821B7">
        <w:rPr>
          <w:rFonts w:cstheme="minorHAnsi"/>
        </w:rPr>
        <w:t>describe</w:t>
      </w:r>
      <w:r w:rsidRPr="008821B7">
        <w:rPr>
          <w:rFonts w:cstheme="minorHAnsi"/>
        </w:rPr>
        <w:t xml:space="preserve"> their recruitment methods</w:t>
      </w:r>
      <w:r w:rsidR="000D008B" w:rsidRPr="008821B7">
        <w:rPr>
          <w:rFonts w:cstheme="minorHAnsi"/>
        </w:rPr>
        <w:t xml:space="preserve"> more thoroughly</w:t>
      </w:r>
      <w:r w:rsidR="00856F6E" w:rsidRPr="008821B7">
        <w:rPr>
          <w:rFonts w:cstheme="minorHAnsi"/>
        </w:rPr>
        <w:t xml:space="preserve"> than Brink</w:t>
      </w:r>
      <w:r w:rsidRPr="008821B7">
        <w:rPr>
          <w:rFonts w:cstheme="minorHAnsi"/>
        </w:rPr>
        <w:t xml:space="preserve">. They </w:t>
      </w:r>
      <w:r w:rsidR="000D008B" w:rsidRPr="008821B7">
        <w:rPr>
          <w:rFonts w:cstheme="minorHAnsi"/>
        </w:rPr>
        <w:t>used</w:t>
      </w:r>
      <w:r w:rsidRPr="008821B7">
        <w:rPr>
          <w:rFonts w:cstheme="minorHAnsi"/>
        </w:rPr>
        <w:t xml:space="preserve"> a combination of personal contacts, local </w:t>
      </w:r>
      <w:r w:rsidR="009C2658" w:rsidRPr="008821B7">
        <w:rPr>
          <w:rFonts w:cstheme="minorHAnsi"/>
        </w:rPr>
        <w:t>gatekeepers,</w:t>
      </w:r>
      <w:r w:rsidRPr="008821B7">
        <w:rPr>
          <w:rFonts w:cstheme="minorHAnsi"/>
        </w:rPr>
        <w:t xml:space="preserve"> and a snowballing effect. </w:t>
      </w:r>
      <w:proofErr w:type="spellStart"/>
      <w:r w:rsidRPr="008821B7">
        <w:rPr>
          <w:rFonts w:cstheme="minorHAnsi"/>
        </w:rPr>
        <w:t>Hennink</w:t>
      </w:r>
      <w:proofErr w:type="spellEnd"/>
      <w:r w:rsidRPr="008821B7">
        <w:rPr>
          <w:rFonts w:cstheme="minorHAnsi"/>
        </w:rPr>
        <w:t xml:space="preserve">, </w:t>
      </w:r>
      <w:proofErr w:type="spellStart"/>
      <w:r w:rsidRPr="008821B7">
        <w:rPr>
          <w:rFonts w:cstheme="minorHAnsi"/>
        </w:rPr>
        <w:t>Hutter</w:t>
      </w:r>
      <w:proofErr w:type="spellEnd"/>
      <w:r w:rsidRPr="008821B7">
        <w:rPr>
          <w:rFonts w:cstheme="minorHAnsi"/>
        </w:rPr>
        <w:t xml:space="preserve"> and Bailey (2020) suggest that using gatekeepers and the snowballing method helps researchers gain the </w:t>
      </w:r>
      <w:r w:rsidRPr="008821B7">
        <w:rPr>
          <w:rFonts w:cstheme="minorHAnsi"/>
        </w:rPr>
        <w:lastRenderedPageBreak/>
        <w:t>trust of participants, as well encouraging participants who might not have responded to a more anonymised call to engagement</w:t>
      </w:r>
      <w:r w:rsidRPr="008821B7">
        <w:rPr>
          <w:rStyle w:val="FootnoteReference"/>
          <w:rFonts w:cstheme="minorHAnsi"/>
        </w:rPr>
        <w:footnoteReference w:id="9"/>
      </w:r>
      <w:r w:rsidRPr="008821B7">
        <w:rPr>
          <w:rFonts w:cstheme="minorHAnsi"/>
        </w:rPr>
        <w:t xml:space="preserve">. </w:t>
      </w:r>
    </w:p>
    <w:p w14:paraId="6B917F04" w14:textId="1354BA6C" w:rsidR="00696499" w:rsidRPr="008821B7" w:rsidRDefault="00696499" w:rsidP="008821B7">
      <w:pPr>
        <w:spacing w:line="360" w:lineRule="auto"/>
        <w:rPr>
          <w:rFonts w:cstheme="minorHAnsi"/>
        </w:rPr>
      </w:pPr>
      <w:proofErr w:type="spellStart"/>
      <w:r w:rsidRPr="008821B7">
        <w:rPr>
          <w:rFonts w:cstheme="minorHAnsi"/>
        </w:rPr>
        <w:t>Hen</w:t>
      </w:r>
      <w:r w:rsidR="00856F6E" w:rsidRPr="008821B7">
        <w:rPr>
          <w:rFonts w:cstheme="minorHAnsi"/>
        </w:rPr>
        <w:t>n</w:t>
      </w:r>
      <w:r w:rsidRPr="008821B7">
        <w:rPr>
          <w:rFonts w:cstheme="minorHAnsi"/>
        </w:rPr>
        <w:t>ink</w:t>
      </w:r>
      <w:proofErr w:type="spellEnd"/>
      <w:r w:rsidRPr="008821B7">
        <w:rPr>
          <w:rFonts w:cstheme="minorHAnsi"/>
        </w:rPr>
        <w:t xml:space="preserve">, </w:t>
      </w:r>
      <w:proofErr w:type="spellStart"/>
      <w:r w:rsidRPr="008821B7">
        <w:rPr>
          <w:rFonts w:cstheme="minorHAnsi"/>
        </w:rPr>
        <w:t>Hutter</w:t>
      </w:r>
      <w:proofErr w:type="spellEnd"/>
      <w:r w:rsidRPr="008821B7">
        <w:rPr>
          <w:rFonts w:cstheme="minorHAnsi"/>
        </w:rPr>
        <w:t xml:space="preserve"> and Bailey </w:t>
      </w:r>
      <w:r w:rsidR="009C2658" w:rsidRPr="008821B7">
        <w:rPr>
          <w:rFonts w:cstheme="minorHAnsi"/>
        </w:rPr>
        <w:t xml:space="preserve">recommend using a </w:t>
      </w:r>
      <w:r w:rsidRPr="008821B7">
        <w:rPr>
          <w:rFonts w:cstheme="minorHAnsi"/>
        </w:rPr>
        <w:t xml:space="preserve">diversity of participants </w:t>
      </w:r>
      <w:r w:rsidR="009C2658" w:rsidRPr="008821B7">
        <w:rPr>
          <w:rFonts w:cstheme="minorHAnsi"/>
        </w:rPr>
        <w:t>to</w:t>
      </w:r>
      <w:r w:rsidRPr="008821B7">
        <w:rPr>
          <w:rFonts w:cstheme="minorHAnsi"/>
        </w:rPr>
        <w:t xml:space="preserve"> understand ‘the study issues in all their dimensions and contextual nuances’</w:t>
      </w:r>
      <w:r w:rsidRPr="008821B7">
        <w:rPr>
          <w:rStyle w:val="FootnoteReference"/>
          <w:rFonts w:cstheme="minorHAnsi"/>
        </w:rPr>
        <w:footnoteReference w:id="10"/>
      </w:r>
      <w:r w:rsidRPr="008821B7">
        <w:rPr>
          <w:rFonts w:cstheme="minorHAnsi"/>
        </w:rPr>
        <w:t xml:space="preserve"> </w:t>
      </w:r>
      <w:r w:rsidR="009C2658" w:rsidRPr="008821B7">
        <w:rPr>
          <w:rFonts w:cstheme="minorHAnsi"/>
        </w:rPr>
        <w:t>- a</w:t>
      </w:r>
      <w:r w:rsidRPr="008821B7">
        <w:rPr>
          <w:rFonts w:cstheme="minorHAnsi"/>
        </w:rPr>
        <w:t xml:space="preserve"> depth of nuance especially important when studying small sampl</w:t>
      </w:r>
      <w:r w:rsidR="00FF5ADD" w:rsidRPr="008821B7">
        <w:rPr>
          <w:rFonts w:cstheme="minorHAnsi"/>
        </w:rPr>
        <w:t>e</w:t>
      </w:r>
      <w:r w:rsidR="009C2658" w:rsidRPr="008821B7">
        <w:rPr>
          <w:rFonts w:cstheme="minorHAnsi"/>
        </w:rPr>
        <w:t>s</w:t>
      </w:r>
      <w:r w:rsidRPr="008821B7">
        <w:rPr>
          <w:rFonts w:cstheme="minorHAnsi"/>
        </w:rPr>
        <w:t>. Walter and Waterhouse</w:t>
      </w:r>
      <w:r w:rsidR="009C2658" w:rsidRPr="008821B7">
        <w:rPr>
          <w:rFonts w:cstheme="minorHAnsi"/>
        </w:rPr>
        <w:t xml:space="preserve">’s recruitment of </w:t>
      </w:r>
      <w:r w:rsidRPr="008821B7">
        <w:rPr>
          <w:rFonts w:cstheme="minorHAnsi"/>
        </w:rPr>
        <w:t>adults</w:t>
      </w:r>
      <w:r w:rsidR="009C2658" w:rsidRPr="008821B7">
        <w:rPr>
          <w:rFonts w:cstheme="minorHAnsi"/>
        </w:rPr>
        <w:t xml:space="preserve"> </w:t>
      </w:r>
      <w:r w:rsidRPr="008821B7">
        <w:rPr>
          <w:rFonts w:cstheme="minorHAnsi"/>
        </w:rPr>
        <w:t>added more diversity to their s</w:t>
      </w:r>
      <w:r w:rsidR="009C2658" w:rsidRPr="008821B7">
        <w:rPr>
          <w:rFonts w:cstheme="minorHAnsi"/>
        </w:rPr>
        <w:t xml:space="preserve">tudy, </w:t>
      </w:r>
      <w:proofErr w:type="gramStart"/>
      <w:r w:rsidR="009C2658" w:rsidRPr="008821B7">
        <w:rPr>
          <w:rFonts w:cstheme="minorHAnsi"/>
        </w:rPr>
        <w:t>e.g.</w:t>
      </w:r>
      <w:proofErr w:type="gramEnd"/>
      <w:r w:rsidRPr="008821B7">
        <w:rPr>
          <w:rFonts w:cstheme="minorHAnsi"/>
        </w:rPr>
        <w:t xml:space="preserve"> Christians, Quakers and people from a range of socio-economic groups, compared to Brink’s working-class Catholic schoolgirls. However, Walter and Waterhouse’s research might have struggled with homogeneity of belief in the same way </w:t>
      </w:r>
      <w:r w:rsidR="009C2658" w:rsidRPr="008821B7">
        <w:rPr>
          <w:rFonts w:cstheme="minorHAnsi"/>
        </w:rPr>
        <w:t>as</w:t>
      </w:r>
      <w:r w:rsidRPr="008821B7">
        <w:rPr>
          <w:rFonts w:cstheme="minorHAnsi"/>
        </w:rPr>
        <w:t xml:space="preserve"> Brink’s sample. </w:t>
      </w:r>
      <w:r w:rsidR="00FF5ADD" w:rsidRPr="008821B7">
        <w:rPr>
          <w:rFonts w:cstheme="minorHAnsi"/>
        </w:rPr>
        <w:t>Assuming their</w:t>
      </w:r>
      <w:r w:rsidRPr="008821B7">
        <w:rPr>
          <w:rFonts w:cstheme="minorHAnsi"/>
        </w:rPr>
        <w:t xml:space="preserve"> personal contacts are pulling in their own personal contacts, potentially</w:t>
      </w:r>
      <w:r w:rsidR="00856F6E" w:rsidRPr="008821B7">
        <w:rPr>
          <w:rFonts w:cstheme="minorHAnsi"/>
        </w:rPr>
        <w:t>,</w:t>
      </w:r>
      <w:r w:rsidRPr="008821B7">
        <w:rPr>
          <w:rFonts w:cstheme="minorHAnsi"/>
        </w:rPr>
        <w:t xml:space="preserve"> they all believe similar things. This would affect the data in the same way as it would Brink’s in that the research would not have generated a wide spectrum of belief. </w:t>
      </w:r>
    </w:p>
    <w:p w14:paraId="58EA686E" w14:textId="0DB04FFA" w:rsidR="00696499" w:rsidRPr="008821B7" w:rsidRDefault="00696499" w:rsidP="008821B7">
      <w:pPr>
        <w:spacing w:line="360" w:lineRule="auto"/>
        <w:rPr>
          <w:rFonts w:cstheme="minorHAnsi"/>
        </w:rPr>
      </w:pPr>
      <w:proofErr w:type="spellStart"/>
      <w:r w:rsidRPr="008821B7">
        <w:rPr>
          <w:rFonts w:cstheme="minorHAnsi"/>
        </w:rPr>
        <w:t>Hennink</w:t>
      </w:r>
      <w:proofErr w:type="spellEnd"/>
      <w:r w:rsidRPr="008821B7">
        <w:rPr>
          <w:rFonts w:cstheme="minorHAnsi"/>
        </w:rPr>
        <w:t xml:space="preserve">, </w:t>
      </w:r>
      <w:proofErr w:type="spellStart"/>
      <w:r w:rsidRPr="008821B7">
        <w:rPr>
          <w:rFonts w:cstheme="minorHAnsi"/>
        </w:rPr>
        <w:t>Hutter</w:t>
      </w:r>
      <w:proofErr w:type="spellEnd"/>
      <w:r w:rsidRPr="008821B7">
        <w:rPr>
          <w:rFonts w:cstheme="minorHAnsi"/>
        </w:rPr>
        <w:t xml:space="preserve"> and Bailey adv</w:t>
      </w:r>
      <w:r w:rsidR="00730171" w:rsidRPr="008821B7">
        <w:rPr>
          <w:rFonts w:cstheme="minorHAnsi"/>
        </w:rPr>
        <w:t xml:space="preserve">ocate being transparent with participants about the use of data and study outcomes, and </w:t>
      </w:r>
      <w:r w:rsidR="006434DE" w:rsidRPr="008821B7">
        <w:rPr>
          <w:rFonts w:cstheme="minorHAnsi"/>
        </w:rPr>
        <w:t xml:space="preserve">they </w:t>
      </w:r>
      <w:r w:rsidR="00730171" w:rsidRPr="008821B7">
        <w:rPr>
          <w:rFonts w:cstheme="minorHAnsi"/>
        </w:rPr>
        <w:t>advise researcher</w:t>
      </w:r>
      <w:r w:rsidR="006434DE" w:rsidRPr="008821B7">
        <w:rPr>
          <w:rFonts w:cstheme="minorHAnsi"/>
        </w:rPr>
        <w:t>s</w:t>
      </w:r>
      <w:r w:rsidR="00730171" w:rsidRPr="008821B7">
        <w:rPr>
          <w:rFonts w:cstheme="minorHAnsi"/>
        </w:rPr>
        <w:t xml:space="preserve"> to seek consent from potential participants.</w:t>
      </w:r>
      <w:r w:rsidRPr="008821B7">
        <w:rPr>
          <w:rStyle w:val="FootnoteReference"/>
          <w:rFonts w:cstheme="minorHAnsi"/>
        </w:rPr>
        <w:footnoteReference w:id="11"/>
      </w:r>
      <w:r w:rsidR="00FF5ADD" w:rsidRPr="008821B7">
        <w:rPr>
          <w:rFonts w:cstheme="minorHAnsi"/>
        </w:rPr>
        <w:t xml:space="preserve"> </w:t>
      </w:r>
      <w:r w:rsidR="00730171" w:rsidRPr="008821B7">
        <w:rPr>
          <w:rFonts w:cstheme="minorHAnsi"/>
        </w:rPr>
        <w:t>Neither paper describes how they access the young people, nor whether they sought consent from parents for the young people’s involvement in their studies.</w:t>
      </w:r>
      <w:r w:rsidRPr="008821B7">
        <w:rPr>
          <w:rFonts w:cstheme="minorHAnsi"/>
        </w:rPr>
        <w:t xml:space="preserve"> T</w:t>
      </w:r>
      <w:r w:rsidR="00856F6E" w:rsidRPr="008821B7">
        <w:rPr>
          <w:rFonts w:cstheme="minorHAnsi"/>
        </w:rPr>
        <w:t>oday,</w:t>
      </w:r>
      <w:r w:rsidRPr="008821B7">
        <w:rPr>
          <w:rFonts w:cstheme="minorHAnsi"/>
        </w:rPr>
        <w:t xml:space="preserve"> </w:t>
      </w:r>
      <w:r w:rsidR="00856F6E" w:rsidRPr="008821B7">
        <w:rPr>
          <w:rFonts w:cstheme="minorHAnsi"/>
        </w:rPr>
        <w:t xml:space="preserve">seeking </w:t>
      </w:r>
      <w:r w:rsidRPr="008821B7">
        <w:rPr>
          <w:rFonts w:cstheme="minorHAnsi"/>
        </w:rPr>
        <w:t>consent from the parents would be</w:t>
      </w:r>
      <w:r w:rsidR="00856F6E" w:rsidRPr="008821B7">
        <w:rPr>
          <w:rFonts w:cstheme="minorHAnsi"/>
        </w:rPr>
        <w:t xml:space="preserve"> </w:t>
      </w:r>
      <w:r w:rsidRPr="008821B7">
        <w:rPr>
          <w:rFonts w:cstheme="minorHAnsi"/>
        </w:rPr>
        <w:t xml:space="preserve">expected but </w:t>
      </w:r>
      <w:r w:rsidR="00FB5448" w:rsidRPr="008821B7">
        <w:rPr>
          <w:rFonts w:cstheme="minorHAnsi"/>
        </w:rPr>
        <w:t>both studies were conducted decades ago when ethical standards were different to today.</w:t>
      </w:r>
      <w:r w:rsidRPr="008821B7">
        <w:rPr>
          <w:rFonts w:cstheme="minorHAnsi"/>
        </w:rPr>
        <w:t xml:space="preserve"> Although modern readers can identify ethical concerns about the way </w:t>
      </w:r>
      <w:r w:rsidR="00FB5448" w:rsidRPr="008821B7">
        <w:rPr>
          <w:rFonts w:cstheme="minorHAnsi"/>
        </w:rPr>
        <w:t>the studies were conducted with young people</w:t>
      </w:r>
      <w:r w:rsidRPr="008821B7">
        <w:rPr>
          <w:rFonts w:cstheme="minorHAnsi"/>
        </w:rPr>
        <w:t>, it is important to recognise that th</w:t>
      </w:r>
      <w:r w:rsidR="00FB5448" w:rsidRPr="008821B7">
        <w:rPr>
          <w:rFonts w:cstheme="minorHAnsi"/>
        </w:rPr>
        <w:t xml:space="preserve">ese </w:t>
      </w:r>
      <w:r w:rsidRPr="008821B7">
        <w:rPr>
          <w:rFonts w:cstheme="minorHAnsi"/>
        </w:rPr>
        <w:t>paper</w:t>
      </w:r>
      <w:r w:rsidR="00FB5448" w:rsidRPr="008821B7">
        <w:rPr>
          <w:rFonts w:cstheme="minorHAnsi"/>
        </w:rPr>
        <w:t>s</w:t>
      </w:r>
      <w:r w:rsidRPr="008821B7">
        <w:rPr>
          <w:rFonts w:cstheme="minorHAnsi"/>
        </w:rPr>
        <w:t xml:space="preserve"> </w:t>
      </w:r>
      <w:r w:rsidR="00FB5448" w:rsidRPr="008821B7">
        <w:rPr>
          <w:rFonts w:cstheme="minorHAnsi"/>
        </w:rPr>
        <w:t>of their</w:t>
      </w:r>
      <w:r w:rsidRPr="008821B7">
        <w:rPr>
          <w:rFonts w:cstheme="minorHAnsi"/>
        </w:rPr>
        <w:t xml:space="preserve"> time</w:t>
      </w:r>
      <w:r w:rsidR="00FB5448" w:rsidRPr="008821B7">
        <w:rPr>
          <w:rFonts w:cstheme="minorHAnsi"/>
        </w:rPr>
        <w:t xml:space="preserve"> and </w:t>
      </w:r>
      <w:r w:rsidRPr="008821B7">
        <w:rPr>
          <w:rFonts w:cstheme="minorHAnsi"/>
        </w:rPr>
        <w:t>should</w:t>
      </w:r>
      <w:r w:rsidR="00FB5448" w:rsidRPr="008821B7">
        <w:rPr>
          <w:rFonts w:cstheme="minorHAnsi"/>
        </w:rPr>
        <w:t>, therefore,</w:t>
      </w:r>
      <w:r w:rsidRPr="008821B7">
        <w:rPr>
          <w:rFonts w:cstheme="minorHAnsi"/>
        </w:rPr>
        <w:t xml:space="preserve"> be considered in terms of what the ethical expectations of that time were, as opposed to judging the paper on current ethical expectations. </w:t>
      </w:r>
    </w:p>
    <w:p w14:paraId="571370DB" w14:textId="77777777" w:rsidR="0090555B" w:rsidRPr="008821B7" w:rsidRDefault="0090555B" w:rsidP="008821B7">
      <w:pPr>
        <w:pStyle w:val="Heading1"/>
        <w:spacing w:line="360" w:lineRule="auto"/>
        <w:rPr>
          <w:rFonts w:asciiTheme="minorHAnsi" w:hAnsiTheme="minorHAnsi" w:cstheme="minorHAnsi"/>
          <w:color w:val="auto"/>
          <w:sz w:val="22"/>
          <w:szCs w:val="22"/>
        </w:rPr>
      </w:pPr>
    </w:p>
    <w:p w14:paraId="40945F51" w14:textId="51C6EA32" w:rsidR="006C3E11" w:rsidRPr="008821B7" w:rsidRDefault="006C3E11" w:rsidP="008821B7">
      <w:pPr>
        <w:pStyle w:val="Heading2"/>
      </w:pPr>
      <w:r w:rsidRPr="008821B7">
        <w:t>Data Gathering</w:t>
      </w:r>
    </w:p>
    <w:p w14:paraId="03DE0F46" w14:textId="7BF80C6D" w:rsidR="0007016B" w:rsidRPr="008821B7" w:rsidRDefault="0007016B" w:rsidP="008821B7">
      <w:pPr>
        <w:spacing w:line="360" w:lineRule="auto"/>
        <w:rPr>
          <w:rFonts w:cstheme="minorHAnsi"/>
        </w:rPr>
      </w:pPr>
      <w:r w:rsidRPr="008821B7">
        <w:rPr>
          <w:rFonts w:cstheme="minorHAnsi"/>
        </w:rPr>
        <w:t xml:space="preserve">Brink’s study </w:t>
      </w:r>
      <w:r w:rsidR="006434DE" w:rsidRPr="008821B7">
        <w:rPr>
          <w:rFonts w:cstheme="minorHAnsi"/>
        </w:rPr>
        <w:t xml:space="preserve">also </w:t>
      </w:r>
      <w:r w:rsidRPr="008821B7">
        <w:rPr>
          <w:rFonts w:cstheme="minorHAnsi"/>
        </w:rPr>
        <w:t>raises some ethical concerns</w:t>
      </w:r>
      <w:r w:rsidR="006434DE" w:rsidRPr="008821B7">
        <w:rPr>
          <w:rFonts w:cstheme="minorHAnsi"/>
        </w:rPr>
        <w:t xml:space="preserve"> </w:t>
      </w:r>
      <w:proofErr w:type="gramStart"/>
      <w:r w:rsidR="006434DE" w:rsidRPr="008821B7">
        <w:rPr>
          <w:rFonts w:cstheme="minorHAnsi"/>
        </w:rPr>
        <w:t>with regard to</w:t>
      </w:r>
      <w:proofErr w:type="gramEnd"/>
      <w:r w:rsidR="006434DE" w:rsidRPr="008821B7">
        <w:rPr>
          <w:rFonts w:cstheme="minorHAnsi"/>
        </w:rPr>
        <w:t xml:space="preserve"> data collection.</w:t>
      </w:r>
      <w:r w:rsidRPr="008821B7">
        <w:rPr>
          <w:rFonts w:cstheme="minorHAnsi"/>
        </w:rPr>
        <w:t xml:space="preserve"> </w:t>
      </w:r>
      <w:r w:rsidR="006434DE" w:rsidRPr="008821B7">
        <w:rPr>
          <w:rFonts w:cstheme="minorHAnsi"/>
        </w:rPr>
        <w:t>C</w:t>
      </w:r>
      <w:r w:rsidR="00FB5448" w:rsidRPr="008821B7">
        <w:rPr>
          <w:rFonts w:cstheme="minorHAnsi"/>
        </w:rPr>
        <w:t>onsent can be withdrawn at any time</w:t>
      </w:r>
      <w:r w:rsidRPr="008821B7">
        <w:rPr>
          <w:rFonts w:cstheme="minorHAnsi"/>
        </w:rPr>
        <w:t xml:space="preserve">, </w:t>
      </w:r>
      <w:r w:rsidR="006434DE" w:rsidRPr="008821B7">
        <w:rPr>
          <w:rFonts w:cstheme="minorHAnsi"/>
        </w:rPr>
        <w:t>and</w:t>
      </w:r>
      <w:r w:rsidRPr="008821B7">
        <w:rPr>
          <w:rFonts w:cstheme="minorHAnsi"/>
        </w:rPr>
        <w:t xml:space="preserve"> participants should be told they can refuse to answer </w:t>
      </w:r>
      <w:proofErr w:type="gramStart"/>
      <w:r w:rsidRPr="008821B7">
        <w:rPr>
          <w:rFonts w:cstheme="minorHAnsi"/>
        </w:rPr>
        <w:t>particular questions</w:t>
      </w:r>
      <w:proofErr w:type="gramEnd"/>
      <w:r w:rsidRPr="008821B7">
        <w:rPr>
          <w:rFonts w:cstheme="minorHAnsi"/>
        </w:rPr>
        <w:t xml:space="preserve"> or withdraw from a study</w:t>
      </w:r>
      <w:r w:rsidR="006434DE" w:rsidRPr="008821B7">
        <w:rPr>
          <w:rFonts w:cstheme="minorHAnsi"/>
        </w:rPr>
        <w:t xml:space="preserve"> altogether (</w:t>
      </w:r>
      <w:proofErr w:type="spellStart"/>
      <w:r w:rsidR="006434DE" w:rsidRPr="008821B7">
        <w:rPr>
          <w:rFonts w:cstheme="minorHAnsi"/>
        </w:rPr>
        <w:t>Hennink</w:t>
      </w:r>
      <w:proofErr w:type="spellEnd"/>
      <w:r w:rsidR="006434DE" w:rsidRPr="008821B7">
        <w:rPr>
          <w:rFonts w:cstheme="minorHAnsi"/>
        </w:rPr>
        <w:t xml:space="preserve">, </w:t>
      </w:r>
      <w:proofErr w:type="spellStart"/>
      <w:r w:rsidR="006434DE" w:rsidRPr="008821B7">
        <w:rPr>
          <w:rFonts w:cstheme="minorHAnsi"/>
        </w:rPr>
        <w:t>Hutter</w:t>
      </w:r>
      <w:proofErr w:type="spellEnd"/>
      <w:r w:rsidR="006434DE" w:rsidRPr="008821B7">
        <w:rPr>
          <w:rFonts w:cstheme="minorHAnsi"/>
        </w:rPr>
        <w:t xml:space="preserve"> &amp; Bailey, 2020)</w:t>
      </w:r>
      <w:r w:rsidRPr="008821B7">
        <w:rPr>
          <w:rFonts w:cstheme="minorHAnsi"/>
        </w:rPr>
        <w:t>. Brink does not explain whether the girls were given the choice of participating</w:t>
      </w:r>
      <w:r w:rsidR="006434DE" w:rsidRPr="008821B7">
        <w:rPr>
          <w:rFonts w:cstheme="minorHAnsi"/>
        </w:rPr>
        <w:t>, so</w:t>
      </w:r>
      <w:r w:rsidRPr="008821B7">
        <w:rPr>
          <w:rFonts w:cstheme="minorHAnsi"/>
        </w:rPr>
        <w:t xml:space="preserve"> they might have felt obliged to answer questions with which they did not feel comfortable</w:t>
      </w:r>
      <w:r w:rsidR="006434DE" w:rsidRPr="008821B7">
        <w:rPr>
          <w:rFonts w:cstheme="minorHAnsi"/>
        </w:rPr>
        <w:t>. T</w:t>
      </w:r>
      <w:r w:rsidRPr="008821B7">
        <w:rPr>
          <w:rFonts w:cstheme="minorHAnsi"/>
        </w:rPr>
        <w:t xml:space="preserve">hat would be considered unethical today. As Walter and Waterhouse give us very little information about the young people’s involvement in their study, it is impossible to say whether they followed ethical guidelines with </w:t>
      </w:r>
      <w:r w:rsidR="006434DE" w:rsidRPr="008821B7">
        <w:rPr>
          <w:rFonts w:cstheme="minorHAnsi"/>
        </w:rPr>
        <w:t xml:space="preserve">their </w:t>
      </w:r>
      <w:r w:rsidRPr="008821B7">
        <w:rPr>
          <w:rFonts w:cstheme="minorHAnsi"/>
        </w:rPr>
        <w:t>young people.</w:t>
      </w:r>
    </w:p>
    <w:p w14:paraId="2E00DF6F" w14:textId="5D1F77E8" w:rsidR="006D0E1A" w:rsidRPr="008821B7" w:rsidRDefault="006C3E11" w:rsidP="008821B7">
      <w:pPr>
        <w:spacing w:line="360" w:lineRule="auto"/>
        <w:rPr>
          <w:rFonts w:cstheme="minorHAnsi"/>
        </w:rPr>
      </w:pPr>
      <w:r w:rsidRPr="008821B7">
        <w:rPr>
          <w:rFonts w:cstheme="minorHAnsi"/>
        </w:rPr>
        <w:lastRenderedPageBreak/>
        <w:t>Brink’s study embodies a positivist approach in that he is seeking to test a hypothesis about congruity of belief. He selected survey</w:t>
      </w:r>
      <w:r w:rsidR="0090555B" w:rsidRPr="008821B7">
        <w:rPr>
          <w:rFonts w:cstheme="minorHAnsi"/>
        </w:rPr>
        <w:t>s</w:t>
      </w:r>
      <w:r w:rsidRPr="008821B7">
        <w:rPr>
          <w:rFonts w:cstheme="minorHAnsi"/>
        </w:rPr>
        <w:t xml:space="preserve"> as his method of data gathering and his paper </w:t>
      </w:r>
      <w:r w:rsidR="00704AD4" w:rsidRPr="008821B7">
        <w:rPr>
          <w:rFonts w:cstheme="minorHAnsi"/>
        </w:rPr>
        <w:t>presents</w:t>
      </w:r>
      <w:r w:rsidRPr="008821B7">
        <w:rPr>
          <w:rFonts w:cstheme="minorHAnsi"/>
        </w:rPr>
        <w:t xml:space="preserve"> a </w:t>
      </w:r>
      <w:r w:rsidR="00670F10" w:rsidRPr="008821B7">
        <w:rPr>
          <w:rFonts w:cstheme="minorHAnsi"/>
        </w:rPr>
        <w:t>list</w:t>
      </w:r>
      <w:r w:rsidRPr="008821B7">
        <w:rPr>
          <w:rFonts w:cstheme="minorHAnsi"/>
        </w:rPr>
        <w:t xml:space="preserve"> of statements given to his respondents. </w:t>
      </w:r>
      <w:r w:rsidR="0090555B" w:rsidRPr="008821B7">
        <w:rPr>
          <w:rFonts w:cstheme="minorHAnsi"/>
        </w:rPr>
        <w:t>T</w:t>
      </w:r>
      <w:r w:rsidRPr="008821B7">
        <w:rPr>
          <w:rFonts w:cstheme="minorHAnsi"/>
        </w:rPr>
        <w:t>he wording of the statements seem</w:t>
      </w:r>
      <w:r w:rsidR="00670F10" w:rsidRPr="008821B7">
        <w:rPr>
          <w:rFonts w:cstheme="minorHAnsi"/>
        </w:rPr>
        <w:t>s</w:t>
      </w:r>
      <w:r w:rsidR="0090555B" w:rsidRPr="008821B7">
        <w:rPr>
          <w:rFonts w:cstheme="minorHAnsi"/>
        </w:rPr>
        <w:t xml:space="preserve"> age-</w:t>
      </w:r>
      <w:r w:rsidRPr="008821B7">
        <w:rPr>
          <w:rFonts w:cstheme="minorHAnsi"/>
        </w:rPr>
        <w:t>appropriate</w:t>
      </w:r>
      <w:r w:rsidR="0090555B" w:rsidRPr="008821B7">
        <w:rPr>
          <w:rFonts w:cstheme="minorHAnsi"/>
        </w:rPr>
        <w:t>,</w:t>
      </w:r>
      <w:r w:rsidRPr="008821B7">
        <w:rPr>
          <w:rFonts w:cstheme="minorHAnsi"/>
        </w:rPr>
        <w:t xml:space="preserve"> </w:t>
      </w:r>
      <w:proofErr w:type="gramStart"/>
      <w:r w:rsidRPr="008821B7">
        <w:rPr>
          <w:rFonts w:cstheme="minorHAnsi"/>
        </w:rPr>
        <w:t>clear</w:t>
      </w:r>
      <w:proofErr w:type="gramEnd"/>
      <w:r w:rsidRPr="008821B7">
        <w:rPr>
          <w:rFonts w:cstheme="minorHAnsi"/>
        </w:rPr>
        <w:t xml:space="preserve"> and easy to understand. To a certain extent, they address Brink’s broad remit of exploring congruity of belief, as the data </w:t>
      </w:r>
      <w:r w:rsidR="00670F10" w:rsidRPr="008821B7">
        <w:rPr>
          <w:rFonts w:cstheme="minorHAnsi"/>
        </w:rPr>
        <w:t>did</w:t>
      </w:r>
      <w:r w:rsidRPr="008821B7">
        <w:rPr>
          <w:rFonts w:cstheme="minorHAnsi"/>
        </w:rPr>
        <w:t xml:space="preserve"> show that the girls can indeed believe in both God and astrology/reincarnation simultaneously. As Brink does not describe the structure of the survey, </w:t>
      </w:r>
      <w:r w:rsidR="002A23A3" w:rsidRPr="008821B7">
        <w:rPr>
          <w:rFonts w:cstheme="minorHAnsi"/>
        </w:rPr>
        <w:t>it</w:t>
      </w:r>
      <w:r w:rsidRPr="008821B7">
        <w:rPr>
          <w:rFonts w:cstheme="minorHAnsi"/>
        </w:rPr>
        <w:t xml:space="preserve"> is unclear whether the statements were simple Yes/No questions, a Likert scale or even the</w:t>
      </w:r>
      <w:r w:rsidR="0090555B" w:rsidRPr="008821B7">
        <w:rPr>
          <w:rFonts w:cstheme="minorHAnsi"/>
        </w:rPr>
        <w:t xml:space="preserve"> only </w:t>
      </w:r>
      <w:r w:rsidRPr="008821B7">
        <w:rPr>
          <w:rFonts w:cstheme="minorHAnsi"/>
        </w:rPr>
        <w:t>questions asked. What is clear, however, is that the statements were closed</w:t>
      </w:r>
      <w:r w:rsidR="002A23A3" w:rsidRPr="008821B7">
        <w:rPr>
          <w:rFonts w:cstheme="minorHAnsi"/>
        </w:rPr>
        <w:t>,</w:t>
      </w:r>
      <w:r w:rsidRPr="008821B7">
        <w:rPr>
          <w:rFonts w:cstheme="minorHAnsi"/>
        </w:rPr>
        <w:t xml:space="preserve"> offer</w:t>
      </w:r>
      <w:r w:rsidR="002A23A3" w:rsidRPr="008821B7">
        <w:rPr>
          <w:rFonts w:cstheme="minorHAnsi"/>
        </w:rPr>
        <w:t>ing</w:t>
      </w:r>
      <w:r w:rsidRPr="008821B7">
        <w:rPr>
          <w:rFonts w:cstheme="minorHAnsi"/>
        </w:rPr>
        <w:t xml:space="preserve"> no room for respondents to elaborate on their answers. Some of the statements show that Brink was trying to elicit slightly deeper data about the girls’ private beliefs, for example, ‘I would go to mass even if my parents did not make me.’</w:t>
      </w:r>
      <w:r w:rsidRPr="008821B7">
        <w:rPr>
          <w:rStyle w:val="FootnoteReference"/>
          <w:rFonts w:cstheme="minorHAnsi"/>
        </w:rPr>
        <w:footnoteReference w:id="12"/>
      </w:r>
      <w:r w:rsidRPr="008821B7">
        <w:rPr>
          <w:rFonts w:cstheme="minorHAnsi"/>
        </w:rPr>
        <w:t xml:space="preserve"> </w:t>
      </w:r>
    </w:p>
    <w:p w14:paraId="2E96A69B" w14:textId="09E4007C" w:rsidR="006C3E11" w:rsidRPr="008821B7" w:rsidRDefault="006C3E11" w:rsidP="008821B7">
      <w:pPr>
        <w:spacing w:line="360" w:lineRule="auto"/>
        <w:rPr>
          <w:rFonts w:cstheme="minorHAnsi"/>
        </w:rPr>
      </w:pPr>
      <w:r w:rsidRPr="008821B7">
        <w:rPr>
          <w:rFonts w:cstheme="minorHAnsi"/>
        </w:rPr>
        <w:t>Bell and Waters (2018) caution that surveys ‘can provide answers to the questions ‘What?’, ‘Where?’, ‘When?’ and ‘How?’, but it is not so easy to find out ‘Why?’’</w:t>
      </w:r>
      <w:r w:rsidRPr="008821B7">
        <w:rPr>
          <w:rStyle w:val="FootnoteReference"/>
          <w:rFonts w:cstheme="minorHAnsi"/>
        </w:rPr>
        <w:footnoteReference w:id="13"/>
      </w:r>
      <w:r w:rsidRPr="008821B7">
        <w:rPr>
          <w:rFonts w:cstheme="minorHAnsi"/>
        </w:rPr>
        <w:t xml:space="preserve"> If Brink merely wanted to </w:t>
      </w:r>
      <w:r w:rsidR="0090555B" w:rsidRPr="008821B7">
        <w:rPr>
          <w:rFonts w:cstheme="minorHAnsi"/>
        </w:rPr>
        <w:t>test</w:t>
      </w:r>
      <w:r w:rsidRPr="008821B7">
        <w:rPr>
          <w:rFonts w:cstheme="minorHAnsi"/>
        </w:rPr>
        <w:t xml:space="preserve"> his hypothesis, his data collection method may be considered adequate. If, however, he was seeking to understand more about why people can hold incompatible beliefs, his methodology was inadequate</w:t>
      </w:r>
      <w:r w:rsidR="007B758A" w:rsidRPr="008821B7">
        <w:rPr>
          <w:rFonts w:cstheme="minorHAnsi"/>
        </w:rPr>
        <w:t>. F</w:t>
      </w:r>
      <w:r w:rsidRPr="008821B7">
        <w:rPr>
          <w:rFonts w:cstheme="minorHAnsi"/>
        </w:rPr>
        <w:t>ollow-up interviews might have provided richer data</w:t>
      </w:r>
      <w:r w:rsidR="007B758A" w:rsidRPr="008821B7">
        <w:rPr>
          <w:rFonts w:cstheme="minorHAnsi"/>
        </w:rPr>
        <w:t>, as</w:t>
      </w:r>
      <w:r w:rsidRPr="008821B7">
        <w:rPr>
          <w:rFonts w:cstheme="minorHAnsi"/>
        </w:rPr>
        <w:t xml:space="preserve"> Brink studying belief, not behaviour. As Clifford Geertz points out, ‘the attempts to highly scientize social science’, as Brink does here with his closed-questions survey, get in the way of helping ‘people understand one another’ in the way that interpretivist research tries to do.</w:t>
      </w:r>
      <w:r w:rsidRPr="008821B7">
        <w:rPr>
          <w:rStyle w:val="FootnoteReference"/>
          <w:rFonts w:cstheme="minorHAnsi"/>
        </w:rPr>
        <w:footnoteReference w:id="14"/>
      </w:r>
    </w:p>
    <w:p w14:paraId="30AB67DD" w14:textId="1A6A6A30" w:rsidR="00D17D70" w:rsidRPr="008821B7" w:rsidRDefault="006C3E11" w:rsidP="008821B7">
      <w:pPr>
        <w:spacing w:line="360" w:lineRule="auto"/>
        <w:rPr>
          <w:rFonts w:cstheme="minorHAnsi"/>
        </w:rPr>
      </w:pPr>
      <w:r w:rsidRPr="008821B7">
        <w:rPr>
          <w:rFonts w:cstheme="minorHAnsi"/>
        </w:rPr>
        <w:t>Walter and Waterhouse’s qualitative research sought to ‘elicit the meaning of reincarnation to those who believe in it’</w:t>
      </w:r>
      <w:r w:rsidR="007B758A" w:rsidRPr="008821B7">
        <w:rPr>
          <w:rStyle w:val="FootnoteReference"/>
          <w:rFonts w:cstheme="minorHAnsi"/>
        </w:rPr>
        <w:footnoteReference w:id="15"/>
      </w:r>
      <w:r w:rsidRPr="008821B7">
        <w:rPr>
          <w:rFonts w:cstheme="minorHAnsi"/>
        </w:rPr>
        <w:t xml:space="preserve"> </w:t>
      </w:r>
      <w:r w:rsidR="001E2B14" w:rsidRPr="008821B7">
        <w:rPr>
          <w:rFonts w:cstheme="minorHAnsi"/>
        </w:rPr>
        <w:t>- a</w:t>
      </w:r>
      <w:r w:rsidRPr="008821B7">
        <w:rPr>
          <w:rFonts w:cstheme="minorHAnsi"/>
        </w:rPr>
        <w:t xml:space="preserve"> Verstehen</w:t>
      </w:r>
      <w:r w:rsidR="00D17D70" w:rsidRPr="008821B7">
        <w:rPr>
          <w:rFonts w:cstheme="minorHAnsi"/>
        </w:rPr>
        <w:t xml:space="preserve"> approach </w:t>
      </w:r>
      <w:r w:rsidRPr="008821B7">
        <w:rPr>
          <w:rFonts w:cstheme="minorHAnsi"/>
        </w:rPr>
        <w:t>seek</w:t>
      </w:r>
      <w:r w:rsidR="001E2B14" w:rsidRPr="008821B7">
        <w:rPr>
          <w:rFonts w:cstheme="minorHAnsi"/>
        </w:rPr>
        <w:t>ing</w:t>
      </w:r>
      <w:r w:rsidRPr="008821B7">
        <w:rPr>
          <w:rFonts w:cstheme="minorHAnsi"/>
        </w:rPr>
        <w:t xml:space="preserve"> to understand issues from the perspective of the study population. The role of Verstehen is often seen as central to the practice of qualitative research (Bryman, 1996 p56)</w:t>
      </w:r>
      <w:r w:rsidR="007B758A" w:rsidRPr="008821B7">
        <w:rPr>
          <w:rStyle w:val="FootnoteReference"/>
          <w:rFonts w:cstheme="minorHAnsi"/>
        </w:rPr>
        <w:footnoteReference w:id="16"/>
      </w:r>
      <w:r w:rsidRPr="008821B7">
        <w:rPr>
          <w:rFonts w:cstheme="minorHAnsi"/>
        </w:rPr>
        <w:t xml:space="preserve">. </w:t>
      </w:r>
      <w:proofErr w:type="spellStart"/>
      <w:r w:rsidRPr="008821B7">
        <w:rPr>
          <w:rFonts w:cstheme="minorHAnsi"/>
        </w:rPr>
        <w:t>Hennink</w:t>
      </w:r>
      <w:proofErr w:type="spellEnd"/>
      <w:r w:rsidRPr="008821B7">
        <w:rPr>
          <w:rFonts w:cstheme="minorHAnsi"/>
        </w:rPr>
        <w:t xml:space="preserve">, </w:t>
      </w:r>
      <w:proofErr w:type="spellStart"/>
      <w:r w:rsidRPr="008821B7">
        <w:rPr>
          <w:rFonts w:cstheme="minorHAnsi"/>
        </w:rPr>
        <w:t>Hutter</w:t>
      </w:r>
      <w:proofErr w:type="spellEnd"/>
      <w:r w:rsidRPr="008821B7">
        <w:rPr>
          <w:rFonts w:cstheme="minorHAnsi"/>
        </w:rPr>
        <w:t xml:space="preserve"> and Bailey (2020) state that in-depth interviews provide an opportunity to ‘identify individual perceptions, beliefs, feelings and experiences’, thus giving the rich depth of data that might help answer the ‘Why’ questions that surveys do not always answer. </w:t>
      </w:r>
      <w:r w:rsidRPr="008821B7">
        <w:rPr>
          <w:rStyle w:val="FootnoteReference"/>
          <w:rFonts w:cstheme="minorHAnsi"/>
        </w:rPr>
        <w:footnoteReference w:id="17"/>
      </w:r>
      <w:r w:rsidRPr="008821B7">
        <w:rPr>
          <w:rFonts w:cstheme="minorHAnsi"/>
        </w:rPr>
        <w:t xml:space="preserve"> Walter and Waterhouse cho</w:t>
      </w:r>
      <w:r w:rsidR="008D6C83" w:rsidRPr="008821B7">
        <w:rPr>
          <w:rFonts w:cstheme="minorHAnsi"/>
        </w:rPr>
        <w:t xml:space="preserve">ice </w:t>
      </w:r>
      <w:r w:rsidR="008821B7" w:rsidRPr="008821B7">
        <w:rPr>
          <w:rFonts w:cstheme="minorHAnsi"/>
        </w:rPr>
        <w:t>of in</w:t>
      </w:r>
      <w:r w:rsidRPr="008821B7">
        <w:rPr>
          <w:rFonts w:cstheme="minorHAnsi"/>
        </w:rPr>
        <w:t xml:space="preserve">-depth interview </w:t>
      </w:r>
      <w:r w:rsidR="008D6C83" w:rsidRPr="008821B7">
        <w:rPr>
          <w:rFonts w:cstheme="minorHAnsi"/>
        </w:rPr>
        <w:t>helps</w:t>
      </w:r>
      <w:r w:rsidR="00D17D70" w:rsidRPr="008821B7">
        <w:rPr>
          <w:rFonts w:cstheme="minorHAnsi"/>
        </w:rPr>
        <w:t xml:space="preserve"> to capture this emic perspective</w:t>
      </w:r>
      <w:r w:rsidRPr="008821B7">
        <w:rPr>
          <w:rFonts w:cstheme="minorHAnsi"/>
        </w:rPr>
        <w:t>.</w:t>
      </w:r>
    </w:p>
    <w:p w14:paraId="78E23EA3" w14:textId="4896EEED" w:rsidR="006C3E11" w:rsidRPr="008821B7" w:rsidRDefault="001E2B14" w:rsidP="008821B7">
      <w:pPr>
        <w:spacing w:line="360" w:lineRule="auto"/>
        <w:rPr>
          <w:rFonts w:cstheme="minorHAnsi"/>
        </w:rPr>
      </w:pPr>
      <w:r w:rsidRPr="008821B7">
        <w:rPr>
          <w:rFonts w:cstheme="minorHAnsi"/>
        </w:rPr>
        <w:lastRenderedPageBreak/>
        <w:t xml:space="preserve">Unlike </w:t>
      </w:r>
      <w:r w:rsidR="006C3E11" w:rsidRPr="008821B7">
        <w:rPr>
          <w:rFonts w:cstheme="minorHAnsi"/>
        </w:rPr>
        <w:t xml:space="preserve">Brink, </w:t>
      </w:r>
      <w:r w:rsidR="00D17D70" w:rsidRPr="008821B7">
        <w:rPr>
          <w:rFonts w:cstheme="minorHAnsi"/>
        </w:rPr>
        <w:t>Walter and Waterhouse</w:t>
      </w:r>
      <w:r w:rsidR="006C3E11" w:rsidRPr="008821B7">
        <w:rPr>
          <w:rFonts w:cstheme="minorHAnsi"/>
        </w:rPr>
        <w:t xml:space="preserve"> offer few examples of the</w:t>
      </w:r>
      <w:r w:rsidRPr="008821B7">
        <w:rPr>
          <w:rFonts w:cstheme="minorHAnsi"/>
        </w:rPr>
        <w:t>ir</w:t>
      </w:r>
      <w:r w:rsidR="006C3E11" w:rsidRPr="008821B7">
        <w:rPr>
          <w:rFonts w:cstheme="minorHAnsi"/>
        </w:rPr>
        <w:t xml:space="preserve"> questions but they report </w:t>
      </w:r>
      <w:r w:rsidR="008D6C83" w:rsidRPr="008821B7">
        <w:rPr>
          <w:rFonts w:cstheme="minorHAnsi"/>
        </w:rPr>
        <w:t>‘</w:t>
      </w:r>
      <w:r w:rsidR="006C3E11" w:rsidRPr="008821B7">
        <w:rPr>
          <w:rFonts w:cstheme="minorHAnsi"/>
        </w:rPr>
        <w:t>interviews were very open-ended, care was taken to let interviewees speak in their own terms, and interviewers were careful not to ask leading questions.’</w:t>
      </w:r>
      <w:r w:rsidR="008D6C83" w:rsidRPr="008821B7">
        <w:rPr>
          <w:rStyle w:val="FootnoteReference"/>
          <w:rFonts w:cstheme="minorHAnsi"/>
        </w:rPr>
        <w:footnoteReference w:id="18"/>
      </w:r>
      <w:r w:rsidR="006C3E11" w:rsidRPr="008821B7">
        <w:rPr>
          <w:rFonts w:cstheme="minorHAnsi"/>
        </w:rPr>
        <w:t xml:space="preserve"> </w:t>
      </w:r>
      <w:r w:rsidR="00D17D70" w:rsidRPr="008821B7">
        <w:rPr>
          <w:rFonts w:cstheme="minorHAnsi"/>
        </w:rPr>
        <w:t>T</w:t>
      </w:r>
      <w:r w:rsidR="006C3E11" w:rsidRPr="008821B7">
        <w:rPr>
          <w:rFonts w:cstheme="minorHAnsi"/>
        </w:rPr>
        <w:t xml:space="preserve">heir questions delve into participants’ beliefs in some detail – </w:t>
      </w:r>
      <w:proofErr w:type="gramStart"/>
      <w:r w:rsidR="00084B3D" w:rsidRPr="008821B7">
        <w:rPr>
          <w:rFonts w:cstheme="minorHAnsi"/>
        </w:rPr>
        <w:t>e.g.</w:t>
      </w:r>
      <w:proofErr w:type="gramEnd"/>
      <w:r w:rsidR="00084B3D" w:rsidRPr="008821B7">
        <w:rPr>
          <w:rFonts w:cstheme="minorHAnsi"/>
        </w:rPr>
        <w:t xml:space="preserve"> exploring</w:t>
      </w:r>
      <w:r w:rsidR="006C3E11" w:rsidRPr="008821B7">
        <w:rPr>
          <w:rFonts w:cstheme="minorHAnsi"/>
        </w:rPr>
        <w:t xml:space="preserve"> </w:t>
      </w:r>
      <w:r w:rsidR="00D17D70" w:rsidRPr="008821B7">
        <w:rPr>
          <w:rFonts w:cstheme="minorHAnsi"/>
        </w:rPr>
        <w:t>how reincarnation</w:t>
      </w:r>
      <w:r w:rsidR="006C3E11" w:rsidRPr="008821B7">
        <w:rPr>
          <w:rFonts w:cstheme="minorHAnsi"/>
        </w:rPr>
        <w:t xml:space="preserve"> relates to the participants</w:t>
      </w:r>
      <w:r w:rsidRPr="008821B7">
        <w:rPr>
          <w:rFonts w:cstheme="minorHAnsi"/>
        </w:rPr>
        <w:t>’</w:t>
      </w:r>
      <w:r w:rsidR="006C3E11" w:rsidRPr="008821B7">
        <w:rPr>
          <w:rFonts w:cstheme="minorHAnsi"/>
        </w:rPr>
        <w:t xml:space="preserve"> personal</w:t>
      </w:r>
      <w:r w:rsidR="00084B3D" w:rsidRPr="008821B7">
        <w:rPr>
          <w:rFonts w:cstheme="minorHAnsi"/>
        </w:rPr>
        <w:t xml:space="preserve"> belief systems</w:t>
      </w:r>
      <w:r w:rsidR="006C3E11" w:rsidRPr="008821B7">
        <w:rPr>
          <w:rFonts w:cstheme="minorHAnsi"/>
        </w:rPr>
        <w:t xml:space="preserve">. While Brink did not offer his respondents an </w:t>
      </w:r>
      <w:r w:rsidR="00D17D70" w:rsidRPr="008821B7">
        <w:rPr>
          <w:rFonts w:cstheme="minorHAnsi"/>
        </w:rPr>
        <w:t>opportunity</w:t>
      </w:r>
      <w:r w:rsidR="006C3E11" w:rsidRPr="008821B7">
        <w:rPr>
          <w:rFonts w:cstheme="minorHAnsi"/>
        </w:rPr>
        <w:t xml:space="preserve"> to explain why they h</w:t>
      </w:r>
      <w:r w:rsidRPr="008821B7">
        <w:rPr>
          <w:rFonts w:cstheme="minorHAnsi"/>
        </w:rPr>
        <w:t>e</w:t>
      </w:r>
      <w:r w:rsidR="006C3E11" w:rsidRPr="008821B7">
        <w:rPr>
          <w:rFonts w:cstheme="minorHAnsi"/>
        </w:rPr>
        <w:t xml:space="preserve">ld ‘inconsistent’ beliefs, Walter’s interviews allowed participants the space to unravel the ways in which their private belief might </w:t>
      </w:r>
      <w:r w:rsidR="008D6C83" w:rsidRPr="008821B7">
        <w:rPr>
          <w:rFonts w:cstheme="minorHAnsi"/>
        </w:rPr>
        <w:t>conflict with</w:t>
      </w:r>
      <w:r w:rsidR="006C3E11" w:rsidRPr="008821B7">
        <w:rPr>
          <w:rFonts w:cstheme="minorHAnsi"/>
        </w:rPr>
        <w:t xml:space="preserve"> teachings of their formal religion. </w:t>
      </w:r>
    </w:p>
    <w:p w14:paraId="7A606006" w14:textId="605C2B7F" w:rsidR="006C3E11" w:rsidRPr="008821B7" w:rsidRDefault="006C3E11" w:rsidP="008821B7">
      <w:pPr>
        <w:spacing w:line="360" w:lineRule="auto"/>
        <w:rPr>
          <w:rFonts w:cstheme="minorHAnsi"/>
          <w:lang w:val="en-US"/>
        </w:rPr>
      </w:pPr>
      <w:r w:rsidRPr="008821B7">
        <w:rPr>
          <w:rFonts w:cstheme="minorHAnsi"/>
          <w:lang w:val="en-US"/>
        </w:rPr>
        <w:t xml:space="preserve">The fact that </w:t>
      </w:r>
      <w:r w:rsidR="008D6C83" w:rsidRPr="008821B7">
        <w:rPr>
          <w:rFonts w:cstheme="minorHAnsi"/>
          <w:lang w:val="en-US"/>
        </w:rPr>
        <w:t>Waterhouse’s</w:t>
      </w:r>
      <w:r w:rsidRPr="008821B7">
        <w:rPr>
          <w:rFonts w:cstheme="minorHAnsi"/>
          <w:lang w:val="en-US"/>
        </w:rPr>
        <w:t xml:space="preserve"> interviews were conducted in </w:t>
      </w:r>
      <w:r w:rsidR="00084B3D" w:rsidRPr="008821B7">
        <w:rPr>
          <w:rFonts w:cstheme="minorHAnsi"/>
          <w:lang w:val="en-US"/>
        </w:rPr>
        <w:t xml:space="preserve">interviewees’ </w:t>
      </w:r>
      <w:r w:rsidRPr="008821B7">
        <w:rPr>
          <w:rFonts w:cstheme="minorHAnsi"/>
          <w:lang w:val="en-US"/>
        </w:rPr>
        <w:t xml:space="preserve">own homes would probably have made the participants feel more secure. </w:t>
      </w:r>
      <w:r w:rsidR="008D6C83" w:rsidRPr="008821B7">
        <w:rPr>
          <w:rFonts w:cstheme="minorHAnsi"/>
          <w:lang w:val="en-US"/>
        </w:rPr>
        <w:t>Being</w:t>
      </w:r>
      <w:r w:rsidRPr="008821B7">
        <w:rPr>
          <w:rFonts w:cstheme="minorHAnsi"/>
          <w:lang w:val="en-US"/>
        </w:rPr>
        <w:t xml:space="preserve"> interviewee-led</w:t>
      </w:r>
      <w:r w:rsidR="008D6C83" w:rsidRPr="008821B7">
        <w:rPr>
          <w:rFonts w:cstheme="minorHAnsi"/>
          <w:lang w:val="en-US"/>
        </w:rPr>
        <w:t>, Waterhouse’s interviews</w:t>
      </w:r>
      <w:r w:rsidRPr="008821B7">
        <w:rPr>
          <w:rFonts w:cstheme="minorHAnsi"/>
          <w:lang w:val="en-US"/>
        </w:rPr>
        <w:t xml:space="preserve"> should have enabled her </w:t>
      </w:r>
      <w:r w:rsidR="00084B3D" w:rsidRPr="008821B7">
        <w:rPr>
          <w:rFonts w:cstheme="minorHAnsi"/>
          <w:lang w:val="en-US"/>
        </w:rPr>
        <w:t>to capture richer data th</w:t>
      </w:r>
      <w:r w:rsidRPr="008821B7">
        <w:rPr>
          <w:rFonts w:cstheme="minorHAnsi"/>
          <w:lang w:val="en-US"/>
        </w:rPr>
        <w:t xml:space="preserve">an if she had followed an interviewer-led approach, </w:t>
      </w:r>
      <w:r w:rsidR="001E2B14" w:rsidRPr="008821B7">
        <w:rPr>
          <w:rFonts w:cstheme="minorHAnsi"/>
          <w:lang w:val="en-US"/>
        </w:rPr>
        <w:t>like</w:t>
      </w:r>
      <w:r w:rsidRPr="008821B7">
        <w:rPr>
          <w:rFonts w:cstheme="minorHAnsi"/>
          <w:lang w:val="en-US"/>
        </w:rPr>
        <w:t xml:space="preserve"> Brink. </w:t>
      </w:r>
      <w:r w:rsidR="008D6C83" w:rsidRPr="008821B7">
        <w:rPr>
          <w:rFonts w:cstheme="minorHAnsi"/>
          <w:lang w:val="en-US"/>
        </w:rPr>
        <w:t>She, thus,</w:t>
      </w:r>
      <w:r w:rsidRPr="008821B7">
        <w:rPr>
          <w:rFonts w:cstheme="minorHAnsi"/>
          <w:lang w:val="en-US"/>
        </w:rPr>
        <w:t xml:space="preserve"> shows greater sensitivity to the needs of her study population than Brink. </w:t>
      </w:r>
      <w:r w:rsidR="00084B3D" w:rsidRPr="008821B7">
        <w:rPr>
          <w:rFonts w:cstheme="minorHAnsi"/>
          <w:lang w:val="en-US"/>
        </w:rPr>
        <w:t xml:space="preserve">Unfortunately, </w:t>
      </w:r>
      <w:r w:rsidR="007E2151" w:rsidRPr="008821B7">
        <w:rPr>
          <w:rFonts w:cstheme="minorHAnsi"/>
          <w:lang w:val="en-US"/>
        </w:rPr>
        <w:t>Walter and Waterhouse’s</w:t>
      </w:r>
      <w:r w:rsidR="00084B3D" w:rsidRPr="008821B7">
        <w:rPr>
          <w:rFonts w:cstheme="minorHAnsi"/>
          <w:lang w:val="en-US"/>
        </w:rPr>
        <w:t xml:space="preserve"> paper shares very little of what their respondents </w:t>
      </w:r>
      <w:proofErr w:type="gramStart"/>
      <w:r w:rsidR="00084B3D" w:rsidRPr="008821B7">
        <w:rPr>
          <w:rFonts w:cstheme="minorHAnsi"/>
          <w:lang w:val="en-US"/>
        </w:rPr>
        <w:t>actually said</w:t>
      </w:r>
      <w:proofErr w:type="gramEnd"/>
      <w:r w:rsidR="00084B3D" w:rsidRPr="008821B7">
        <w:rPr>
          <w:rFonts w:cstheme="minorHAnsi"/>
          <w:lang w:val="en-US"/>
        </w:rPr>
        <w:t>, so the reader does not get the sense of hearing the voices of the respondents, which is, in many ways, the point of qualitative research.</w:t>
      </w:r>
    </w:p>
    <w:p w14:paraId="39B534F4" w14:textId="4AFD8146" w:rsidR="006D0E1A" w:rsidRPr="008821B7" w:rsidRDefault="006D0E1A" w:rsidP="008821B7">
      <w:pPr>
        <w:spacing w:line="360" w:lineRule="auto"/>
        <w:rPr>
          <w:rFonts w:cstheme="minorHAnsi"/>
          <w:lang w:val="en-US"/>
        </w:rPr>
      </w:pPr>
      <w:r w:rsidRPr="008821B7">
        <w:rPr>
          <w:rFonts w:cstheme="minorHAnsi"/>
          <w:lang w:val="en-US"/>
        </w:rPr>
        <w:t>Overall, the interpretivist, in-depth interview approach of the Walter and Waterhouse paper was a</w:t>
      </w:r>
      <w:r w:rsidR="0007016B" w:rsidRPr="008821B7">
        <w:rPr>
          <w:rFonts w:cstheme="minorHAnsi"/>
          <w:lang w:val="en-US"/>
        </w:rPr>
        <w:t xml:space="preserve"> more</w:t>
      </w:r>
      <w:r w:rsidRPr="008821B7">
        <w:rPr>
          <w:rFonts w:cstheme="minorHAnsi"/>
          <w:lang w:val="en-US"/>
        </w:rPr>
        <w:t xml:space="preserve"> appropriate method for the research topic</w:t>
      </w:r>
      <w:r w:rsidR="0007016B" w:rsidRPr="008821B7">
        <w:rPr>
          <w:rFonts w:cstheme="minorHAnsi"/>
          <w:lang w:val="en-US"/>
        </w:rPr>
        <w:t xml:space="preserve"> than Brink’s survey</w:t>
      </w:r>
      <w:r w:rsidRPr="008821B7">
        <w:rPr>
          <w:rFonts w:cstheme="minorHAnsi"/>
          <w:lang w:val="en-US"/>
        </w:rPr>
        <w:t>. Interpretivism recognizes the subjectivity of belief</w:t>
      </w:r>
      <w:r w:rsidR="007E2151" w:rsidRPr="008821B7">
        <w:rPr>
          <w:rFonts w:cstheme="minorHAnsi"/>
          <w:lang w:val="en-US"/>
        </w:rPr>
        <w:t>,</w:t>
      </w:r>
      <w:r w:rsidRPr="008821B7">
        <w:rPr>
          <w:rFonts w:cstheme="minorHAnsi"/>
          <w:lang w:val="en-US"/>
        </w:rPr>
        <w:t xml:space="preserve"> and that belief is created by the meanings that the interviewees give them, not by what the researchers might assume those beliefs to mean. Brink </w:t>
      </w:r>
      <w:r w:rsidR="0007016B" w:rsidRPr="008821B7">
        <w:rPr>
          <w:rFonts w:cstheme="minorHAnsi"/>
          <w:lang w:val="en-US"/>
        </w:rPr>
        <w:t>does not appear to recognize the subjectivity of belief. In fact, when the fieldwork data does not provide the data he expects, he blames the immaturity of the respondents, rather than exploring how his methodology might have been lacking.</w:t>
      </w:r>
    </w:p>
    <w:p w14:paraId="33B5352E" w14:textId="77777777" w:rsidR="00696499" w:rsidRPr="008821B7" w:rsidRDefault="00696499" w:rsidP="008821B7">
      <w:pPr>
        <w:spacing w:line="360" w:lineRule="auto"/>
        <w:rPr>
          <w:rFonts w:cstheme="minorHAnsi"/>
        </w:rPr>
      </w:pPr>
    </w:p>
    <w:p w14:paraId="5C4426B3" w14:textId="0790C248" w:rsidR="001C6FA0" w:rsidRPr="008821B7" w:rsidRDefault="0007016B" w:rsidP="008821B7">
      <w:pPr>
        <w:pStyle w:val="Heading1"/>
      </w:pPr>
      <w:r w:rsidRPr="008821B7">
        <w:t>Position of Researchers</w:t>
      </w:r>
    </w:p>
    <w:p w14:paraId="7A390B17" w14:textId="2AC57D95" w:rsidR="001C6FA0" w:rsidRPr="008821B7" w:rsidRDefault="001C6FA0" w:rsidP="008821B7">
      <w:pPr>
        <w:spacing w:line="360" w:lineRule="auto"/>
        <w:rPr>
          <w:rFonts w:cstheme="minorHAnsi"/>
        </w:rPr>
      </w:pPr>
      <w:proofErr w:type="spellStart"/>
      <w:r w:rsidRPr="008821B7">
        <w:rPr>
          <w:rFonts w:cstheme="minorHAnsi"/>
        </w:rPr>
        <w:t>Hennink</w:t>
      </w:r>
      <w:proofErr w:type="spellEnd"/>
      <w:r w:rsidRPr="008821B7">
        <w:rPr>
          <w:rFonts w:cstheme="minorHAnsi"/>
        </w:rPr>
        <w:t xml:space="preserve">, </w:t>
      </w:r>
      <w:proofErr w:type="spellStart"/>
      <w:r w:rsidRPr="008821B7">
        <w:rPr>
          <w:rFonts w:cstheme="minorHAnsi"/>
        </w:rPr>
        <w:t>Hutter</w:t>
      </w:r>
      <w:proofErr w:type="spellEnd"/>
      <w:r w:rsidRPr="008821B7">
        <w:rPr>
          <w:rFonts w:cstheme="minorHAnsi"/>
        </w:rPr>
        <w:t xml:space="preserve"> and Bailey (2020) warn that ‘how you portray yourself (your positionality) </w:t>
      </w:r>
      <w:r w:rsidR="00201840" w:rsidRPr="008821B7">
        <w:rPr>
          <w:rFonts w:cstheme="minorHAnsi"/>
        </w:rPr>
        <w:t>…</w:t>
      </w:r>
      <w:r w:rsidRPr="008821B7">
        <w:rPr>
          <w:rFonts w:cstheme="minorHAnsi"/>
        </w:rPr>
        <w:t xml:space="preserve"> can influence the information collected and therefore the quality of the data.’</w:t>
      </w:r>
      <w:r w:rsidRPr="008821B7">
        <w:rPr>
          <w:rStyle w:val="FootnoteReference"/>
          <w:rFonts w:cstheme="minorHAnsi"/>
        </w:rPr>
        <w:footnoteReference w:id="19"/>
      </w:r>
      <w:r w:rsidRPr="008821B7">
        <w:rPr>
          <w:rFonts w:cstheme="minorHAnsi"/>
        </w:rPr>
        <w:t xml:space="preserve"> As both </w:t>
      </w:r>
      <w:r w:rsidR="006835B3" w:rsidRPr="008821B7">
        <w:rPr>
          <w:rFonts w:cstheme="minorHAnsi"/>
        </w:rPr>
        <w:t>studie</w:t>
      </w:r>
      <w:r w:rsidRPr="008821B7">
        <w:rPr>
          <w:rFonts w:cstheme="minorHAnsi"/>
        </w:rPr>
        <w:t xml:space="preserve">s </w:t>
      </w:r>
      <w:r w:rsidR="006835B3" w:rsidRPr="008821B7">
        <w:rPr>
          <w:rFonts w:cstheme="minorHAnsi"/>
        </w:rPr>
        <w:t>dealt</w:t>
      </w:r>
      <w:r w:rsidRPr="008821B7">
        <w:rPr>
          <w:rFonts w:cstheme="minorHAnsi"/>
        </w:rPr>
        <w:t xml:space="preserve"> with potentially sensitive topic</w:t>
      </w:r>
      <w:r w:rsidR="00DF77F8" w:rsidRPr="008821B7">
        <w:rPr>
          <w:rFonts w:cstheme="minorHAnsi"/>
        </w:rPr>
        <w:t>s</w:t>
      </w:r>
      <w:r w:rsidRPr="008821B7">
        <w:rPr>
          <w:rFonts w:cstheme="minorHAnsi"/>
        </w:rPr>
        <w:t>, the researchers’ position as insider/outsider was important because that positionality may have influenced the type of information the respondents were willing to share. Unfortunately, neither paper describes the positionality of the researchers in relation to their study populations.</w:t>
      </w:r>
    </w:p>
    <w:p w14:paraId="796B6677" w14:textId="3B2D7694" w:rsidR="001C6FA0" w:rsidRPr="008821B7" w:rsidRDefault="001C6FA0" w:rsidP="008821B7">
      <w:pPr>
        <w:spacing w:line="360" w:lineRule="auto"/>
        <w:rPr>
          <w:rFonts w:cstheme="minorHAnsi"/>
        </w:rPr>
      </w:pPr>
      <w:r w:rsidRPr="008821B7">
        <w:rPr>
          <w:rFonts w:cstheme="minorHAnsi"/>
        </w:rPr>
        <w:lastRenderedPageBreak/>
        <w:t xml:space="preserve">Brink could, and arguably should, have reflected on his position of power as an adult in a class of schoolgirls. This lack of reflexivity undermines the value of his research in terms of the ethics of the study and the reliability of the data he collected. Ethically, the reader would have expected Brink to explain how he </w:t>
      </w:r>
      <w:r w:rsidR="005C5B58" w:rsidRPr="008821B7">
        <w:rPr>
          <w:rFonts w:cstheme="minorHAnsi"/>
        </w:rPr>
        <w:t>accessed</w:t>
      </w:r>
      <w:r w:rsidRPr="008821B7">
        <w:rPr>
          <w:rFonts w:cstheme="minorHAnsi"/>
        </w:rPr>
        <w:t xml:space="preserve"> the participants and </w:t>
      </w:r>
      <w:r w:rsidR="00DF77F8" w:rsidRPr="008821B7">
        <w:rPr>
          <w:rFonts w:cstheme="minorHAnsi"/>
        </w:rPr>
        <w:t xml:space="preserve">the </w:t>
      </w:r>
      <w:r w:rsidRPr="008821B7">
        <w:rPr>
          <w:rFonts w:cstheme="minorHAnsi"/>
        </w:rPr>
        <w:t>safeguarding protocols</w:t>
      </w:r>
      <w:r w:rsidR="00201840" w:rsidRPr="008821B7">
        <w:rPr>
          <w:rFonts w:cstheme="minorHAnsi"/>
        </w:rPr>
        <w:t xml:space="preserve"> he followed</w:t>
      </w:r>
      <w:r w:rsidRPr="008821B7">
        <w:rPr>
          <w:rFonts w:cstheme="minorHAnsi"/>
        </w:rPr>
        <w:t>. In terms of data reliability,</w:t>
      </w:r>
      <w:r w:rsidR="00DF77F8" w:rsidRPr="008821B7">
        <w:rPr>
          <w:rFonts w:cstheme="minorHAnsi"/>
        </w:rPr>
        <w:t xml:space="preserve"> </w:t>
      </w:r>
      <w:r w:rsidRPr="008821B7">
        <w:rPr>
          <w:rFonts w:cstheme="minorHAnsi"/>
        </w:rPr>
        <w:t>the reader is left questioning whether the girls felt pressured to show a belief in God, that they may or may not have felt, because they did not want to get into trouble for expressing socially/religiously unacceptable viewpoints.</w:t>
      </w:r>
    </w:p>
    <w:p w14:paraId="2846DFD7" w14:textId="2E3EC386" w:rsidR="001C6FA0" w:rsidRPr="008821B7" w:rsidRDefault="001C6FA0" w:rsidP="008821B7">
      <w:pPr>
        <w:spacing w:line="360" w:lineRule="auto"/>
        <w:rPr>
          <w:rFonts w:cstheme="minorHAnsi"/>
        </w:rPr>
      </w:pPr>
      <w:r w:rsidRPr="008821B7">
        <w:rPr>
          <w:rFonts w:cstheme="minorHAnsi"/>
        </w:rPr>
        <w:t xml:space="preserve">Unlike Brink, Walter and Waterhouse describe how they accessed their study population. As some respondents joined the study via personal contacts, </w:t>
      </w:r>
      <w:r w:rsidR="00C77559" w:rsidRPr="008821B7">
        <w:rPr>
          <w:rFonts w:cstheme="minorHAnsi"/>
        </w:rPr>
        <w:t>there</w:t>
      </w:r>
      <w:r w:rsidRPr="008821B7">
        <w:rPr>
          <w:rFonts w:cstheme="minorHAnsi"/>
        </w:rPr>
        <w:t xml:space="preserve"> is</w:t>
      </w:r>
      <w:r w:rsidR="00C77559" w:rsidRPr="008821B7">
        <w:rPr>
          <w:rFonts w:cstheme="minorHAnsi"/>
        </w:rPr>
        <w:t xml:space="preserve"> clearly</w:t>
      </w:r>
      <w:r w:rsidRPr="008821B7">
        <w:rPr>
          <w:rFonts w:cstheme="minorHAnsi"/>
        </w:rPr>
        <w:t xml:space="preserve"> a degree of insider positionality</w:t>
      </w:r>
      <w:r w:rsidR="00C77559" w:rsidRPr="008821B7">
        <w:rPr>
          <w:rFonts w:cstheme="minorHAnsi"/>
        </w:rPr>
        <w:t>,</w:t>
      </w:r>
      <w:r w:rsidRPr="008821B7">
        <w:rPr>
          <w:rFonts w:cstheme="minorHAnsi"/>
        </w:rPr>
        <w:t xml:space="preserve"> in that there was a pre-existing link between some respondents and the researchers. However, this is not expanded upon</w:t>
      </w:r>
      <w:r w:rsidR="00C77559" w:rsidRPr="008821B7">
        <w:rPr>
          <w:rFonts w:cstheme="minorHAnsi"/>
        </w:rPr>
        <w:t xml:space="preserve">, </w:t>
      </w:r>
      <w:r w:rsidRPr="008821B7">
        <w:rPr>
          <w:rFonts w:cstheme="minorHAnsi"/>
        </w:rPr>
        <w:t>so the reader is left</w:t>
      </w:r>
      <w:r w:rsidR="00C77559" w:rsidRPr="008821B7">
        <w:rPr>
          <w:rFonts w:cstheme="minorHAnsi"/>
        </w:rPr>
        <w:t xml:space="preserve"> wondering </w:t>
      </w:r>
      <w:r w:rsidRPr="008821B7">
        <w:rPr>
          <w:rFonts w:cstheme="minorHAnsi"/>
        </w:rPr>
        <w:t>how much of an insider Walter and Waterhouse are and how much this may have influenced the data collection.</w:t>
      </w:r>
    </w:p>
    <w:p w14:paraId="4205F147" w14:textId="1E6F3CAB" w:rsidR="001C6FA0" w:rsidRPr="008821B7" w:rsidRDefault="001C6FA0" w:rsidP="008821B7">
      <w:pPr>
        <w:spacing w:line="360" w:lineRule="auto"/>
        <w:rPr>
          <w:rFonts w:cstheme="minorHAnsi"/>
        </w:rPr>
      </w:pPr>
      <w:proofErr w:type="spellStart"/>
      <w:r w:rsidRPr="008821B7">
        <w:rPr>
          <w:rFonts w:cstheme="minorHAnsi"/>
        </w:rPr>
        <w:t>Hennink</w:t>
      </w:r>
      <w:proofErr w:type="spellEnd"/>
      <w:r w:rsidRPr="008821B7">
        <w:rPr>
          <w:rFonts w:cstheme="minorHAnsi"/>
        </w:rPr>
        <w:t xml:space="preserve">, </w:t>
      </w:r>
      <w:proofErr w:type="spellStart"/>
      <w:r w:rsidRPr="008821B7">
        <w:rPr>
          <w:rFonts w:cstheme="minorHAnsi"/>
        </w:rPr>
        <w:t>Hutter</w:t>
      </w:r>
      <w:proofErr w:type="spellEnd"/>
      <w:r w:rsidRPr="008821B7">
        <w:rPr>
          <w:rFonts w:cstheme="minorHAnsi"/>
        </w:rPr>
        <w:t xml:space="preserve"> and Bailey warn that ‘researchers also bring their subjective influences </w:t>
      </w:r>
      <w:proofErr w:type="gramStart"/>
      <w:r w:rsidRPr="008821B7">
        <w:rPr>
          <w:rFonts w:cstheme="minorHAnsi"/>
        </w:rPr>
        <w:t>to</w:t>
      </w:r>
      <w:proofErr w:type="gramEnd"/>
      <w:r w:rsidRPr="008821B7">
        <w:rPr>
          <w:rFonts w:cstheme="minorHAnsi"/>
        </w:rPr>
        <w:t xml:space="preserve"> the research process, particularly during data collection and interpretation.’</w:t>
      </w:r>
      <w:r w:rsidRPr="008821B7">
        <w:rPr>
          <w:rStyle w:val="FootnoteReference"/>
          <w:rFonts w:cstheme="minorHAnsi"/>
        </w:rPr>
        <w:footnoteReference w:id="20"/>
      </w:r>
      <w:r w:rsidRPr="008821B7">
        <w:rPr>
          <w:rFonts w:cstheme="minorHAnsi"/>
        </w:rPr>
        <w:t xml:space="preserve"> </w:t>
      </w:r>
      <w:r w:rsidR="00C77559" w:rsidRPr="008821B7">
        <w:rPr>
          <w:rFonts w:cstheme="minorHAnsi"/>
        </w:rPr>
        <w:t>S</w:t>
      </w:r>
      <w:r w:rsidRPr="008821B7">
        <w:rPr>
          <w:rFonts w:cstheme="minorHAnsi"/>
        </w:rPr>
        <w:t xml:space="preserve">ubjectivity is </w:t>
      </w:r>
      <w:r w:rsidR="00C77559" w:rsidRPr="008821B7">
        <w:rPr>
          <w:rFonts w:cstheme="minorHAnsi"/>
        </w:rPr>
        <w:t xml:space="preserve">apparent </w:t>
      </w:r>
      <w:r w:rsidRPr="008821B7">
        <w:rPr>
          <w:rFonts w:cstheme="minorHAnsi"/>
        </w:rPr>
        <w:t>in both papers</w:t>
      </w:r>
      <w:r w:rsidR="00201840" w:rsidRPr="008821B7">
        <w:rPr>
          <w:rFonts w:cstheme="minorHAnsi"/>
        </w:rPr>
        <w:t>, e.g.</w:t>
      </w:r>
      <w:r w:rsidRPr="008821B7">
        <w:rPr>
          <w:rFonts w:cstheme="minorHAnsi"/>
        </w:rPr>
        <w:t xml:space="preserve"> Brink </w:t>
      </w:r>
      <w:r w:rsidR="00201840" w:rsidRPr="008821B7">
        <w:rPr>
          <w:rFonts w:cstheme="minorHAnsi"/>
        </w:rPr>
        <w:t>di</w:t>
      </w:r>
      <w:r w:rsidR="00C77559" w:rsidRPr="008821B7">
        <w:rPr>
          <w:rFonts w:cstheme="minorHAnsi"/>
        </w:rPr>
        <w:t>smisses the</w:t>
      </w:r>
      <w:r w:rsidR="00201840" w:rsidRPr="008821B7">
        <w:rPr>
          <w:rFonts w:cstheme="minorHAnsi"/>
        </w:rPr>
        <w:t xml:space="preserve"> girls’</w:t>
      </w:r>
      <w:r w:rsidR="00C77559" w:rsidRPr="008821B7">
        <w:rPr>
          <w:rFonts w:cstheme="minorHAnsi"/>
        </w:rPr>
        <w:t xml:space="preserve"> beliefs as a </w:t>
      </w:r>
      <w:r w:rsidRPr="008821B7">
        <w:rPr>
          <w:rFonts w:cstheme="minorHAnsi"/>
        </w:rPr>
        <w:t>‘response to confusion and uncertainty’</w:t>
      </w:r>
      <w:r w:rsidRPr="008821B7">
        <w:rPr>
          <w:rStyle w:val="FootnoteReference"/>
          <w:rFonts w:cstheme="minorHAnsi"/>
        </w:rPr>
        <w:footnoteReference w:id="21"/>
      </w:r>
      <w:r w:rsidRPr="008821B7">
        <w:rPr>
          <w:rFonts w:cstheme="minorHAnsi"/>
        </w:rPr>
        <w:t xml:space="preserve">. This assertion is not backed up by the data, as Brink failed to ask the respondents </w:t>
      </w:r>
      <w:r w:rsidRPr="008821B7">
        <w:rPr>
          <w:rFonts w:cstheme="minorHAnsi"/>
          <w:i/>
          <w:iCs/>
        </w:rPr>
        <w:t>why</w:t>
      </w:r>
      <w:r w:rsidRPr="008821B7">
        <w:rPr>
          <w:rFonts w:cstheme="minorHAnsi"/>
        </w:rPr>
        <w:t xml:space="preserve"> they held certain beliefs and shows that Brink has little empathic understanding of his study group. Indeed, he describes himself ‘surprised at the low response of the subjects to the statement about Roman Catholic religion being the one for them’.</w:t>
      </w:r>
      <w:r w:rsidRPr="008821B7">
        <w:rPr>
          <w:rStyle w:val="FootnoteReference"/>
          <w:rFonts w:cstheme="minorHAnsi"/>
        </w:rPr>
        <w:footnoteReference w:id="22"/>
      </w:r>
      <w:r w:rsidRPr="008821B7">
        <w:rPr>
          <w:rFonts w:cstheme="minorHAnsi"/>
        </w:rPr>
        <w:t xml:space="preserve"> Instead of reflecting on his own assumptions and the limitations of his data collection methodology, Brink proceeds to look for answers in social research literature. Walter and </w:t>
      </w:r>
      <w:r w:rsidR="005C6438" w:rsidRPr="008821B7">
        <w:rPr>
          <w:rFonts w:cstheme="minorHAnsi"/>
        </w:rPr>
        <w:t xml:space="preserve">Waterhouse, similarly, </w:t>
      </w:r>
      <w:r w:rsidR="00390CB1" w:rsidRPr="008821B7">
        <w:rPr>
          <w:rFonts w:cstheme="minorHAnsi"/>
        </w:rPr>
        <w:t>make</w:t>
      </w:r>
      <w:r w:rsidRPr="008821B7">
        <w:rPr>
          <w:rFonts w:cstheme="minorHAnsi"/>
        </w:rPr>
        <w:t xml:space="preserve"> subjective </w:t>
      </w:r>
      <w:r w:rsidR="00390CB1" w:rsidRPr="008821B7">
        <w:rPr>
          <w:rFonts w:cstheme="minorHAnsi"/>
        </w:rPr>
        <w:t>a</w:t>
      </w:r>
      <w:r w:rsidRPr="008821B7">
        <w:rPr>
          <w:rFonts w:cstheme="minorHAnsi"/>
        </w:rPr>
        <w:t>ssumption</w:t>
      </w:r>
      <w:r w:rsidR="00390CB1" w:rsidRPr="008821B7">
        <w:rPr>
          <w:rFonts w:cstheme="minorHAnsi"/>
        </w:rPr>
        <w:t xml:space="preserve">s, </w:t>
      </w:r>
      <w:r w:rsidR="008821B7" w:rsidRPr="008821B7">
        <w:rPr>
          <w:rFonts w:cstheme="minorHAnsi"/>
        </w:rPr>
        <w:t>e.g.,</w:t>
      </w:r>
      <w:r w:rsidR="00390CB1" w:rsidRPr="008821B7">
        <w:rPr>
          <w:rFonts w:cstheme="minorHAnsi"/>
        </w:rPr>
        <w:t xml:space="preserve"> </w:t>
      </w:r>
      <w:r w:rsidRPr="008821B7">
        <w:rPr>
          <w:rFonts w:cstheme="minorHAnsi"/>
        </w:rPr>
        <w:t>New Age adherents believe in reincarnation</w:t>
      </w:r>
      <w:r w:rsidR="00390CB1" w:rsidRPr="008821B7">
        <w:rPr>
          <w:rFonts w:cstheme="minorHAnsi"/>
        </w:rPr>
        <w:t>,</w:t>
      </w:r>
      <w:r w:rsidRPr="008821B7">
        <w:rPr>
          <w:rFonts w:cstheme="minorHAnsi"/>
        </w:rPr>
        <w:t xml:space="preserve"> without </w:t>
      </w:r>
      <w:r w:rsidR="008821B7" w:rsidRPr="008821B7">
        <w:rPr>
          <w:rFonts w:cstheme="minorHAnsi"/>
        </w:rPr>
        <w:t>testing</w:t>
      </w:r>
      <w:r w:rsidRPr="008821B7">
        <w:rPr>
          <w:rFonts w:cstheme="minorHAnsi"/>
        </w:rPr>
        <w:t xml:space="preserve"> this statement through </w:t>
      </w:r>
      <w:r w:rsidR="00390CB1" w:rsidRPr="008821B7">
        <w:rPr>
          <w:rFonts w:cstheme="minorHAnsi"/>
        </w:rPr>
        <w:t xml:space="preserve">their </w:t>
      </w:r>
      <w:r w:rsidRPr="008821B7">
        <w:rPr>
          <w:rFonts w:cstheme="minorHAnsi"/>
        </w:rPr>
        <w:t xml:space="preserve">research. </w:t>
      </w:r>
    </w:p>
    <w:p w14:paraId="79061724" w14:textId="77777777" w:rsidR="001C6FA0" w:rsidRPr="008821B7" w:rsidRDefault="001C6FA0" w:rsidP="008821B7">
      <w:pPr>
        <w:spacing w:line="360" w:lineRule="auto"/>
        <w:rPr>
          <w:rFonts w:cstheme="minorHAnsi"/>
        </w:rPr>
      </w:pPr>
      <w:r w:rsidRPr="008821B7">
        <w:rPr>
          <w:rFonts w:cstheme="minorHAnsi"/>
        </w:rPr>
        <w:t>Again, it is important to recognise that, while reflexivity is de rigour in current qualitative research, these papers are from the 1970s and 1990s, when such practices were not standard. However, given that they were both working with young people and both working on sensitive issues of personal belief, neither paper shows much awareness of how their position might have influenced the data collection.</w:t>
      </w:r>
    </w:p>
    <w:p w14:paraId="66F3F0F4" w14:textId="30F17CA9" w:rsidR="00C866D4" w:rsidRPr="008821B7" w:rsidRDefault="00C8513D" w:rsidP="008821B7">
      <w:pPr>
        <w:pStyle w:val="Heading1"/>
      </w:pPr>
      <w:r w:rsidRPr="008821B7">
        <w:lastRenderedPageBreak/>
        <w:t>Relevant academic literature</w:t>
      </w:r>
    </w:p>
    <w:p w14:paraId="209398D5" w14:textId="3E588609" w:rsidR="009E6E6D" w:rsidRPr="008821B7" w:rsidRDefault="009E6E6D" w:rsidP="008821B7">
      <w:pPr>
        <w:spacing w:line="360" w:lineRule="auto"/>
        <w:rPr>
          <w:rFonts w:cstheme="minorHAnsi"/>
        </w:rPr>
      </w:pPr>
      <w:r w:rsidRPr="008821B7">
        <w:rPr>
          <w:rFonts w:cstheme="minorHAnsi"/>
        </w:rPr>
        <w:t>Positioning one’s research within a wider academic discourse offer</w:t>
      </w:r>
      <w:r w:rsidR="005C6438" w:rsidRPr="008821B7">
        <w:rPr>
          <w:rFonts w:cstheme="minorHAnsi"/>
        </w:rPr>
        <w:t>s</w:t>
      </w:r>
      <w:r w:rsidRPr="008821B7">
        <w:rPr>
          <w:rFonts w:cstheme="minorHAnsi"/>
        </w:rPr>
        <w:t xml:space="preserve"> researchers the opportunity to add new knowledge to the area of study, as well as helping them refine their research concept and justify their chosen study (</w:t>
      </w:r>
      <w:proofErr w:type="spellStart"/>
      <w:r w:rsidRPr="008821B7">
        <w:rPr>
          <w:rFonts w:cstheme="minorHAnsi"/>
        </w:rPr>
        <w:t>Hennink</w:t>
      </w:r>
      <w:proofErr w:type="spellEnd"/>
      <w:r w:rsidRPr="008821B7">
        <w:rPr>
          <w:rFonts w:cstheme="minorHAnsi"/>
        </w:rPr>
        <w:t xml:space="preserve">, </w:t>
      </w:r>
      <w:proofErr w:type="spellStart"/>
      <w:r w:rsidRPr="008821B7">
        <w:rPr>
          <w:rFonts w:cstheme="minorHAnsi"/>
        </w:rPr>
        <w:t>Hutter</w:t>
      </w:r>
      <w:proofErr w:type="spellEnd"/>
      <w:r w:rsidRPr="008821B7">
        <w:rPr>
          <w:rFonts w:cstheme="minorHAnsi"/>
        </w:rPr>
        <w:t xml:space="preserve"> and Bailey, 2020).</w:t>
      </w:r>
      <w:r w:rsidRPr="008821B7">
        <w:rPr>
          <w:rStyle w:val="FootnoteReference"/>
          <w:rFonts w:cstheme="minorHAnsi"/>
        </w:rPr>
        <w:footnoteReference w:id="23"/>
      </w:r>
    </w:p>
    <w:p w14:paraId="595AF87F" w14:textId="1766E98E" w:rsidR="009E6E6D" w:rsidRPr="008821B7" w:rsidRDefault="009E6E6D" w:rsidP="008821B7">
      <w:pPr>
        <w:spacing w:line="360" w:lineRule="auto"/>
        <w:rPr>
          <w:rFonts w:cstheme="minorHAnsi"/>
        </w:rPr>
      </w:pPr>
      <w:r w:rsidRPr="008821B7">
        <w:rPr>
          <w:rFonts w:cstheme="minorHAnsi"/>
        </w:rPr>
        <w:t>Brink’s abstract states that ‘The author presents a functional perspective’.</w:t>
      </w:r>
      <w:r w:rsidRPr="008821B7">
        <w:rPr>
          <w:rStyle w:val="FootnoteReference"/>
          <w:rFonts w:cstheme="minorHAnsi"/>
        </w:rPr>
        <w:footnoteReference w:id="24"/>
      </w:r>
      <w:r w:rsidRPr="008821B7">
        <w:rPr>
          <w:rFonts w:cstheme="minorHAnsi"/>
        </w:rPr>
        <w:t xml:space="preserve"> Functionalism</w:t>
      </w:r>
      <w:r w:rsidR="00C8513D" w:rsidRPr="008821B7">
        <w:rPr>
          <w:rFonts w:cstheme="minorHAnsi"/>
        </w:rPr>
        <w:t>,</w:t>
      </w:r>
      <w:r w:rsidRPr="008821B7">
        <w:rPr>
          <w:rFonts w:cstheme="minorHAnsi"/>
        </w:rPr>
        <w:t xml:space="preserve"> within</w:t>
      </w:r>
      <w:r w:rsidR="00C8513D" w:rsidRPr="008821B7">
        <w:rPr>
          <w:rFonts w:cstheme="minorHAnsi"/>
        </w:rPr>
        <w:t xml:space="preserve"> </w:t>
      </w:r>
      <w:r w:rsidRPr="008821B7">
        <w:rPr>
          <w:rFonts w:cstheme="minorHAnsi"/>
        </w:rPr>
        <w:t>sociology</w:t>
      </w:r>
      <w:r w:rsidR="00C8513D" w:rsidRPr="008821B7">
        <w:rPr>
          <w:rFonts w:cstheme="minorHAnsi"/>
        </w:rPr>
        <w:t>,</w:t>
      </w:r>
      <w:r w:rsidRPr="008821B7">
        <w:rPr>
          <w:rFonts w:cstheme="minorHAnsi"/>
        </w:rPr>
        <w:t xml:space="preserve"> tends to focus on the behaviours of people within a society but Brink’s paper focuses on the beliefs of respondents. Because of that, Brink struggles to relate his field work data to the literature he cites. </w:t>
      </w:r>
      <w:r w:rsidR="008609CF" w:rsidRPr="008821B7">
        <w:rPr>
          <w:rFonts w:cstheme="minorHAnsi"/>
        </w:rPr>
        <w:t>Brink</w:t>
      </w:r>
      <w:r w:rsidRPr="008821B7">
        <w:rPr>
          <w:rFonts w:cstheme="minorHAnsi"/>
        </w:rPr>
        <w:t xml:space="preserve"> tries to link his findings to contemporary </w:t>
      </w:r>
      <w:r w:rsidR="008609CF" w:rsidRPr="008821B7">
        <w:rPr>
          <w:rFonts w:cstheme="minorHAnsi"/>
        </w:rPr>
        <w:t xml:space="preserve">sociological </w:t>
      </w:r>
      <w:r w:rsidRPr="008821B7">
        <w:rPr>
          <w:rFonts w:cstheme="minorHAnsi"/>
        </w:rPr>
        <w:t xml:space="preserve">research, for example, </w:t>
      </w:r>
      <w:proofErr w:type="spellStart"/>
      <w:r w:rsidRPr="008821B7">
        <w:rPr>
          <w:rFonts w:cstheme="minorHAnsi"/>
        </w:rPr>
        <w:t>Bellah</w:t>
      </w:r>
      <w:proofErr w:type="spellEnd"/>
      <w:r w:rsidRPr="008821B7">
        <w:rPr>
          <w:rFonts w:cstheme="minorHAnsi"/>
        </w:rPr>
        <w:t xml:space="preserve"> (1970) and </w:t>
      </w:r>
      <w:proofErr w:type="spellStart"/>
      <w:r w:rsidRPr="008821B7">
        <w:rPr>
          <w:rFonts w:cstheme="minorHAnsi"/>
        </w:rPr>
        <w:t>Wuthnow</w:t>
      </w:r>
      <w:proofErr w:type="spellEnd"/>
      <w:r w:rsidRPr="008821B7">
        <w:rPr>
          <w:rFonts w:cstheme="minorHAnsi"/>
        </w:rPr>
        <w:t xml:space="preserve"> (1976), but he failed to gather sufficient rich data from his respondents to be able to show that his research supports the findings of the researchers he references. Perhaps he would have been better able to relate his field work data to research within a religious field of study. Instead of reflecting on the shortcomings of his own </w:t>
      </w:r>
      <w:r w:rsidR="008609CF" w:rsidRPr="008821B7">
        <w:rPr>
          <w:rFonts w:cstheme="minorHAnsi"/>
        </w:rPr>
        <w:t>fieldwork</w:t>
      </w:r>
      <w:r w:rsidRPr="008821B7">
        <w:rPr>
          <w:rFonts w:cstheme="minorHAnsi"/>
        </w:rPr>
        <w:t xml:space="preserve">, </w:t>
      </w:r>
      <w:r w:rsidR="008609CF" w:rsidRPr="008821B7">
        <w:rPr>
          <w:rFonts w:cstheme="minorHAnsi"/>
        </w:rPr>
        <w:t>Brink</w:t>
      </w:r>
      <w:r w:rsidRPr="008821B7">
        <w:rPr>
          <w:rFonts w:cstheme="minorHAnsi"/>
        </w:rPr>
        <w:t xml:space="preserve"> blames the respondents’ immaturity, suggesting their inconsistent beliefs serve as a protection function. This is clearly an assumption as, although he referenced functional perspective in his abstract, his data gathering methodology was too shallow to capture the reasons behind the girls’ beliefs – Brink is essentially applying the theory of functionality without </w:t>
      </w:r>
      <w:proofErr w:type="gramStart"/>
      <w:r w:rsidRPr="008821B7">
        <w:rPr>
          <w:rFonts w:cstheme="minorHAnsi"/>
        </w:rPr>
        <w:t>actually testing</w:t>
      </w:r>
      <w:proofErr w:type="gramEnd"/>
      <w:r w:rsidRPr="008821B7">
        <w:rPr>
          <w:rFonts w:cstheme="minorHAnsi"/>
        </w:rPr>
        <w:t xml:space="preserve"> it in his methods.</w:t>
      </w:r>
    </w:p>
    <w:p w14:paraId="129EC6C6" w14:textId="115B0C2E" w:rsidR="003A7042" w:rsidRPr="008821B7" w:rsidRDefault="000307BB" w:rsidP="008821B7">
      <w:pPr>
        <w:spacing w:line="360" w:lineRule="auto"/>
        <w:rPr>
          <w:rFonts w:cstheme="minorHAnsi"/>
        </w:rPr>
      </w:pPr>
      <w:r w:rsidRPr="008821B7">
        <w:rPr>
          <w:rFonts w:cstheme="minorHAnsi"/>
        </w:rPr>
        <w:t xml:space="preserve">Unlike Brink, Walter and </w:t>
      </w:r>
      <w:r w:rsidR="008609CF" w:rsidRPr="008821B7">
        <w:rPr>
          <w:rFonts w:cstheme="minorHAnsi"/>
        </w:rPr>
        <w:t>Waterhouse</w:t>
      </w:r>
      <w:r w:rsidRPr="008821B7">
        <w:rPr>
          <w:rFonts w:cstheme="minorHAnsi"/>
        </w:rPr>
        <w:t xml:space="preserve"> linked their study far more closely to existing research</w:t>
      </w:r>
      <w:r w:rsidR="008609CF" w:rsidRPr="008821B7">
        <w:rPr>
          <w:rFonts w:cstheme="minorHAnsi"/>
        </w:rPr>
        <w:t>, using</w:t>
      </w:r>
      <w:r w:rsidRPr="008821B7">
        <w:rPr>
          <w:rFonts w:cstheme="minorHAnsi"/>
        </w:rPr>
        <w:t xml:space="preserve"> a deductive reasoning process to refine their research question. For example, they noticed that</w:t>
      </w:r>
      <w:r w:rsidR="005C6438" w:rsidRPr="008821B7">
        <w:rPr>
          <w:rFonts w:cstheme="minorHAnsi"/>
        </w:rPr>
        <w:t xml:space="preserve"> previous research had shown</w:t>
      </w:r>
      <w:r w:rsidRPr="008821B7">
        <w:rPr>
          <w:rFonts w:cstheme="minorHAnsi"/>
        </w:rPr>
        <w:t xml:space="preserve"> belief in reincarnation had increased in England</w:t>
      </w:r>
      <w:r w:rsidR="005C6438" w:rsidRPr="008821B7">
        <w:rPr>
          <w:rFonts w:cstheme="minorHAnsi"/>
        </w:rPr>
        <w:t xml:space="preserve"> - this</w:t>
      </w:r>
      <w:r w:rsidRPr="008821B7">
        <w:rPr>
          <w:rFonts w:cstheme="minorHAnsi"/>
        </w:rPr>
        <w:t xml:space="preserve"> led to them to wonder whether this was reflected in a corresponding belief that reincarnation was an </w:t>
      </w:r>
      <w:r w:rsidR="008609CF" w:rsidRPr="008821B7">
        <w:rPr>
          <w:rFonts w:cstheme="minorHAnsi"/>
        </w:rPr>
        <w:t>alternative</w:t>
      </w:r>
      <w:r w:rsidRPr="008821B7">
        <w:rPr>
          <w:rFonts w:cstheme="minorHAnsi"/>
        </w:rPr>
        <w:t xml:space="preserve"> to </w:t>
      </w:r>
      <w:r w:rsidR="008609CF" w:rsidRPr="008821B7">
        <w:rPr>
          <w:rFonts w:cstheme="minorHAnsi"/>
        </w:rPr>
        <w:t>Christianity</w:t>
      </w:r>
      <w:r w:rsidRPr="008821B7">
        <w:rPr>
          <w:rFonts w:cstheme="minorHAnsi"/>
        </w:rPr>
        <w:t xml:space="preserve"> and secularism.</w:t>
      </w:r>
      <w:r w:rsidRPr="008821B7">
        <w:rPr>
          <w:rStyle w:val="FootnoteReference"/>
          <w:rFonts w:cstheme="minorHAnsi"/>
        </w:rPr>
        <w:footnoteReference w:id="25"/>
      </w:r>
      <w:r w:rsidR="00A126E5" w:rsidRPr="008821B7">
        <w:rPr>
          <w:rFonts w:cstheme="minorHAnsi"/>
        </w:rPr>
        <w:t xml:space="preserve"> </w:t>
      </w:r>
      <w:r w:rsidR="005C6438" w:rsidRPr="008821B7">
        <w:rPr>
          <w:rFonts w:cstheme="minorHAnsi"/>
        </w:rPr>
        <w:t xml:space="preserve">However, other academic literature </w:t>
      </w:r>
      <w:r w:rsidRPr="008821B7">
        <w:rPr>
          <w:rFonts w:cstheme="minorHAnsi"/>
        </w:rPr>
        <w:t xml:space="preserve">showed them that this was not the case and led them to explore what reincarnation </w:t>
      </w:r>
      <w:proofErr w:type="gramStart"/>
      <w:r w:rsidRPr="008821B7">
        <w:rPr>
          <w:rFonts w:cstheme="minorHAnsi"/>
        </w:rPr>
        <w:t>actually means</w:t>
      </w:r>
      <w:proofErr w:type="gramEnd"/>
      <w:r w:rsidRPr="008821B7">
        <w:rPr>
          <w:rFonts w:cstheme="minorHAnsi"/>
        </w:rPr>
        <w:t xml:space="preserve"> to people who believe in it. In this way, their approach to Brink’s was different in that their research question and data collection methodology was very much deduced from the findings of previous research. </w:t>
      </w:r>
    </w:p>
    <w:p w14:paraId="6CEEF5D5" w14:textId="77777777" w:rsidR="005C6438" w:rsidRPr="008821B7" w:rsidRDefault="005C6438" w:rsidP="008821B7">
      <w:pPr>
        <w:spacing w:line="360" w:lineRule="auto"/>
        <w:rPr>
          <w:rFonts w:cstheme="minorHAnsi"/>
        </w:rPr>
      </w:pPr>
    </w:p>
    <w:p w14:paraId="259D5A08" w14:textId="057E46EF" w:rsidR="009E6E6D" w:rsidRPr="008821B7" w:rsidRDefault="000307BB" w:rsidP="008821B7">
      <w:pPr>
        <w:pStyle w:val="Heading1"/>
      </w:pPr>
      <w:r w:rsidRPr="008821B7">
        <w:t>Conclusion</w:t>
      </w:r>
    </w:p>
    <w:p w14:paraId="58740362" w14:textId="1575AD0D" w:rsidR="008609CF" w:rsidRPr="008821B7" w:rsidRDefault="00F5049D" w:rsidP="008821B7">
      <w:pPr>
        <w:spacing w:line="360" w:lineRule="auto"/>
        <w:rPr>
          <w:rFonts w:cstheme="minorHAnsi"/>
        </w:rPr>
      </w:pPr>
      <w:r w:rsidRPr="008821B7">
        <w:rPr>
          <w:rFonts w:cstheme="minorHAnsi"/>
        </w:rPr>
        <w:t>Although</w:t>
      </w:r>
      <w:r w:rsidR="005F3763" w:rsidRPr="008821B7">
        <w:rPr>
          <w:rFonts w:cstheme="minorHAnsi"/>
        </w:rPr>
        <w:t xml:space="preserve"> both papers explored the topic of reincarnation, they approached their study using very different methodologies. Brink’s positivist survey of closed statements meant that his study lacked the depth of understanding the complexities of belief that were needed for him to be able to produce data that added any real new knowledge to the subject area. </w:t>
      </w:r>
      <w:r w:rsidR="002B2E27" w:rsidRPr="008821B7">
        <w:rPr>
          <w:rFonts w:cstheme="minorHAnsi"/>
        </w:rPr>
        <w:t xml:space="preserve">Walter and Waterhouse </w:t>
      </w:r>
      <w:r w:rsidR="002B2E27" w:rsidRPr="008821B7">
        <w:rPr>
          <w:rFonts w:cstheme="minorHAnsi"/>
        </w:rPr>
        <w:lastRenderedPageBreak/>
        <w:t xml:space="preserve">explored religious studies </w:t>
      </w:r>
      <w:r w:rsidR="00727544" w:rsidRPr="008821B7">
        <w:rPr>
          <w:rFonts w:cstheme="minorHAnsi"/>
        </w:rPr>
        <w:t xml:space="preserve">literature </w:t>
      </w:r>
      <w:r w:rsidR="002B2E27" w:rsidRPr="008821B7">
        <w:rPr>
          <w:rFonts w:cstheme="minorHAnsi"/>
        </w:rPr>
        <w:t>which helped them formulate their research question and gave them a better understanding of which data collection methodologies would yield the most appropriate data. As a result, unlike Brink, their study was able to add new knowledge to the subject area. Both studies were very much of their time and did not adhere to practices which would be expected of today’s researchers. However, they both demonstrate the challenges of capturing data about personal belief and</w:t>
      </w:r>
      <w:r w:rsidR="00727544" w:rsidRPr="008821B7">
        <w:rPr>
          <w:rFonts w:cstheme="minorHAnsi"/>
        </w:rPr>
        <w:t xml:space="preserve"> their </w:t>
      </w:r>
      <w:r w:rsidR="008821B7" w:rsidRPr="008821B7">
        <w:rPr>
          <w:rFonts w:cstheme="minorHAnsi"/>
        </w:rPr>
        <w:t>work helps</w:t>
      </w:r>
      <w:r w:rsidR="002B2E27" w:rsidRPr="008821B7">
        <w:rPr>
          <w:rFonts w:cstheme="minorHAnsi"/>
        </w:rPr>
        <w:t xml:space="preserve"> </w:t>
      </w:r>
      <w:r w:rsidR="00727544" w:rsidRPr="008821B7">
        <w:rPr>
          <w:rFonts w:cstheme="minorHAnsi"/>
        </w:rPr>
        <w:t>current</w:t>
      </w:r>
      <w:r w:rsidR="002B2E27" w:rsidRPr="008821B7">
        <w:rPr>
          <w:rFonts w:cstheme="minorHAnsi"/>
        </w:rPr>
        <w:t xml:space="preserve"> researchers refine techniques for researching this </w:t>
      </w:r>
      <w:r w:rsidRPr="008821B7">
        <w:rPr>
          <w:rFonts w:cstheme="minorHAnsi"/>
        </w:rPr>
        <w:t xml:space="preserve">difficult area </w:t>
      </w:r>
      <w:r w:rsidR="00727544" w:rsidRPr="008821B7">
        <w:rPr>
          <w:rFonts w:cstheme="minorHAnsi"/>
        </w:rPr>
        <w:t xml:space="preserve">of </w:t>
      </w:r>
      <w:r w:rsidRPr="008821B7">
        <w:rPr>
          <w:rFonts w:cstheme="minorHAnsi"/>
        </w:rPr>
        <w:t>academic study.</w:t>
      </w:r>
    </w:p>
    <w:p w14:paraId="492C3D90" w14:textId="77777777" w:rsidR="000307BB" w:rsidRPr="008821B7" w:rsidRDefault="000307BB" w:rsidP="008821B7">
      <w:pPr>
        <w:spacing w:line="360" w:lineRule="auto"/>
        <w:rPr>
          <w:rFonts w:cstheme="minorHAnsi"/>
        </w:rPr>
      </w:pPr>
    </w:p>
    <w:p w14:paraId="54E9F447" w14:textId="2E4D31F8" w:rsidR="00C866D4" w:rsidRPr="008821B7" w:rsidRDefault="00C866D4" w:rsidP="008821B7">
      <w:pPr>
        <w:spacing w:line="360" w:lineRule="auto"/>
        <w:rPr>
          <w:rFonts w:cstheme="minorHAnsi"/>
        </w:rPr>
      </w:pPr>
    </w:p>
    <w:p w14:paraId="6282B954" w14:textId="4C0CBB3C" w:rsidR="00C866D4" w:rsidRPr="008821B7" w:rsidRDefault="00C866D4" w:rsidP="008821B7">
      <w:pPr>
        <w:spacing w:line="360" w:lineRule="auto"/>
        <w:rPr>
          <w:rFonts w:cstheme="minorHAnsi"/>
        </w:rPr>
      </w:pPr>
    </w:p>
    <w:p w14:paraId="1F77BFF8" w14:textId="500C5865" w:rsidR="00C866D4" w:rsidRPr="008821B7" w:rsidRDefault="00C866D4" w:rsidP="008821B7">
      <w:pPr>
        <w:spacing w:line="360" w:lineRule="auto"/>
        <w:rPr>
          <w:rFonts w:cstheme="minorHAnsi"/>
        </w:rPr>
      </w:pPr>
    </w:p>
    <w:p w14:paraId="04A80997" w14:textId="3D8492BD" w:rsidR="00C866D4" w:rsidRPr="008821B7" w:rsidRDefault="00C866D4" w:rsidP="008821B7">
      <w:pPr>
        <w:spacing w:line="360" w:lineRule="auto"/>
        <w:rPr>
          <w:rFonts w:cstheme="minorHAnsi"/>
        </w:rPr>
      </w:pPr>
    </w:p>
    <w:p w14:paraId="21FE2EEF" w14:textId="2F5B4B3C" w:rsidR="00C866D4" w:rsidRPr="008821B7" w:rsidRDefault="00C866D4" w:rsidP="008821B7">
      <w:pPr>
        <w:spacing w:line="360" w:lineRule="auto"/>
        <w:rPr>
          <w:rFonts w:cstheme="minorHAnsi"/>
        </w:rPr>
      </w:pPr>
    </w:p>
    <w:p w14:paraId="5C62106A" w14:textId="391CA79F" w:rsidR="00C866D4" w:rsidRPr="008821B7" w:rsidRDefault="00C866D4" w:rsidP="008821B7">
      <w:pPr>
        <w:spacing w:line="360" w:lineRule="auto"/>
        <w:rPr>
          <w:rFonts w:cstheme="minorHAnsi"/>
        </w:rPr>
      </w:pPr>
    </w:p>
    <w:p w14:paraId="1B5754EF" w14:textId="006203F5" w:rsidR="00C866D4" w:rsidRPr="008821B7" w:rsidRDefault="00C866D4" w:rsidP="008821B7">
      <w:pPr>
        <w:spacing w:line="360" w:lineRule="auto"/>
        <w:rPr>
          <w:rFonts w:cstheme="minorHAnsi"/>
        </w:rPr>
      </w:pPr>
    </w:p>
    <w:p w14:paraId="4B3E8B25" w14:textId="396CECAD" w:rsidR="00C866D4" w:rsidRPr="008821B7" w:rsidRDefault="00C866D4" w:rsidP="008821B7">
      <w:pPr>
        <w:spacing w:line="360" w:lineRule="auto"/>
        <w:rPr>
          <w:rFonts w:cstheme="minorHAnsi"/>
        </w:rPr>
      </w:pPr>
    </w:p>
    <w:p w14:paraId="22C06FBB" w14:textId="4B8B2C54" w:rsidR="00C866D4" w:rsidRPr="008821B7" w:rsidRDefault="00C866D4" w:rsidP="008821B7">
      <w:pPr>
        <w:spacing w:line="360" w:lineRule="auto"/>
        <w:rPr>
          <w:rFonts w:cstheme="minorHAnsi"/>
        </w:rPr>
      </w:pPr>
    </w:p>
    <w:p w14:paraId="49FEE83C" w14:textId="39DB3416" w:rsidR="009D013D" w:rsidRPr="008821B7" w:rsidRDefault="009D013D" w:rsidP="008821B7">
      <w:pPr>
        <w:spacing w:line="360" w:lineRule="auto"/>
        <w:rPr>
          <w:rFonts w:cstheme="minorHAnsi"/>
        </w:rPr>
      </w:pPr>
      <w:r w:rsidRPr="008821B7">
        <w:rPr>
          <w:rFonts w:cstheme="minorHAnsi"/>
        </w:rPr>
        <w:t xml:space="preserve"> </w:t>
      </w:r>
    </w:p>
    <w:p w14:paraId="0D9A404B" w14:textId="71A1451A" w:rsidR="00D878F3" w:rsidRPr="008821B7" w:rsidRDefault="00D878F3" w:rsidP="008821B7">
      <w:pPr>
        <w:spacing w:line="360" w:lineRule="auto"/>
        <w:rPr>
          <w:rFonts w:cstheme="minorHAnsi"/>
        </w:rPr>
      </w:pPr>
    </w:p>
    <w:p w14:paraId="52E4D7B4" w14:textId="3033E58A" w:rsidR="00D878F3" w:rsidRPr="008821B7" w:rsidRDefault="00D878F3" w:rsidP="008821B7">
      <w:pPr>
        <w:spacing w:line="360" w:lineRule="auto"/>
        <w:rPr>
          <w:rFonts w:cstheme="minorHAnsi"/>
        </w:rPr>
      </w:pPr>
    </w:p>
    <w:p w14:paraId="51F9AE1B" w14:textId="72992CE1" w:rsidR="00D878F3" w:rsidRPr="008821B7" w:rsidRDefault="00D878F3" w:rsidP="008821B7">
      <w:pPr>
        <w:spacing w:line="360" w:lineRule="auto"/>
        <w:rPr>
          <w:rFonts w:cstheme="minorHAnsi"/>
        </w:rPr>
      </w:pPr>
    </w:p>
    <w:p w14:paraId="795BA33A" w14:textId="4B91F310" w:rsidR="00D878F3" w:rsidRPr="008821B7" w:rsidRDefault="00D878F3" w:rsidP="008821B7">
      <w:pPr>
        <w:spacing w:line="360" w:lineRule="auto"/>
        <w:rPr>
          <w:rFonts w:cstheme="minorHAnsi"/>
        </w:rPr>
      </w:pPr>
    </w:p>
    <w:p w14:paraId="3926848E" w14:textId="15B809F7" w:rsidR="00D878F3" w:rsidRPr="008821B7" w:rsidRDefault="00D878F3" w:rsidP="008821B7">
      <w:pPr>
        <w:spacing w:line="360" w:lineRule="auto"/>
        <w:rPr>
          <w:rFonts w:cstheme="minorHAnsi"/>
        </w:rPr>
      </w:pPr>
    </w:p>
    <w:p w14:paraId="5062FC0E" w14:textId="006C8F30" w:rsidR="00D878F3" w:rsidRPr="008821B7" w:rsidRDefault="00D878F3" w:rsidP="008821B7">
      <w:pPr>
        <w:spacing w:line="360" w:lineRule="auto"/>
        <w:rPr>
          <w:rFonts w:cstheme="minorHAnsi"/>
        </w:rPr>
      </w:pPr>
    </w:p>
    <w:p w14:paraId="5FBDDFB4" w14:textId="123BF03C" w:rsidR="00D878F3" w:rsidRPr="008821B7" w:rsidRDefault="00D878F3" w:rsidP="008821B7">
      <w:pPr>
        <w:spacing w:line="360" w:lineRule="auto"/>
        <w:rPr>
          <w:rFonts w:cstheme="minorHAnsi"/>
        </w:rPr>
      </w:pPr>
    </w:p>
    <w:p w14:paraId="207BE5B2" w14:textId="4C27A479" w:rsidR="00D878F3" w:rsidRPr="008821B7" w:rsidRDefault="00D878F3" w:rsidP="008821B7">
      <w:pPr>
        <w:spacing w:line="360" w:lineRule="auto"/>
        <w:rPr>
          <w:rFonts w:cstheme="minorHAnsi"/>
        </w:rPr>
      </w:pPr>
    </w:p>
    <w:p w14:paraId="27DD8263" w14:textId="77DFCDED" w:rsidR="00D878F3" w:rsidRPr="008821B7" w:rsidRDefault="00D878F3" w:rsidP="008821B7">
      <w:pPr>
        <w:spacing w:line="360" w:lineRule="auto"/>
        <w:rPr>
          <w:rFonts w:cstheme="minorHAnsi"/>
        </w:rPr>
      </w:pPr>
    </w:p>
    <w:p w14:paraId="5FEC059E" w14:textId="2EB19C29" w:rsidR="00D878F3" w:rsidRDefault="008821B7" w:rsidP="00FD43BD">
      <w:pPr>
        <w:pStyle w:val="Title"/>
      </w:pPr>
      <w:r>
        <w:lastRenderedPageBreak/>
        <w:t>Bibliography</w:t>
      </w:r>
    </w:p>
    <w:p w14:paraId="63AAE053" w14:textId="77777777" w:rsidR="00541212" w:rsidRPr="00541212" w:rsidRDefault="00541212" w:rsidP="00541212">
      <w:pPr>
        <w:spacing w:after="0" w:line="240" w:lineRule="auto"/>
        <w:rPr>
          <w:rFonts w:ascii="Times New Roman" w:eastAsia="Times New Roman" w:hAnsi="Times New Roman" w:cs="Times New Roman"/>
          <w:sz w:val="24"/>
          <w:szCs w:val="24"/>
          <w:lang w:eastAsia="en-GB"/>
        </w:rPr>
      </w:pPr>
    </w:p>
    <w:p w14:paraId="0DF9C380" w14:textId="32E5F33E" w:rsidR="00541212" w:rsidRPr="00FD43BD" w:rsidRDefault="00541212" w:rsidP="005C5B58">
      <w:pPr>
        <w:spacing w:after="0" w:line="360" w:lineRule="auto"/>
        <w:rPr>
          <w:rFonts w:eastAsia="Times New Roman" w:cstheme="minorHAnsi"/>
          <w:sz w:val="24"/>
          <w:szCs w:val="24"/>
          <w:lang w:eastAsia="en-GB"/>
        </w:rPr>
      </w:pPr>
      <w:r w:rsidRPr="00FD43BD">
        <w:rPr>
          <w:rFonts w:eastAsia="Times New Roman" w:cstheme="minorHAnsi"/>
          <w:sz w:val="24"/>
          <w:szCs w:val="24"/>
          <w:lang w:eastAsia="en-GB"/>
        </w:rPr>
        <w:t xml:space="preserve">Bell, &amp; Waters, S. </w:t>
      </w:r>
      <w:r w:rsidRPr="00FD43BD">
        <w:rPr>
          <w:rFonts w:eastAsia="Times New Roman" w:cstheme="minorHAnsi"/>
          <w:i/>
          <w:iCs/>
          <w:sz w:val="24"/>
          <w:szCs w:val="24"/>
          <w:lang w:eastAsia="en-GB"/>
        </w:rPr>
        <w:t xml:space="preserve">Doing your research </w:t>
      </w:r>
      <w:proofErr w:type="gramStart"/>
      <w:r w:rsidRPr="00FD43BD">
        <w:rPr>
          <w:rFonts w:eastAsia="Times New Roman" w:cstheme="minorHAnsi"/>
          <w:i/>
          <w:iCs/>
          <w:sz w:val="24"/>
          <w:szCs w:val="24"/>
          <w:lang w:eastAsia="en-GB"/>
        </w:rPr>
        <w:t>project :</w:t>
      </w:r>
      <w:proofErr w:type="gramEnd"/>
      <w:r w:rsidRPr="00FD43BD">
        <w:rPr>
          <w:rFonts w:eastAsia="Times New Roman" w:cstheme="minorHAnsi"/>
          <w:i/>
          <w:iCs/>
          <w:sz w:val="24"/>
          <w:szCs w:val="24"/>
          <w:lang w:eastAsia="en-GB"/>
        </w:rPr>
        <w:t xml:space="preserve"> a guide for first-time researchers</w:t>
      </w:r>
      <w:r w:rsidR="00FD43BD">
        <w:rPr>
          <w:rFonts w:eastAsia="Times New Roman" w:cstheme="minorHAnsi"/>
          <w:i/>
          <w:iCs/>
          <w:sz w:val="24"/>
          <w:szCs w:val="24"/>
          <w:lang w:eastAsia="en-GB"/>
        </w:rPr>
        <w:t xml:space="preserve">, </w:t>
      </w:r>
      <w:r w:rsidR="00FD43BD">
        <w:rPr>
          <w:rFonts w:eastAsia="Times New Roman" w:cstheme="minorHAnsi"/>
          <w:sz w:val="24"/>
          <w:szCs w:val="24"/>
          <w:lang w:eastAsia="en-GB"/>
        </w:rPr>
        <w:t>7th</w:t>
      </w:r>
      <w:r w:rsidRPr="00FD43BD">
        <w:rPr>
          <w:rFonts w:eastAsia="Times New Roman" w:cstheme="minorHAnsi"/>
          <w:sz w:val="24"/>
          <w:szCs w:val="24"/>
          <w:lang w:eastAsia="en-GB"/>
        </w:rPr>
        <w:t xml:space="preserve"> edition. </w:t>
      </w:r>
      <w:r w:rsidR="00FD43BD">
        <w:rPr>
          <w:rFonts w:eastAsia="Times New Roman" w:cstheme="minorHAnsi"/>
          <w:sz w:val="24"/>
          <w:szCs w:val="24"/>
          <w:lang w:eastAsia="en-GB"/>
        </w:rPr>
        <w:t>(</w:t>
      </w:r>
      <w:r w:rsidRPr="00FD43BD">
        <w:rPr>
          <w:rFonts w:eastAsia="Times New Roman" w:cstheme="minorHAnsi"/>
          <w:sz w:val="24"/>
          <w:szCs w:val="24"/>
          <w:lang w:eastAsia="en-GB"/>
        </w:rPr>
        <w:t>McGraw-Hill Education</w:t>
      </w:r>
      <w:r w:rsidR="003F4332">
        <w:rPr>
          <w:rFonts w:eastAsia="Times New Roman" w:cstheme="minorHAnsi"/>
          <w:sz w:val="24"/>
          <w:szCs w:val="24"/>
          <w:lang w:eastAsia="en-GB"/>
        </w:rPr>
        <w:t xml:space="preserve">, </w:t>
      </w:r>
      <w:r w:rsidR="00FD43BD" w:rsidRPr="00FD43BD">
        <w:rPr>
          <w:rFonts w:eastAsia="Times New Roman" w:cstheme="minorHAnsi"/>
          <w:sz w:val="24"/>
          <w:szCs w:val="24"/>
          <w:lang w:eastAsia="en-GB"/>
        </w:rPr>
        <w:t>2018)</w:t>
      </w:r>
    </w:p>
    <w:p w14:paraId="75820EAD" w14:textId="77777777" w:rsidR="00541212" w:rsidRPr="00FD43BD" w:rsidRDefault="00541212" w:rsidP="005C5B58">
      <w:pPr>
        <w:spacing w:after="0" w:line="360" w:lineRule="auto"/>
        <w:rPr>
          <w:rFonts w:eastAsia="Times New Roman" w:cstheme="minorHAnsi"/>
          <w:sz w:val="24"/>
          <w:szCs w:val="24"/>
          <w:lang w:eastAsia="en-GB"/>
        </w:rPr>
      </w:pPr>
    </w:p>
    <w:p w14:paraId="37FDD059" w14:textId="398A6963" w:rsidR="009A0890" w:rsidRPr="009A0890" w:rsidRDefault="009A0890" w:rsidP="005C5B58">
      <w:pPr>
        <w:spacing w:after="0" w:line="360" w:lineRule="auto"/>
        <w:rPr>
          <w:rFonts w:eastAsia="Times New Roman" w:cstheme="minorHAnsi"/>
          <w:sz w:val="24"/>
          <w:szCs w:val="24"/>
          <w:lang w:eastAsia="en-GB"/>
        </w:rPr>
      </w:pPr>
      <w:r w:rsidRPr="009A0890">
        <w:rPr>
          <w:rFonts w:eastAsia="Times New Roman" w:cstheme="minorHAnsi"/>
          <w:sz w:val="24"/>
          <w:szCs w:val="24"/>
          <w:lang w:eastAsia="en-GB"/>
        </w:rPr>
        <w:t xml:space="preserve">Brink, T. L. </w:t>
      </w:r>
      <w:r w:rsidRPr="009A0890">
        <w:rPr>
          <w:rFonts w:eastAsia="Times New Roman" w:cstheme="minorHAnsi"/>
          <w:i/>
          <w:iCs/>
          <w:sz w:val="24"/>
          <w:szCs w:val="24"/>
          <w:lang w:eastAsia="en-GB"/>
        </w:rPr>
        <w:t>“Inconsistency of Belief among Roman Catholic Girls: Concerning Religion, Astrology, Reincarnation</w:t>
      </w:r>
      <w:r w:rsidRPr="009A0890">
        <w:rPr>
          <w:rFonts w:eastAsia="Times New Roman" w:cstheme="minorHAnsi"/>
          <w:sz w:val="24"/>
          <w:szCs w:val="24"/>
          <w:lang w:eastAsia="en-GB"/>
        </w:rPr>
        <w:t>.” Review of Religious Research, vol. 20, no. 1, [Religious Research Association, Inc., Springer], 1978, pp. 82–85, https://doi.org/10.2307/3509943.</w:t>
      </w:r>
    </w:p>
    <w:p w14:paraId="1B602097" w14:textId="77777777" w:rsidR="003F4332" w:rsidRDefault="003F4332" w:rsidP="005C5B58">
      <w:pPr>
        <w:spacing w:line="360" w:lineRule="auto"/>
        <w:rPr>
          <w:rFonts w:cstheme="minorHAnsi"/>
          <w:sz w:val="24"/>
          <w:szCs w:val="24"/>
        </w:rPr>
      </w:pPr>
    </w:p>
    <w:p w14:paraId="7094E207" w14:textId="7A369787" w:rsidR="00541212" w:rsidRPr="00FD43BD" w:rsidRDefault="00541212" w:rsidP="005C5B58">
      <w:pPr>
        <w:spacing w:line="360" w:lineRule="auto"/>
        <w:rPr>
          <w:rFonts w:cstheme="minorHAnsi"/>
          <w:sz w:val="24"/>
          <w:szCs w:val="24"/>
        </w:rPr>
      </w:pPr>
      <w:r w:rsidRPr="00FD43BD">
        <w:rPr>
          <w:rFonts w:cstheme="minorHAnsi"/>
          <w:sz w:val="24"/>
          <w:szCs w:val="24"/>
        </w:rPr>
        <w:t>Bryman</w:t>
      </w:r>
      <w:r w:rsidR="003F4332">
        <w:rPr>
          <w:rFonts w:cstheme="minorHAnsi"/>
          <w:sz w:val="24"/>
          <w:szCs w:val="24"/>
        </w:rPr>
        <w:t>, Alan,</w:t>
      </w:r>
      <w:r w:rsidRPr="00FD43BD">
        <w:rPr>
          <w:rFonts w:cstheme="minorHAnsi"/>
          <w:sz w:val="24"/>
          <w:szCs w:val="24"/>
        </w:rPr>
        <w:t xml:space="preserve"> </w:t>
      </w:r>
      <w:proofErr w:type="gramStart"/>
      <w:r w:rsidRPr="003F4332">
        <w:rPr>
          <w:rFonts w:cstheme="minorHAnsi"/>
          <w:i/>
          <w:iCs/>
          <w:sz w:val="24"/>
          <w:szCs w:val="24"/>
        </w:rPr>
        <w:t>Quantity</w:t>
      </w:r>
      <w:proofErr w:type="gramEnd"/>
      <w:r w:rsidRPr="003F4332">
        <w:rPr>
          <w:rFonts w:cstheme="minorHAnsi"/>
          <w:i/>
          <w:iCs/>
          <w:sz w:val="24"/>
          <w:szCs w:val="24"/>
        </w:rPr>
        <w:t xml:space="preserve"> and quality in social research</w:t>
      </w:r>
      <w:r w:rsidRPr="00FD43BD">
        <w:rPr>
          <w:rFonts w:cstheme="minorHAnsi"/>
          <w:sz w:val="24"/>
          <w:szCs w:val="24"/>
        </w:rPr>
        <w:t xml:space="preserve">. </w:t>
      </w:r>
      <w:r w:rsidR="003F4332">
        <w:rPr>
          <w:rFonts w:cstheme="minorHAnsi"/>
          <w:sz w:val="24"/>
          <w:szCs w:val="24"/>
        </w:rPr>
        <w:t xml:space="preserve">(London, </w:t>
      </w:r>
      <w:r w:rsidRPr="00FD43BD">
        <w:rPr>
          <w:rFonts w:cstheme="minorHAnsi"/>
          <w:sz w:val="24"/>
          <w:szCs w:val="24"/>
        </w:rPr>
        <w:t>Routledge</w:t>
      </w:r>
      <w:r w:rsidR="003F4332">
        <w:rPr>
          <w:rFonts w:cstheme="minorHAnsi"/>
          <w:sz w:val="24"/>
          <w:szCs w:val="24"/>
        </w:rPr>
        <w:t>, 1992)</w:t>
      </w:r>
      <w:r w:rsidRPr="00FD43BD">
        <w:rPr>
          <w:rFonts w:cstheme="minorHAnsi"/>
          <w:sz w:val="24"/>
          <w:szCs w:val="24"/>
        </w:rPr>
        <w:t>.</w:t>
      </w:r>
    </w:p>
    <w:p w14:paraId="6F640D36" w14:textId="034F6492" w:rsidR="00FD43BD" w:rsidRPr="00FD43BD" w:rsidRDefault="00FD43BD" w:rsidP="005C5B58">
      <w:pPr>
        <w:spacing w:line="360" w:lineRule="auto"/>
        <w:rPr>
          <w:rFonts w:cstheme="minorHAnsi"/>
          <w:sz w:val="24"/>
          <w:szCs w:val="24"/>
        </w:rPr>
      </w:pPr>
      <w:proofErr w:type="spellStart"/>
      <w:r w:rsidRPr="00FD43BD">
        <w:rPr>
          <w:rFonts w:cstheme="minorHAnsi"/>
          <w:sz w:val="24"/>
          <w:szCs w:val="24"/>
        </w:rPr>
        <w:t>Hennink</w:t>
      </w:r>
      <w:proofErr w:type="spellEnd"/>
      <w:r w:rsidRPr="00FD43BD">
        <w:rPr>
          <w:rFonts w:cstheme="minorHAnsi"/>
          <w:sz w:val="24"/>
          <w:szCs w:val="24"/>
        </w:rPr>
        <w:t xml:space="preserve">, </w:t>
      </w:r>
      <w:proofErr w:type="spellStart"/>
      <w:r w:rsidRPr="00FD43BD">
        <w:rPr>
          <w:rFonts w:cstheme="minorHAnsi"/>
          <w:sz w:val="24"/>
          <w:szCs w:val="24"/>
        </w:rPr>
        <w:t>Hutter</w:t>
      </w:r>
      <w:proofErr w:type="spellEnd"/>
      <w:r w:rsidRPr="00FD43BD">
        <w:rPr>
          <w:rFonts w:cstheme="minorHAnsi"/>
          <w:sz w:val="24"/>
          <w:szCs w:val="24"/>
        </w:rPr>
        <w:t>, I., &amp; Bailey, A.</w:t>
      </w:r>
      <w:r w:rsidR="003F4332">
        <w:rPr>
          <w:rFonts w:cstheme="minorHAnsi"/>
          <w:sz w:val="24"/>
          <w:szCs w:val="24"/>
        </w:rPr>
        <w:t>,</w:t>
      </w:r>
      <w:r w:rsidRPr="00FD43BD">
        <w:rPr>
          <w:rFonts w:cstheme="minorHAnsi"/>
          <w:sz w:val="24"/>
          <w:szCs w:val="24"/>
        </w:rPr>
        <w:t xml:space="preserve"> </w:t>
      </w:r>
      <w:r w:rsidRPr="003F4332">
        <w:rPr>
          <w:rFonts w:cstheme="minorHAnsi"/>
          <w:i/>
          <w:iCs/>
          <w:sz w:val="24"/>
          <w:szCs w:val="24"/>
        </w:rPr>
        <w:t>Qualitative research methods</w:t>
      </w:r>
      <w:r w:rsidRPr="00FD43BD">
        <w:rPr>
          <w:rFonts w:cstheme="minorHAnsi"/>
          <w:sz w:val="24"/>
          <w:szCs w:val="24"/>
        </w:rPr>
        <w:t xml:space="preserve"> </w:t>
      </w:r>
      <w:r w:rsidR="003F4332">
        <w:rPr>
          <w:rFonts w:cstheme="minorHAnsi"/>
          <w:sz w:val="24"/>
          <w:szCs w:val="24"/>
        </w:rPr>
        <w:t>2</w:t>
      </w:r>
      <w:r w:rsidR="003F4332" w:rsidRPr="003F4332">
        <w:rPr>
          <w:rFonts w:cstheme="minorHAnsi"/>
          <w:sz w:val="24"/>
          <w:szCs w:val="24"/>
          <w:vertAlign w:val="superscript"/>
        </w:rPr>
        <w:t>nd</w:t>
      </w:r>
      <w:r w:rsidR="003F4332">
        <w:rPr>
          <w:rFonts w:cstheme="minorHAnsi"/>
          <w:sz w:val="24"/>
          <w:szCs w:val="24"/>
        </w:rPr>
        <w:t xml:space="preserve"> </w:t>
      </w:r>
      <w:r w:rsidRPr="00FD43BD">
        <w:rPr>
          <w:rFonts w:cstheme="minorHAnsi"/>
          <w:sz w:val="24"/>
          <w:szCs w:val="24"/>
        </w:rPr>
        <w:t xml:space="preserve">edition. </w:t>
      </w:r>
      <w:r w:rsidR="003F4332">
        <w:rPr>
          <w:rFonts w:cstheme="minorHAnsi"/>
          <w:sz w:val="24"/>
          <w:szCs w:val="24"/>
        </w:rPr>
        <w:t xml:space="preserve">(London, </w:t>
      </w:r>
      <w:r w:rsidRPr="00FD43BD">
        <w:rPr>
          <w:rFonts w:cstheme="minorHAnsi"/>
          <w:sz w:val="24"/>
          <w:szCs w:val="24"/>
        </w:rPr>
        <w:t>SAGE</w:t>
      </w:r>
      <w:r w:rsidR="003F4332">
        <w:rPr>
          <w:rFonts w:cstheme="minorHAnsi"/>
          <w:sz w:val="24"/>
          <w:szCs w:val="24"/>
        </w:rPr>
        <w:t>, 2020)</w:t>
      </w:r>
      <w:r w:rsidRPr="00FD43BD">
        <w:rPr>
          <w:rFonts w:cstheme="minorHAnsi"/>
          <w:sz w:val="24"/>
          <w:szCs w:val="24"/>
        </w:rPr>
        <w:t>.</w:t>
      </w:r>
    </w:p>
    <w:p w14:paraId="6CC41286" w14:textId="24BCCDF9" w:rsidR="00541212" w:rsidRPr="00541212" w:rsidRDefault="00541212" w:rsidP="005C5B58">
      <w:pPr>
        <w:spacing w:after="0" w:line="360" w:lineRule="auto"/>
        <w:rPr>
          <w:rFonts w:eastAsia="Times New Roman" w:cstheme="minorHAnsi"/>
          <w:sz w:val="24"/>
          <w:szCs w:val="24"/>
          <w:lang w:eastAsia="en-GB"/>
        </w:rPr>
      </w:pPr>
      <w:proofErr w:type="spellStart"/>
      <w:r w:rsidRPr="00541212">
        <w:rPr>
          <w:rFonts w:eastAsia="Times New Roman" w:cstheme="minorHAnsi"/>
          <w:sz w:val="24"/>
          <w:szCs w:val="24"/>
          <w:lang w:eastAsia="en-GB"/>
        </w:rPr>
        <w:t>Micheelsen</w:t>
      </w:r>
      <w:proofErr w:type="spellEnd"/>
      <w:r w:rsidRPr="00541212">
        <w:rPr>
          <w:rFonts w:eastAsia="Times New Roman" w:cstheme="minorHAnsi"/>
          <w:sz w:val="24"/>
          <w:szCs w:val="24"/>
          <w:lang w:eastAsia="en-GB"/>
        </w:rPr>
        <w:t xml:space="preserve">, Arun, and </w:t>
      </w:r>
      <w:r w:rsidR="003F4332" w:rsidRPr="00541212">
        <w:rPr>
          <w:rFonts w:eastAsia="Times New Roman" w:cstheme="minorHAnsi"/>
          <w:sz w:val="24"/>
          <w:szCs w:val="24"/>
          <w:lang w:eastAsia="en-GB"/>
        </w:rPr>
        <w:t>Clifford Geertz</w:t>
      </w:r>
      <w:r w:rsidRPr="00541212">
        <w:rPr>
          <w:rFonts w:eastAsia="Times New Roman" w:cstheme="minorHAnsi"/>
          <w:sz w:val="24"/>
          <w:szCs w:val="24"/>
          <w:lang w:eastAsia="en-GB"/>
        </w:rPr>
        <w:t>. ‘</w:t>
      </w:r>
      <w:r w:rsidR="003F4332" w:rsidRPr="003F4332">
        <w:rPr>
          <w:rFonts w:eastAsia="Times New Roman" w:cstheme="minorHAnsi"/>
          <w:i/>
          <w:iCs/>
          <w:sz w:val="24"/>
          <w:szCs w:val="24"/>
          <w:lang w:eastAsia="en-GB"/>
        </w:rPr>
        <w:t xml:space="preserve">I Don’t Do Systems’: An Interview </w:t>
      </w:r>
      <w:proofErr w:type="gramStart"/>
      <w:r w:rsidR="003F4332" w:rsidRPr="003F4332">
        <w:rPr>
          <w:rFonts w:eastAsia="Times New Roman" w:cstheme="minorHAnsi"/>
          <w:i/>
          <w:iCs/>
          <w:sz w:val="24"/>
          <w:szCs w:val="24"/>
          <w:lang w:eastAsia="en-GB"/>
        </w:rPr>
        <w:t>With</w:t>
      </w:r>
      <w:proofErr w:type="gramEnd"/>
      <w:r w:rsidR="003F4332" w:rsidRPr="003F4332">
        <w:rPr>
          <w:rFonts w:eastAsia="Times New Roman" w:cstheme="minorHAnsi"/>
          <w:i/>
          <w:iCs/>
          <w:sz w:val="24"/>
          <w:szCs w:val="24"/>
          <w:lang w:eastAsia="en-GB"/>
        </w:rPr>
        <w:t xml:space="preserve"> Clifford Geertz</w:t>
      </w:r>
      <w:r w:rsidRPr="00541212">
        <w:rPr>
          <w:rFonts w:eastAsia="Times New Roman" w:cstheme="minorHAnsi"/>
          <w:sz w:val="24"/>
          <w:szCs w:val="24"/>
          <w:lang w:eastAsia="en-GB"/>
        </w:rPr>
        <w:t>. Method &amp; Theory in the Study of Religion, vol. 14, no. 1, Brill, 2002, pp. 2–20, http://www.jstor.org/stable/23549990.</w:t>
      </w:r>
    </w:p>
    <w:p w14:paraId="7D262622" w14:textId="0544DA15" w:rsidR="009A0890" w:rsidRPr="00FD43BD" w:rsidRDefault="009A0890" w:rsidP="005C5B58">
      <w:pPr>
        <w:spacing w:line="360" w:lineRule="auto"/>
        <w:rPr>
          <w:rFonts w:cstheme="minorHAnsi"/>
          <w:sz w:val="24"/>
          <w:szCs w:val="24"/>
        </w:rPr>
      </w:pPr>
    </w:p>
    <w:p w14:paraId="3D6F1718" w14:textId="495E6294" w:rsidR="00541212" w:rsidRPr="008821B7" w:rsidRDefault="00541212" w:rsidP="005C5B58">
      <w:pPr>
        <w:spacing w:line="360" w:lineRule="auto"/>
        <w:rPr>
          <w:rFonts w:cstheme="minorHAnsi"/>
        </w:rPr>
      </w:pPr>
      <w:r w:rsidRPr="00FD43BD">
        <w:rPr>
          <w:rFonts w:eastAsia="Times New Roman" w:cstheme="minorHAnsi"/>
          <w:sz w:val="24"/>
          <w:szCs w:val="24"/>
          <w:lang w:eastAsia="en-GB"/>
        </w:rPr>
        <w:t xml:space="preserve">Walter, Tony, and Helen Waterhouse. </w:t>
      </w:r>
      <w:r w:rsidRPr="003F4332">
        <w:rPr>
          <w:rFonts w:eastAsia="Times New Roman" w:cstheme="minorHAnsi"/>
          <w:i/>
          <w:iCs/>
          <w:sz w:val="24"/>
          <w:szCs w:val="24"/>
          <w:lang w:eastAsia="en-GB"/>
        </w:rPr>
        <w:t>“A Very Private Belief: Reincarnation in Contemporary England.</w:t>
      </w:r>
      <w:r w:rsidRPr="00FD43BD">
        <w:rPr>
          <w:rFonts w:eastAsia="Times New Roman" w:cstheme="minorHAnsi"/>
          <w:sz w:val="24"/>
          <w:szCs w:val="24"/>
          <w:lang w:eastAsia="en-GB"/>
        </w:rPr>
        <w:t xml:space="preserve">” </w:t>
      </w:r>
      <w:r w:rsidRPr="003F4332">
        <w:rPr>
          <w:rFonts w:eastAsia="Times New Roman" w:cstheme="minorHAnsi"/>
          <w:sz w:val="24"/>
          <w:szCs w:val="24"/>
          <w:lang w:eastAsia="en-GB"/>
        </w:rPr>
        <w:t>Sociology of Religion</w:t>
      </w:r>
      <w:r w:rsidRPr="00FD43BD">
        <w:rPr>
          <w:rFonts w:eastAsia="Times New Roman" w:cstheme="minorHAnsi"/>
          <w:sz w:val="24"/>
          <w:szCs w:val="24"/>
          <w:lang w:eastAsia="en-GB"/>
        </w:rPr>
        <w:t>, vol. 60, no. 2, [Oxford University Press, Association for the Sociology of Religion, Inc.], 1999, pp. 187–97, https://doi.org/10.2307</w:t>
      </w:r>
      <w:r w:rsidRPr="00913778">
        <w:rPr>
          <w:rFonts w:ascii="Times New Roman" w:eastAsia="Times New Roman" w:hAnsi="Times New Roman" w:cs="Times New Roman"/>
          <w:sz w:val="24"/>
          <w:szCs w:val="24"/>
          <w:lang w:eastAsia="en-GB"/>
        </w:rPr>
        <w:t>/3711748.</w:t>
      </w:r>
    </w:p>
    <w:sectPr w:rsidR="00541212" w:rsidRPr="008821B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67CFA" w14:textId="77777777" w:rsidR="009A029A" w:rsidRDefault="009A029A" w:rsidP="006D5623">
      <w:pPr>
        <w:spacing w:after="0" w:line="240" w:lineRule="auto"/>
      </w:pPr>
      <w:r>
        <w:separator/>
      </w:r>
    </w:p>
  </w:endnote>
  <w:endnote w:type="continuationSeparator" w:id="0">
    <w:p w14:paraId="04A3C3B6" w14:textId="77777777" w:rsidR="009A029A" w:rsidRDefault="009A029A" w:rsidP="006D5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066942"/>
      <w:docPartObj>
        <w:docPartGallery w:val="Page Numbers (Bottom of Page)"/>
        <w:docPartUnique/>
      </w:docPartObj>
    </w:sdtPr>
    <w:sdtEndPr>
      <w:rPr>
        <w:noProof/>
      </w:rPr>
    </w:sdtEndPr>
    <w:sdtContent>
      <w:p w14:paraId="3A9CCAB5" w14:textId="65AA7311" w:rsidR="00121138" w:rsidRDefault="001211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88BC2C" w14:textId="77777777" w:rsidR="00121138" w:rsidRDefault="00121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27301" w14:textId="77777777" w:rsidR="009A029A" w:rsidRDefault="009A029A" w:rsidP="006D5623">
      <w:pPr>
        <w:spacing w:after="0" w:line="240" w:lineRule="auto"/>
      </w:pPr>
      <w:r>
        <w:separator/>
      </w:r>
    </w:p>
  </w:footnote>
  <w:footnote w:type="continuationSeparator" w:id="0">
    <w:p w14:paraId="063F00C0" w14:textId="77777777" w:rsidR="009A029A" w:rsidRDefault="009A029A" w:rsidP="006D5623">
      <w:pPr>
        <w:spacing w:after="0" w:line="240" w:lineRule="auto"/>
      </w:pPr>
      <w:r>
        <w:continuationSeparator/>
      </w:r>
    </w:p>
  </w:footnote>
  <w:footnote w:id="1">
    <w:p w14:paraId="043FB391" w14:textId="762E609F" w:rsidR="00913778" w:rsidRPr="002677BE" w:rsidRDefault="00913778" w:rsidP="002677BE">
      <w:pPr>
        <w:rPr>
          <w:rFonts w:eastAsia="Times New Roman" w:cstheme="minorHAnsi"/>
          <w:sz w:val="20"/>
          <w:szCs w:val="20"/>
          <w:lang w:eastAsia="en-GB"/>
        </w:rPr>
      </w:pPr>
      <w:r w:rsidRPr="002677BE">
        <w:rPr>
          <w:rStyle w:val="FootnoteReference"/>
          <w:rFonts w:cstheme="minorHAnsi"/>
        </w:rPr>
        <w:footnoteRef/>
      </w:r>
      <w:r w:rsidRPr="002677BE">
        <w:rPr>
          <w:rFonts w:cstheme="minorHAnsi"/>
          <w:sz w:val="20"/>
          <w:szCs w:val="20"/>
        </w:rPr>
        <w:t xml:space="preserve"> </w:t>
      </w:r>
      <w:r w:rsidRPr="002677BE">
        <w:rPr>
          <w:rFonts w:eastAsia="Times New Roman" w:cstheme="minorHAnsi"/>
          <w:sz w:val="20"/>
          <w:szCs w:val="20"/>
          <w:lang w:eastAsia="en-GB"/>
        </w:rPr>
        <w:t xml:space="preserve">Brink, T. L. </w:t>
      </w:r>
      <w:r w:rsidRPr="002677BE">
        <w:rPr>
          <w:rFonts w:eastAsia="Times New Roman" w:cstheme="minorHAnsi"/>
          <w:i/>
          <w:iCs/>
          <w:sz w:val="20"/>
          <w:szCs w:val="20"/>
          <w:lang w:eastAsia="en-GB"/>
        </w:rPr>
        <w:t>Inconsistency of Belief among Roman Catholic Girls: Concerning Religion, Astrology, Reincarnation</w:t>
      </w:r>
      <w:r w:rsidRPr="002677BE">
        <w:rPr>
          <w:rFonts w:eastAsia="Times New Roman" w:cstheme="minorHAnsi"/>
          <w:sz w:val="20"/>
          <w:szCs w:val="20"/>
          <w:lang w:eastAsia="en-GB"/>
        </w:rPr>
        <w:t>. Review of Religious Research, vol. 20, no. 1, [Religious Research Association, Inc., Springer], 1978, pp. 82–85, https://doi.org/10.2307/3509943.</w:t>
      </w:r>
    </w:p>
  </w:footnote>
  <w:footnote w:id="2">
    <w:p w14:paraId="34BA7ACB" w14:textId="6C3D97A4" w:rsidR="00913778" w:rsidRDefault="00913778" w:rsidP="002677BE">
      <w:r w:rsidRPr="002677BE">
        <w:rPr>
          <w:rStyle w:val="FootnoteReference"/>
          <w:rFonts w:cstheme="minorHAnsi"/>
          <w:sz w:val="20"/>
          <w:szCs w:val="20"/>
        </w:rPr>
        <w:footnoteRef/>
      </w:r>
      <w:r w:rsidRPr="002677BE">
        <w:rPr>
          <w:rFonts w:cstheme="minorHAnsi"/>
          <w:sz w:val="20"/>
          <w:szCs w:val="20"/>
        </w:rPr>
        <w:t xml:space="preserve"> </w:t>
      </w:r>
      <w:r w:rsidRPr="002677BE">
        <w:rPr>
          <w:rFonts w:eastAsia="Times New Roman" w:cstheme="minorHAnsi"/>
          <w:sz w:val="20"/>
          <w:szCs w:val="20"/>
          <w:lang w:eastAsia="en-GB"/>
        </w:rPr>
        <w:t>Walter, Tony, and Helen Waterhouse.</w:t>
      </w:r>
      <w:r w:rsidRPr="002677BE">
        <w:rPr>
          <w:rFonts w:eastAsia="Times New Roman" w:cstheme="minorHAnsi"/>
          <w:i/>
          <w:iCs/>
          <w:sz w:val="20"/>
          <w:szCs w:val="20"/>
          <w:lang w:eastAsia="en-GB"/>
        </w:rPr>
        <w:t xml:space="preserve"> A Very Private Belief: Reincarnation in Contemporary England.</w:t>
      </w:r>
      <w:r w:rsidR="002677BE">
        <w:rPr>
          <w:rFonts w:eastAsia="Times New Roman" w:cstheme="minorHAnsi"/>
          <w:i/>
          <w:iCs/>
          <w:sz w:val="20"/>
          <w:szCs w:val="20"/>
          <w:lang w:eastAsia="en-GB"/>
        </w:rPr>
        <w:t xml:space="preserve"> </w:t>
      </w:r>
      <w:r w:rsidRPr="002677BE">
        <w:rPr>
          <w:rFonts w:eastAsia="Times New Roman" w:cstheme="minorHAnsi"/>
          <w:sz w:val="20"/>
          <w:szCs w:val="20"/>
          <w:lang w:eastAsia="en-GB"/>
        </w:rPr>
        <w:t>Sociology of Religion, vol. 60, no. 2, [Oxford University Press, Association for the Sociology of Religion, Inc.], 1999, pp. 187–97, https://doi.org/10.2307/3711748.</w:t>
      </w:r>
    </w:p>
  </w:footnote>
  <w:footnote w:id="3">
    <w:p w14:paraId="48CD59B8" w14:textId="1C9154F7" w:rsidR="00696499" w:rsidRDefault="00696499" w:rsidP="00696499">
      <w:pPr>
        <w:pStyle w:val="FootnoteText"/>
      </w:pPr>
      <w:r>
        <w:rPr>
          <w:rStyle w:val="FootnoteReference"/>
        </w:rPr>
        <w:footnoteRef/>
      </w:r>
      <w:r>
        <w:t xml:space="preserve"> Brink, </w:t>
      </w:r>
      <w:r w:rsidR="002677BE" w:rsidRPr="002677BE">
        <w:rPr>
          <w:rFonts w:eastAsia="Times New Roman" w:cstheme="minorHAnsi"/>
          <w:i/>
          <w:iCs/>
          <w:lang w:eastAsia="en-GB"/>
        </w:rPr>
        <w:t>Inconsistency of Belief among Roman Catholic Girls</w:t>
      </w:r>
      <w:r w:rsidR="002677BE">
        <w:t xml:space="preserve"> </w:t>
      </w:r>
      <w:r>
        <w:t>p82</w:t>
      </w:r>
    </w:p>
  </w:footnote>
  <w:footnote w:id="4">
    <w:p w14:paraId="08F7B7DF" w14:textId="27DD76F5" w:rsidR="00696499" w:rsidRDefault="00696499" w:rsidP="00696499">
      <w:pPr>
        <w:pStyle w:val="FootnoteText"/>
      </w:pPr>
      <w:r>
        <w:rPr>
          <w:rStyle w:val="FootnoteReference"/>
        </w:rPr>
        <w:footnoteRef/>
      </w:r>
      <w:r>
        <w:t xml:space="preserve"> Walters and Waterhouse</w:t>
      </w:r>
      <w:r w:rsidR="00AB57A0">
        <w:t xml:space="preserve">, </w:t>
      </w:r>
      <w:r w:rsidR="00AB57A0" w:rsidRPr="002677BE">
        <w:rPr>
          <w:rFonts w:eastAsia="Times New Roman" w:cstheme="minorHAnsi"/>
          <w:i/>
          <w:iCs/>
          <w:lang w:eastAsia="en-GB"/>
        </w:rPr>
        <w:t>A Very Private Belief</w:t>
      </w:r>
      <w:r w:rsidR="00AB57A0">
        <w:rPr>
          <w:rFonts w:eastAsia="Times New Roman" w:cstheme="minorHAnsi"/>
          <w:i/>
          <w:iCs/>
          <w:lang w:eastAsia="en-GB"/>
        </w:rPr>
        <w:t>,</w:t>
      </w:r>
      <w:r>
        <w:t xml:space="preserve"> p</w:t>
      </w:r>
      <w:r w:rsidR="00AB57A0">
        <w:t>.</w:t>
      </w:r>
      <w:r>
        <w:t>189</w:t>
      </w:r>
    </w:p>
  </w:footnote>
  <w:footnote w:id="5">
    <w:p w14:paraId="22559931" w14:textId="3E5ED7CC" w:rsidR="00696499" w:rsidRDefault="00696499" w:rsidP="00696499">
      <w:pPr>
        <w:pStyle w:val="FootnoteText"/>
      </w:pPr>
      <w:r>
        <w:rPr>
          <w:rStyle w:val="FootnoteReference"/>
        </w:rPr>
        <w:footnoteRef/>
      </w:r>
      <w:r>
        <w:t xml:space="preserve"> Brink</w:t>
      </w:r>
      <w:r w:rsidR="002677BE">
        <w:t xml:space="preserve">, </w:t>
      </w:r>
      <w:r w:rsidR="002677BE" w:rsidRPr="002677BE">
        <w:rPr>
          <w:rFonts w:eastAsia="Times New Roman" w:cstheme="minorHAnsi"/>
          <w:i/>
          <w:iCs/>
          <w:lang w:eastAsia="en-GB"/>
        </w:rPr>
        <w:t>Inconsistency of Belief among Roman Catholic Girls</w:t>
      </w:r>
      <w:r>
        <w:t xml:space="preserve"> p 84</w:t>
      </w:r>
    </w:p>
  </w:footnote>
  <w:footnote w:id="6">
    <w:p w14:paraId="48E2A299" w14:textId="322A9D33" w:rsidR="00696499" w:rsidRDefault="00696499" w:rsidP="00696499">
      <w:pPr>
        <w:pStyle w:val="FootnoteText"/>
      </w:pPr>
      <w:r>
        <w:rPr>
          <w:rStyle w:val="FootnoteReference"/>
        </w:rPr>
        <w:footnoteRef/>
      </w:r>
      <w:r>
        <w:t xml:space="preserve"> Walters and Waterhouse</w:t>
      </w:r>
      <w:r w:rsidR="00AB57A0">
        <w:t xml:space="preserve">, </w:t>
      </w:r>
      <w:r w:rsidR="00AB57A0" w:rsidRPr="002677BE">
        <w:rPr>
          <w:rFonts w:eastAsia="Times New Roman" w:cstheme="minorHAnsi"/>
          <w:i/>
          <w:iCs/>
          <w:lang w:eastAsia="en-GB"/>
        </w:rPr>
        <w:t>A Very Private Belief</w:t>
      </w:r>
      <w:r w:rsidR="00AB57A0">
        <w:rPr>
          <w:rFonts w:eastAsia="Times New Roman" w:cstheme="minorHAnsi"/>
          <w:i/>
          <w:iCs/>
          <w:lang w:eastAsia="en-GB"/>
        </w:rPr>
        <w:t>,</w:t>
      </w:r>
      <w:r>
        <w:t xml:space="preserve"> p</w:t>
      </w:r>
      <w:r w:rsidR="00AB57A0">
        <w:t>.</w:t>
      </w:r>
      <w:r>
        <w:t>189</w:t>
      </w:r>
    </w:p>
  </w:footnote>
  <w:footnote w:id="7">
    <w:p w14:paraId="3984B175" w14:textId="17891F81" w:rsidR="00696499" w:rsidRPr="00B321EE" w:rsidRDefault="00696499" w:rsidP="00B321EE">
      <w:pPr>
        <w:spacing w:line="360" w:lineRule="auto"/>
        <w:rPr>
          <w:rFonts w:cstheme="minorHAnsi"/>
          <w:sz w:val="24"/>
          <w:szCs w:val="24"/>
        </w:rPr>
      </w:pPr>
      <w:r>
        <w:rPr>
          <w:rStyle w:val="FootnoteReference"/>
        </w:rPr>
        <w:footnoteRef/>
      </w:r>
      <w:r>
        <w:t xml:space="preserve"> </w:t>
      </w:r>
      <w:proofErr w:type="spellStart"/>
      <w:r w:rsidR="00B321EE" w:rsidRPr="00B321EE">
        <w:rPr>
          <w:rFonts w:cstheme="minorHAnsi"/>
          <w:sz w:val="20"/>
          <w:szCs w:val="20"/>
        </w:rPr>
        <w:t>Hennink</w:t>
      </w:r>
      <w:proofErr w:type="spellEnd"/>
      <w:r w:rsidR="00B321EE" w:rsidRPr="00B321EE">
        <w:rPr>
          <w:rFonts w:cstheme="minorHAnsi"/>
          <w:sz w:val="20"/>
          <w:szCs w:val="20"/>
        </w:rPr>
        <w:t xml:space="preserve">, </w:t>
      </w:r>
      <w:proofErr w:type="spellStart"/>
      <w:r w:rsidR="00B321EE" w:rsidRPr="00B321EE">
        <w:rPr>
          <w:rFonts w:cstheme="minorHAnsi"/>
          <w:sz w:val="20"/>
          <w:szCs w:val="20"/>
        </w:rPr>
        <w:t>Hutter</w:t>
      </w:r>
      <w:proofErr w:type="spellEnd"/>
      <w:r w:rsidR="00B321EE" w:rsidRPr="00B321EE">
        <w:rPr>
          <w:rFonts w:cstheme="minorHAnsi"/>
          <w:sz w:val="20"/>
          <w:szCs w:val="20"/>
        </w:rPr>
        <w:t xml:space="preserve">, I., &amp; Bailey, A., </w:t>
      </w:r>
      <w:r w:rsidR="00B321EE" w:rsidRPr="00B321EE">
        <w:rPr>
          <w:rFonts w:cstheme="minorHAnsi"/>
          <w:i/>
          <w:iCs/>
          <w:sz w:val="20"/>
          <w:szCs w:val="20"/>
        </w:rPr>
        <w:t>Qualitative research methods</w:t>
      </w:r>
      <w:r w:rsidR="00B321EE" w:rsidRPr="00B321EE">
        <w:rPr>
          <w:rFonts w:cstheme="minorHAnsi"/>
          <w:sz w:val="20"/>
          <w:szCs w:val="20"/>
        </w:rPr>
        <w:t xml:space="preserve"> 2</w:t>
      </w:r>
      <w:r w:rsidR="00B321EE" w:rsidRPr="00B321EE">
        <w:rPr>
          <w:rFonts w:cstheme="minorHAnsi"/>
          <w:sz w:val="20"/>
          <w:szCs w:val="20"/>
          <w:vertAlign w:val="superscript"/>
        </w:rPr>
        <w:t>nd</w:t>
      </w:r>
      <w:r w:rsidR="00B321EE" w:rsidRPr="00B321EE">
        <w:rPr>
          <w:rFonts w:cstheme="minorHAnsi"/>
          <w:sz w:val="20"/>
          <w:szCs w:val="20"/>
        </w:rPr>
        <w:t xml:space="preserve"> edition. (London, SAGE, 2020).</w:t>
      </w:r>
      <w:r w:rsidRPr="00B321EE">
        <w:rPr>
          <w:sz w:val="20"/>
          <w:szCs w:val="20"/>
        </w:rPr>
        <w:t xml:space="preserve"> p 94</w:t>
      </w:r>
    </w:p>
  </w:footnote>
  <w:footnote w:id="8">
    <w:p w14:paraId="3298A23B" w14:textId="77777777" w:rsidR="00696499" w:rsidRDefault="00696499" w:rsidP="00696499">
      <w:pPr>
        <w:pStyle w:val="FootnoteText"/>
      </w:pPr>
      <w:r>
        <w:rPr>
          <w:rStyle w:val="FootnoteReference"/>
        </w:rPr>
        <w:footnoteRef/>
      </w:r>
      <w:r>
        <w:t xml:space="preserve"> Bell and Waters p. 127</w:t>
      </w:r>
    </w:p>
  </w:footnote>
  <w:footnote w:id="9">
    <w:p w14:paraId="24948B46" w14:textId="593F0BFD" w:rsidR="00696499" w:rsidRDefault="00696499" w:rsidP="00696499">
      <w:pPr>
        <w:pStyle w:val="FootnoteText"/>
      </w:pPr>
      <w:r>
        <w:rPr>
          <w:rStyle w:val="FootnoteReference"/>
        </w:rPr>
        <w:footnoteRef/>
      </w:r>
      <w:r>
        <w:t xml:space="preserve"> </w:t>
      </w:r>
      <w:proofErr w:type="spellStart"/>
      <w:r w:rsidR="00B321EE" w:rsidRPr="00B321EE">
        <w:rPr>
          <w:rFonts w:cstheme="minorHAnsi"/>
        </w:rPr>
        <w:t>Hennink</w:t>
      </w:r>
      <w:proofErr w:type="spellEnd"/>
      <w:r w:rsidR="00B321EE" w:rsidRPr="00B321EE">
        <w:rPr>
          <w:rFonts w:cstheme="minorHAnsi"/>
        </w:rPr>
        <w:t xml:space="preserve">, </w:t>
      </w:r>
      <w:proofErr w:type="spellStart"/>
      <w:r w:rsidR="00B321EE" w:rsidRPr="00B321EE">
        <w:rPr>
          <w:rFonts w:cstheme="minorHAnsi"/>
        </w:rPr>
        <w:t>Hutter</w:t>
      </w:r>
      <w:proofErr w:type="spellEnd"/>
      <w:r w:rsidR="00B321EE" w:rsidRPr="00B321EE">
        <w:rPr>
          <w:rFonts w:cstheme="minorHAnsi"/>
        </w:rPr>
        <w:t xml:space="preserve">, I., &amp; Bailey, A., </w:t>
      </w:r>
      <w:r w:rsidR="00B321EE" w:rsidRPr="00B321EE">
        <w:rPr>
          <w:rFonts w:cstheme="minorHAnsi"/>
          <w:i/>
          <w:iCs/>
        </w:rPr>
        <w:t>Qualitative research methods</w:t>
      </w:r>
      <w:r w:rsidR="00B321EE">
        <w:rPr>
          <w:rFonts w:cstheme="minorHAnsi"/>
          <w:i/>
          <w:iCs/>
        </w:rPr>
        <w:t>,</w:t>
      </w:r>
      <w:r>
        <w:t xml:space="preserve"> p</w:t>
      </w:r>
      <w:r w:rsidR="00B321EE">
        <w:t>.</w:t>
      </w:r>
      <w:r>
        <w:t>98</w:t>
      </w:r>
    </w:p>
  </w:footnote>
  <w:footnote w:id="10">
    <w:p w14:paraId="71AFCE19" w14:textId="6B209C73" w:rsidR="00696499" w:rsidRDefault="00696499" w:rsidP="00696499">
      <w:pPr>
        <w:pStyle w:val="FootnoteText"/>
      </w:pPr>
      <w:r>
        <w:rPr>
          <w:rStyle w:val="FootnoteReference"/>
        </w:rPr>
        <w:footnoteRef/>
      </w:r>
      <w:r>
        <w:t xml:space="preserve"> </w:t>
      </w:r>
      <w:r w:rsidR="00B321EE">
        <w:t>Ibid,</w:t>
      </w:r>
      <w:r>
        <w:t xml:space="preserve"> p</w:t>
      </w:r>
      <w:r w:rsidR="00B321EE">
        <w:t>.</w:t>
      </w:r>
      <w:r>
        <w:t>94</w:t>
      </w:r>
    </w:p>
  </w:footnote>
  <w:footnote w:id="11">
    <w:p w14:paraId="008294D7" w14:textId="7CED804D" w:rsidR="00696499" w:rsidRDefault="00696499" w:rsidP="00696499">
      <w:pPr>
        <w:pStyle w:val="FootnoteText"/>
      </w:pPr>
      <w:r>
        <w:rPr>
          <w:rStyle w:val="FootnoteReference"/>
        </w:rPr>
        <w:footnoteRef/>
      </w:r>
      <w:r>
        <w:t xml:space="preserve"> </w:t>
      </w:r>
      <w:r w:rsidR="00B321EE">
        <w:t>Ibid</w:t>
      </w:r>
      <w:r>
        <w:t xml:space="preserve"> p</w:t>
      </w:r>
      <w:r w:rsidR="00B321EE">
        <w:t>.</w:t>
      </w:r>
      <w:r>
        <w:t xml:space="preserve"> 79</w:t>
      </w:r>
    </w:p>
  </w:footnote>
  <w:footnote w:id="12">
    <w:p w14:paraId="5A5EE037" w14:textId="19D4D619" w:rsidR="006C3E11" w:rsidRDefault="006C3E11" w:rsidP="006C3E11">
      <w:pPr>
        <w:pStyle w:val="FootnoteText"/>
      </w:pPr>
      <w:r>
        <w:rPr>
          <w:rStyle w:val="FootnoteReference"/>
        </w:rPr>
        <w:footnoteRef/>
      </w:r>
      <w:r>
        <w:t xml:space="preserve"> Brink</w:t>
      </w:r>
      <w:r w:rsidR="002677BE">
        <w:t xml:space="preserve">, </w:t>
      </w:r>
      <w:r w:rsidR="002677BE" w:rsidRPr="002677BE">
        <w:rPr>
          <w:rFonts w:eastAsia="Times New Roman" w:cstheme="minorHAnsi"/>
          <w:i/>
          <w:iCs/>
          <w:lang w:eastAsia="en-GB"/>
        </w:rPr>
        <w:t>Inconsistency of Belief among Roman Catholic Girls</w:t>
      </w:r>
      <w:r>
        <w:t xml:space="preserve"> p. 83</w:t>
      </w:r>
    </w:p>
  </w:footnote>
  <w:footnote w:id="13">
    <w:p w14:paraId="04CC7A25" w14:textId="77777777" w:rsidR="006C3E11" w:rsidRPr="000A093C" w:rsidRDefault="006C3E11" w:rsidP="006C3E11">
      <w:pPr>
        <w:pStyle w:val="FootnoteText"/>
        <w:rPr>
          <w:lang w:val="en-US"/>
        </w:rPr>
      </w:pPr>
      <w:r>
        <w:rPr>
          <w:rStyle w:val="FootnoteReference"/>
        </w:rPr>
        <w:footnoteRef/>
      </w:r>
      <w:r>
        <w:t xml:space="preserve">   Bell, &amp; Waters, S.</w:t>
      </w:r>
      <w:proofErr w:type="gramStart"/>
      <w:r>
        <w:t xml:space="preserve">,  </w:t>
      </w:r>
      <w:r w:rsidRPr="00ED20E8">
        <w:rPr>
          <w:i/>
          <w:iCs/>
        </w:rPr>
        <w:t>Doing</w:t>
      </w:r>
      <w:proofErr w:type="gramEnd"/>
      <w:r w:rsidRPr="00ED20E8">
        <w:rPr>
          <w:i/>
          <w:iCs/>
        </w:rPr>
        <w:t xml:space="preserve"> your research project : a guide for first-time researchers (Seventh edition.).</w:t>
      </w:r>
      <w:r>
        <w:t xml:space="preserve"> (McGraw-Hill Education. 2018), p. 31</w:t>
      </w:r>
    </w:p>
  </w:footnote>
  <w:footnote w:id="14">
    <w:p w14:paraId="3376A0F4" w14:textId="62108C8B" w:rsidR="006C3E11" w:rsidRPr="005C5B58" w:rsidRDefault="006C3E11" w:rsidP="005C5B58">
      <w:pPr>
        <w:spacing w:after="0" w:line="240" w:lineRule="auto"/>
        <w:rPr>
          <w:rFonts w:eastAsia="Times New Roman" w:cstheme="minorHAnsi"/>
          <w:sz w:val="24"/>
          <w:szCs w:val="24"/>
          <w:lang w:eastAsia="en-GB"/>
        </w:rPr>
      </w:pPr>
      <w:r>
        <w:rPr>
          <w:rStyle w:val="FootnoteReference"/>
        </w:rPr>
        <w:footnoteRef/>
      </w:r>
      <w:r>
        <w:t xml:space="preserve"> </w:t>
      </w:r>
      <w:proofErr w:type="spellStart"/>
      <w:r w:rsidR="005C5B58" w:rsidRPr="00541212">
        <w:rPr>
          <w:rFonts w:eastAsia="Times New Roman" w:cstheme="minorHAnsi"/>
          <w:sz w:val="20"/>
          <w:szCs w:val="20"/>
          <w:lang w:eastAsia="en-GB"/>
        </w:rPr>
        <w:t>Micheelsen</w:t>
      </w:r>
      <w:proofErr w:type="spellEnd"/>
      <w:r w:rsidR="005C5B58" w:rsidRPr="00541212">
        <w:rPr>
          <w:rFonts w:eastAsia="Times New Roman" w:cstheme="minorHAnsi"/>
          <w:sz w:val="20"/>
          <w:szCs w:val="20"/>
          <w:lang w:eastAsia="en-GB"/>
        </w:rPr>
        <w:t xml:space="preserve">, Arun, and </w:t>
      </w:r>
      <w:r w:rsidR="005C5B58" w:rsidRPr="005C5B58">
        <w:rPr>
          <w:rFonts w:eastAsia="Times New Roman" w:cstheme="minorHAnsi"/>
          <w:sz w:val="20"/>
          <w:szCs w:val="20"/>
          <w:lang w:eastAsia="en-GB"/>
        </w:rPr>
        <w:t>Clifford Geertz</w:t>
      </w:r>
      <w:r w:rsidR="005C5B58" w:rsidRPr="00541212">
        <w:rPr>
          <w:rFonts w:eastAsia="Times New Roman" w:cstheme="minorHAnsi"/>
          <w:sz w:val="20"/>
          <w:szCs w:val="20"/>
          <w:lang w:eastAsia="en-GB"/>
        </w:rPr>
        <w:t>. ‘</w:t>
      </w:r>
      <w:r w:rsidR="005C5B58" w:rsidRPr="005C5B58">
        <w:rPr>
          <w:rFonts w:eastAsia="Times New Roman" w:cstheme="minorHAnsi"/>
          <w:i/>
          <w:iCs/>
          <w:sz w:val="20"/>
          <w:szCs w:val="20"/>
          <w:lang w:eastAsia="en-GB"/>
        </w:rPr>
        <w:t xml:space="preserve">I Don’t Do Systems’: An Interview </w:t>
      </w:r>
      <w:proofErr w:type="gramStart"/>
      <w:r w:rsidR="005C5B58" w:rsidRPr="005C5B58">
        <w:rPr>
          <w:rFonts w:eastAsia="Times New Roman" w:cstheme="minorHAnsi"/>
          <w:i/>
          <w:iCs/>
          <w:sz w:val="20"/>
          <w:szCs w:val="20"/>
          <w:lang w:eastAsia="en-GB"/>
        </w:rPr>
        <w:t>With</w:t>
      </w:r>
      <w:proofErr w:type="gramEnd"/>
      <w:r w:rsidR="005C5B58" w:rsidRPr="005C5B58">
        <w:rPr>
          <w:rFonts w:eastAsia="Times New Roman" w:cstheme="minorHAnsi"/>
          <w:i/>
          <w:iCs/>
          <w:sz w:val="20"/>
          <w:szCs w:val="20"/>
          <w:lang w:eastAsia="en-GB"/>
        </w:rPr>
        <w:t xml:space="preserve"> Clifford Geertz</w:t>
      </w:r>
      <w:r w:rsidR="005C5B58" w:rsidRPr="00541212">
        <w:rPr>
          <w:rFonts w:eastAsia="Times New Roman" w:cstheme="minorHAnsi"/>
          <w:sz w:val="20"/>
          <w:szCs w:val="20"/>
          <w:lang w:eastAsia="en-GB"/>
        </w:rPr>
        <w:t>. Method &amp; Theory in the Study of Religion, vol. 14, no. 1, Brill, 2002, pp. 2–20, http://www.jstor.org/stable/23549990.</w:t>
      </w:r>
      <w:r w:rsidRPr="005C5B58">
        <w:rPr>
          <w:sz w:val="20"/>
          <w:szCs w:val="20"/>
        </w:rPr>
        <w:t xml:space="preserve"> p12</w:t>
      </w:r>
    </w:p>
  </w:footnote>
  <w:footnote w:id="15">
    <w:p w14:paraId="3306C4C8" w14:textId="0FBB0AB3" w:rsidR="007B758A" w:rsidRDefault="007B758A">
      <w:pPr>
        <w:pStyle w:val="FootnoteText"/>
      </w:pPr>
      <w:r>
        <w:rPr>
          <w:rStyle w:val="FootnoteReference"/>
        </w:rPr>
        <w:footnoteRef/>
      </w:r>
      <w:r>
        <w:t xml:space="preserve"> Walter and Waterhouse</w:t>
      </w:r>
      <w:r w:rsidR="00AB57A0">
        <w:t xml:space="preserve">, </w:t>
      </w:r>
      <w:r w:rsidR="00AB57A0" w:rsidRPr="002677BE">
        <w:rPr>
          <w:rFonts w:eastAsia="Times New Roman" w:cstheme="minorHAnsi"/>
          <w:i/>
          <w:iCs/>
          <w:lang w:eastAsia="en-GB"/>
        </w:rPr>
        <w:t>A Very Private Belief</w:t>
      </w:r>
      <w:r w:rsidR="00AB57A0">
        <w:rPr>
          <w:rFonts w:eastAsia="Times New Roman" w:cstheme="minorHAnsi"/>
          <w:i/>
          <w:iCs/>
          <w:lang w:eastAsia="en-GB"/>
        </w:rPr>
        <w:t>.</w:t>
      </w:r>
      <w:r>
        <w:t xml:space="preserve"> </w:t>
      </w:r>
      <w:r w:rsidR="00AB57A0">
        <w:t>P.</w:t>
      </w:r>
      <w:r>
        <w:t xml:space="preserve"> 188</w:t>
      </w:r>
    </w:p>
  </w:footnote>
  <w:footnote w:id="16">
    <w:p w14:paraId="30AF4DBE" w14:textId="129AA8C3" w:rsidR="007B758A" w:rsidRPr="005C5B58" w:rsidRDefault="007B758A" w:rsidP="005C5B58">
      <w:pPr>
        <w:spacing w:line="240" w:lineRule="auto"/>
        <w:rPr>
          <w:rFonts w:cstheme="minorHAnsi"/>
          <w:sz w:val="20"/>
          <w:szCs w:val="20"/>
        </w:rPr>
      </w:pPr>
      <w:r>
        <w:rPr>
          <w:rStyle w:val="FootnoteReference"/>
        </w:rPr>
        <w:footnoteRef/>
      </w:r>
      <w:r>
        <w:t xml:space="preserve"> </w:t>
      </w:r>
      <w:r w:rsidR="005C5B58" w:rsidRPr="005C5B58">
        <w:rPr>
          <w:rFonts w:cstheme="minorHAnsi"/>
          <w:sz w:val="20"/>
          <w:szCs w:val="20"/>
        </w:rPr>
        <w:t xml:space="preserve">Bryman, Alan, </w:t>
      </w:r>
      <w:proofErr w:type="gramStart"/>
      <w:r w:rsidR="005C5B58" w:rsidRPr="005C5B58">
        <w:rPr>
          <w:rFonts w:cstheme="minorHAnsi"/>
          <w:i/>
          <w:iCs/>
          <w:sz w:val="20"/>
          <w:szCs w:val="20"/>
        </w:rPr>
        <w:t>Quantity</w:t>
      </w:r>
      <w:proofErr w:type="gramEnd"/>
      <w:r w:rsidR="005C5B58" w:rsidRPr="005C5B58">
        <w:rPr>
          <w:rFonts w:cstheme="minorHAnsi"/>
          <w:i/>
          <w:iCs/>
          <w:sz w:val="20"/>
          <w:szCs w:val="20"/>
        </w:rPr>
        <w:t xml:space="preserve"> and quality in social research</w:t>
      </w:r>
      <w:r w:rsidR="005C5B58" w:rsidRPr="005C5B58">
        <w:rPr>
          <w:rFonts w:cstheme="minorHAnsi"/>
          <w:sz w:val="20"/>
          <w:szCs w:val="20"/>
        </w:rPr>
        <w:t>. (London, Routledge, 1992).</w:t>
      </w:r>
      <w:r w:rsidR="005C5B58">
        <w:rPr>
          <w:rFonts w:cstheme="minorHAnsi"/>
          <w:sz w:val="20"/>
          <w:szCs w:val="20"/>
        </w:rPr>
        <w:t xml:space="preserve"> </w:t>
      </w:r>
      <w:r w:rsidRPr="005C5B58">
        <w:rPr>
          <w:sz w:val="20"/>
          <w:szCs w:val="20"/>
        </w:rPr>
        <w:t>p 56</w:t>
      </w:r>
    </w:p>
  </w:footnote>
  <w:footnote w:id="17">
    <w:p w14:paraId="69097D5D" w14:textId="77777777" w:rsidR="006C3E11" w:rsidRPr="00983C33" w:rsidRDefault="006C3E11" w:rsidP="006C3E11">
      <w:pPr>
        <w:pStyle w:val="FootnoteText"/>
        <w:rPr>
          <w:lang w:val="en-US"/>
        </w:rPr>
      </w:pPr>
      <w:r>
        <w:rPr>
          <w:rStyle w:val="FootnoteReference"/>
        </w:rPr>
        <w:footnoteRef/>
      </w:r>
      <w:r>
        <w:t xml:space="preserve"> </w:t>
      </w:r>
      <w:proofErr w:type="spellStart"/>
      <w:r>
        <w:rPr>
          <w:lang w:val="en-US"/>
        </w:rPr>
        <w:t>Hennink</w:t>
      </w:r>
      <w:proofErr w:type="spellEnd"/>
      <w:r>
        <w:rPr>
          <w:lang w:val="en-US"/>
        </w:rPr>
        <w:t xml:space="preserve">, </w:t>
      </w:r>
      <w:proofErr w:type="spellStart"/>
      <w:r>
        <w:rPr>
          <w:lang w:val="en-US"/>
        </w:rPr>
        <w:t>Hutter</w:t>
      </w:r>
      <w:proofErr w:type="spellEnd"/>
      <w:r>
        <w:rPr>
          <w:lang w:val="en-US"/>
        </w:rPr>
        <w:t xml:space="preserve"> and Bailey, </w:t>
      </w:r>
      <w:r>
        <w:rPr>
          <w:i/>
          <w:iCs/>
          <w:lang w:val="en-US"/>
        </w:rPr>
        <w:t xml:space="preserve">Qualitative Research Methods </w:t>
      </w:r>
      <w:r>
        <w:rPr>
          <w:lang w:val="en-US"/>
        </w:rPr>
        <w:t>(Sage Publications London, 2020), p. 41</w:t>
      </w:r>
    </w:p>
  </w:footnote>
  <w:footnote w:id="18">
    <w:p w14:paraId="2A9479B9" w14:textId="1BB5066E" w:rsidR="008D6C83" w:rsidRDefault="008D6C83">
      <w:pPr>
        <w:pStyle w:val="FootnoteText"/>
      </w:pPr>
      <w:r>
        <w:rPr>
          <w:rStyle w:val="FootnoteReference"/>
        </w:rPr>
        <w:footnoteRef/>
      </w:r>
      <w:r>
        <w:t xml:space="preserve"> Walter and </w:t>
      </w:r>
      <w:proofErr w:type="spellStart"/>
      <w:r>
        <w:t>waterhouse</w:t>
      </w:r>
      <w:proofErr w:type="spellEnd"/>
      <w:r>
        <w:t xml:space="preserve"> p189</w:t>
      </w:r>
    </w:p>
  </w:footnote>
  <w:footnote w:id="19">
    <w:p w14:paraId="79B2C4EC" w14:textId="7A7AF9D4" w:rsidR="001C6FA0" w:rsidRDefault="001C6FA0" w:rsidP="001C6FA0">
      <w:pPr>
        <w:pStyle w:val="FootnoteText"/>
      </w:pPr>
      <w:r>
        <w:rPr>
          <w:rStyle w:val="FootnoteReference"/>
        </w:rPr>
        <w:footnoteRef/>
      </w:r>
      <w:r>
        <w:t xml:space="preserve"> </w:t>
      </w:r>
      <w:proofErr w:type="spellStart"/>
      <w:r w:rsidR="00B321EE" w:rsidRPr="00B321EE">
        <w:rPr>
          <w:rFonts w:cstheme="minorHAnsi"/>
        </w:rPr>
        <w:t>Hennink</w:t>
      </w:r>
      <w:proofErr w:type="spellEnd"/>
      <w:r w:rsidR="00B321EE" w:rsidRPr="00B321EE">
        <w:rPr>
          <w:rFonts w:cstheme="minorHAnsi"/>
        </w:rPr>
        <w:t xml:space="preserve">, </w:t>
      </w:r>
      <w:proofErr w:type="spellStart"/>
      <w:r w:rsidR="00B321EE" w:rsidRPr="00B321EE">
        <w:rPr>
          <w:rFonts w:cstheme="minorHAnsi"/>
        </w:rPr>
        <w:t>Hutter</w:t>
      </w:r>
      <w:proofErr w:type="spellEnd"/>
      <w:r w:rsidR="00B321EE" w:rsidRPr="00B321EE">
        <w:rPr>
          <w:rFonts w:cstheme="minorHAnsi"/>
        </w:rPr>
        <w:t xml:space="preserve">, I., &amp; Bailey, A., </w:t>
      </w:r>
      <w:r w:rsidR="00B321EE" w:rsidRPr="00B321EE">
        <w:rPr>
          <w:rFonts w:cstheme="minorHAnsi"/>
          <w:i/>
          <w:iCs/>
        </w:rPr>
        <w:t>Qualitative research methods</w:t>
      </w:r>
      <w:r w:rsidR="00B321EE">
        <w:rPr>
          <w:rFonts w:cstheme="minorHAnsi"/>
          <w:i/>
          <w:iCs/>
        </w:rPr>
        <w:t>,</w:t>
      </w:r>
      <w:r>
        <w:t xml:space="preserve"> p</w:t>
      </w:r>
      <w:r w:rsidR="00B321EE">
        <w:t>.</w:t>
      </w:r>
      <w:r>
        <w:t>126</w:t>
      </w:r>
    </w:p>
  </w:footnote>
  <w:footnote w:id="20">
    <w:p w14:paraId="5A3993E2" w14:textId="65E57DE3" w:rsidR="001C6FA0" w:rsidRDefault="001C6FA0" w:rsidP="001C6FA0">
      <w:pPr>
        <w:pStyle w:val="FootnoteText"/>
      </w:pPr>
      <w:r>
        <w:rPr>
          <w:rStyle w:val="FootnoteReference"/>
        </w:rPr>
        <w:footnoteRef/>
      </w:r>
      <w:r>
        <w:t xml:space="preserve"> </w:t>
      </w:r>
      <w:proofErr w:type="spellStart"/>
      <w:r w:rsidR="00B321EE" w:rsidRPr="00B321EE">
        <w:rPr>
          <w:rFonts w:cstheme="minorHAnsi"/>
        </w:rPr>
        <w:t>Hennink</w:t>
      </w:r>
      <w:proofErr w:type="spellEnd"/>
      <w:r w:rsidR="00B321EE" w:rsidRPr="00B321EE">
        <w:rPr>
          <w:rFonts w:cstheme="minorHAnsi"/>
        </w:rPr>
        <w:t xml:space="preserve">, </w:t>
      </w:r>
      <w:proofErr w:type="spellStart"/>
      <w:r w:rsidR="00B321EE" w:rsidRPr="00B321EE">
        <w:rPr>
          <w:rFonts w:cstheme="minorHAnsi"/>
        </w:rPr>
        <w:t>Hutter</w:t>
      </w:r>
      <w:proofErr w:type="spellEnd"/>
      <w:r w:rsidR="00B321EE" w:rsidRPr="00B321EE">
        <w:rPr>
          <w:rFonts w:cstheme="minorHAnsi"/>
        </w:rPr>
        <w:t xml:space="preserve">, I., &amp; Bailey, A., </w:t>
      </w:r>
      <w:r w:rsidR="00B321EE" w:rsidRPr="00B321EE">
        <w:rPr>
          <w:rFonts w:cstheme="minorHAnsi"/>
          <w:i/>
          <w:iCs/>
        </w:rPr>
        <w:t>Qualitative research methods</w:t>
      </w:r>
      <w:r w:rsidR="00B321EE">
        <w:rPr>
          <w:rFonts w:cstheme="minorHAnsi"/>
          <w:i/>
          <w:iCs/>
        </w:rPr>
        <w:t>,</w:t>
      </w:r>
      <w:r>
        <w:t xml:space="preserve"> p</w:t>
      </w:r>
      <w:r w:rsidR="00B321EE">
        <w:t>.</w:t>
      </w:r>
      <w:r>
        <w:t xml:space="preserve"> 19</w:t>
      </w:r>
    </w:p>
  </w:footnote>
  <w:footnote w:id="21">
    <w:p w14:paraId="6DEB3292" w14:textId="7A4287D9" w:rsidR="001C6FA0" w:rsidRDefault="001C6FA0" w:rsidP="001C6FA0">
      <w:pPr>
        <w:pStyle w:val="FootnoteText"/>
      </w:pPr>
      <w:r>
        <w:rPr>
          <w:rStyle w:val="FootnoteReference"/>
        </w:rPr>
        <w:footnoteRef/>
      </w:r>
      <w:r>
        <w:t xml:space="preserve"> Brink</w:t>
      </w:r>
      <w:r w:rsidR="002677BE">
        <w:t xml:space="preserve">, </w:t>
      </w:r>
      <w:r w:rsidR="002677BE" w:rsidRPr="002677BE">
        <w:rPr>
          <w:rFonts w:eastAsia="Times New Roman" w:cstheme="minorHAnsi"/>
          <w:i/>
          <w:iCs/>
          <w:lang w:eastAsia="en-GB"/>
        </w:rPr>
        <w:t>Inconsistency of Belief among Roman Catholic Girls</w:t>
      </w:r>
      <w:r w:rsidR="002677BE">
        <w:rPr>
          <w:rFonts w:eastAsia="Times New Roman" w:cstheme="minorHAnsi"/>
          <w:i/>
          <w:iCs/>
          <w:lang w:eastAsia="en-GB"/>
        </w:rPr>
        <w:t>,</w:t>
      </w:r>
      <w:r>
        <w:t xml:space="preserve"> p 85</w:t>
      </w:r>
    </w:p>
  </w:footnote>
  <w:footnote w:id="22">
    <w:p w14:paraId="72FFF356" w14:textId="65A73D9C" w:rsidR="001C6FA0" w:rsidRDefault="001C6FA0" w:rsidP="001C6FA0">
      <w:pPr>
        <w:pStyle w:val="FootnoteText"/>
      </w:pPr>
      <w:r>
        <w:rPr>
          <w:rStyle w:val="FootnoteReference"/>
        </w:rPr>
        <w:footnoteRef/>
      </w:r>
      <w:r>
        <w:t xml:space="preserve"> Brink</w:t>
      </w:r>
      <w:r w:rsidR="002677BE">
        <w:t xml:space="preserve">, </w:t>
      </w:r>
      <w:r w:rsidR="002677BE" w:rsidRPr="002677BE">
        <w:rPr>
          <w:rFonts w:eastAsia="Times New Roman" w:cstheme="minorHAnsi"/>
          <w:i/>
          <w:iCs/>
          <w:lang w:eastAsia="en-GB"/>
        </w:rPr>
        <w:t>Inconsistency of Belief among Roman Catholic Girls</w:t>
      </w:r>
      <w:r w:rsidR="002677BE">
        <w:rPr>
          <w:rFonts w:eastAsia="Times New Roman" w:cstheme="minorHAnsi"/>
          <w:i/>
          <w:iCs/>
          <w:lang w:eastAsia="en-GB"/>
        </w:rPr>
        <w:t>,</w:t>
      </w:r>
      <w:r>
        <w:t xml:space="preserve"> p. 84</w:t>
      </w:r>
    </w:p>
  </w:footnote>
  <w:footnote w:id="23">
    <w:p w14:paraId="11FC072B" w14:textId="5725C8DF" w:rsidR="009E6E6D" w:rsidRDefault="009E6E6D" w:rsidP="009E6E6D">
      <w:pPr>
        <w:pStyle w:val="FootnoteText"/>
      </w:pPr>
      <w:r>
        <w:rPr>
          <w:rStyle w:val="FootnoteReference"/>
        </w:rPr>
        <w:footnoteRef/>
      </w:r>
      <w:r>
        <w:t xml:space="preserve"> </w:t>
      </w:r>
      <w:proofErr w:type="spellStart"/>
      <w:r w:rsidR="005C5B58" w:rsidRPr="00B321EE">
        <w:rPr>
          <w:rFonts w:cstheme="minorHAnsi"/>
        </w:rPr>
        <w:t>Hennink</w:t>
      </w:r>
      <w:proofErr w:type="spellEnd"/>
      <w:r w:rsidR="005C5B58" w:rsidRPr="00B321EE">
        <w:rPr>
          <w:rFonts w:cstheme="minorHAnsi"/>
        </w:rPr>
        <w:t xml:space="preserve">, </w:t>
      </w:r>
      <w:proofErr w:type="spellStart"/>
      <w:r w:rsidR="005C5B58" w:rsidRPr="00B321EE">
        <w:rPr>
          <w:rFonts w:cstheme="minorHAnsi"/>
        </w:rPr>
        <w:t>Hutter</w:t>
      </w:r>
      <w:proofErr w:type="spellEnd"/>
      <w:r w:rsidR="005C5B58" w:rsidRPr="00B321EE">
        <w:rPr>
          <w:rFonts w:cstheme="minorHAnsi"/>
        </w:rPr>
        <w:t xml:space="preserve">, I., &amp; Bailey, A., </w:t>
      </w:r>
      <w:r w:rsidR="005C5B58" w:rsidRPr="00B321EE">
        <w:rPr>
          <w:rFonts w:cstheme="minorHAnsi"/>
          <w:i/>
          <w:iCs/>
        </w:rPr>
        <w:t>Qualitative research methods</w:t>
      </w:r>
      <w:r w:rsidR="005C5B58">
        <w:rPr>
          <w:rFonts w:cstheme="minorHAnsi"/>
          <w:i/>
          <w:iCs/>
        </w:rPr>
        <w:t>,</w:t>
      </w:r>
      <w:r>
        <w:t xml:space="preserve"> p</w:t>
      </w:r>
      <w:r w:rsidR="005C5B58">
        <w:t>.</w:t>
      </w:r>
      <w:r>
        <w:t xml:space="preserve"> 33</w:t>
      </w:r>
    </w:p>
  </w:footnote>
  <w:footnote w:id="24">
    <w:p w14:paraId="0CABA6BC" w14:textId="69D67B7B" w:rsidR="009E6E6D" w:rsidRDefault="009E6E6D" w:rsidP="009E6E6D">
      <w:pPr>
        <w:pStyle w:val="FootnoteText"/>
      </w:pPr>
      <w:r>
        <w:rPr>
          <w:rStyle w:val="FootnoteReference"/>
        </w:rPr>
        <w:footnoteRef/>
      </w:r>
      <w:r>
        <w:t xml:space="preserve"> Brink</w:t>
      </w:r>
      <w:r w:rsidR="002677BE">
        <w:t xml:space="preserve">, </w:t>
      </w:r>
      <w:r w:rsidR="002677BE" w:rsidRPr="002677BE">
        <w:rPr>
          <w:rFonts w:eastAsia="Times New Roman" w:cstheme="minorHAnsi"/>
          <w:i/>
          <w:iCs/>
          <w:lang w:eastAsia="en-GB"/>
        </w:rPr>
        <w:t>Inconsistency of Belief among Roman Catholic Girls</w:t>
      </w:r>
      <w:r w:rsidR="00AB57A0">
        <w:rPr>
          <w:rFonts w:eastAsia="Times New Roman" w:cstheme="minorHAnsi"/>
          <w:i/>
          <w:iCs/>
          <w:lang w:eastAsia="en-GB"/>
        </w:rPr>
        <w:t>,</w:t>
      </w:r>
      <w:r>
        <w:t xml:space="preserve"> p 82</w:t>
      </w:r>
    </w:p>
  </w:footnote>
  <w:footnote w:id="25">
    <w:p w14:paraId="703C5F50" w14:textId="5A86B6C0" w:rsidR="000307BB" w:rsidRDefault="000307BB" w:rsidP="000307BB">
      <w:pPr>
        <w:pStyle w:val="FootnoteText"/>
      </w:pPr>
      <w:r>
        <w:rPr>
          <w:rStyle w:val="FootnoteReference"/>
        </w:rPr>
        <w:footnoteRef/>
      </w:r>
      <w:r>
        <w:t xml:space="preserve"> W</w:t>
      </w:r>
      <w:r w:rsidR="00AB57A0">
        <w:t xml:space="preserve">alter and </w:t>
      </w:r>
      <w:r>
        <w:t>W</w:t>
      </w:r>
      <w:r w:rsidR="00AB57A0">
        <w:t xml:space="preserve">aterhouse, </w:t>
      </w:r>
      <w:r w:rsidR="00AB57A0" w:rsidRPr="002677BE">
        <w:rPr>
          <w:rFonts w:eastAsia="Times New Roman" w:cstheme="minorHAnsi"/>
          <w:i/>
          <w:iCs/>
          <w:lang w:eastAsia="en-GB"/>
        </w:rPr>
        <w:t>A Very Private Belief</w:t>
      </w:r>
      <w:r w:rsidR="00AB57A0">
        <w:rPr>
          <w:rFonts w:eastAsia="Times New Roman" w:cstheme="minorHAnsi"/>
          <w:i/>
          <w:iCs/>
          <w:lang w:eastAsia="en-GB"/>
        </w:rPr>
        <w:t>,</w:t>
      </w:r>
      <w:r>
        <w:t xml:space="preserve"> p</w:t>
      </w:r>
      <w:r w:rsidR="00AB57A0">
        <w:t>.</w:t>
      </w:r>
      <w:r>
        <w:t>188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95E77" w14:textId="33FA535F" w:rsidR="00121138" w:rsidRDefault="00121138">
    <w:pPr>
      <w:pStyle w:val="Header"/>
    </w:pPr>
    <w:r>
      <w:t>Christine Allen 2008524</w:t>
    </w:r>
  </w:p>
  <w:p w14:paraId="00162B5D" w14:textId="6DB44020" w:rsidR="005C5B58" w:rsidRDefault="005C5B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2216A"/>
    <w:multiLevelType w:val="hybridMultilevel"/>
    <w:tmpl w:val="1534D084"/>
    <w:lvl w:ilvl="0" w:tplc="DCF2EF06">
      <w:start w:val="1"/>
      <w:numFmt w:val="bullet"/>
      <w:lvlText w:val=""/>
      <w:lvlJc w:val="left"/>
      <w:pPr>
        <w:tabs>
          <w:tab w:val="num" w:pos="720"/>
        </w:tabs>
        <w:ind w:left="720" w:hanging="360"/>
      </w:pPr>
      <w:rPr>
        <w:rFonts w:ascii="Wingdings 3" w:hAnsi="Wingdings 3" w:hint="default"/>
      </w:rPr>
    </w:lvl>
    <w:lvl w:ilvl="1" w:tplc="5366D2BA" w:tentative="1">
      <w:start w:val="1"/>
      <w:numFmt w:val="bullet"/>
      <w:lvlText w:val=""/>
      <w:lvlJc w:val="left"/>
      <w:pPr>
        <w:tabs>
          <w:tab w:val="num" w:pos="1440"/>
        </w:tabs>
        <w:ind w:left="1440" w:hanging="360"/>
      </w:pPr>
      <w:rPr>
        <w:rFonts w:ascii="Wingdings 3" w:hAnsi="Wingdings 3" w:hint="default"/>
      </w:rPr>
    </w:lvl>
    <w:lvl w:ilvl="2" w:tplc="D13ECDE0" w:tentative="1">
      <w:start w:val="1"/>
      <w:numFmt w:val="bullet"/>
      <w:lvlText w:val=""/>
      <w:lvlJc w:val="left"/>
      <w:pPr>
        <w:tabs>
          <w:tab w:val="num" w:pos="2160"/>
        </w:tabs>
        <w:ind w:left="2160" w:hanging="360"/>
      </w:pPr>
      <w:rPr>
        <w:rFonts w:ascii="Wingdings 3" w:hAnsi="Wingdings 3" w:hint="default"/>
      </w:rPr>
    </w:lvl>
    <w:lvl w:ilvl="3" w:tplc="A29235B6" w:tentative="1">
      <w:start w:val="1"/>
      <w:numFmt w:val="bullet"/>
      <w:lvlText w:val=""/>
      <w:lvlJc w:val="left"/>
      <w:pPr>
        <w:tabs>
          <w:tab w:val="num" w:pos="2880"/>
        </w:tabs>
        <w:ind w:left="2880" w:hanging="360"/>
      </w:pPr>
      <w:rPr>
        <w:rFonts w:ascii="Wingdings 3" w:hAnsi="Wingdings 3" w:hint="default"/>
      </w:rPr>
    </w:lvl>
    <w:lvl w:ilvl="4" w:tplc="FE467364" w:tentative="1">
      <w:start w:val="1"/>
      <w:numFmt w:val="bullet"/>
      <w:lvlText w:val=""/>
      <w:lvlJc w:val="left"/>
      <w:pPr>
        <w:tabs>
          <w:tab w:val="num" w:pos="3600"/>
        </w:tabs>
        <w:ind w:left="3600" w:hanging="360"/>
      </w:pPr>
      <w:rPr>
        <w:rFonts w:ascii="Wingdings 3" w:hAnsi="Wingdings 3" w:hint="default"/>
      </w:rPr>
    </w:lvl>
    <w:lvl w:ilvl="5" w:tplc="2A08E04E" w:tentative="1">
      <w:start w:val="1"/>
      <w:numFmt w:val="bullet"/>
      <w:lvlText w:val=""/>
      <w:lvlJc w:val="left"/>
      <w:pPr>
        <w:tabs>
          <w:tab w:val="num" w:pos="4320"/>
        </w:tabs>
        <w:ind w:left="4320" w:hanging="360"/>
      </w:pPr>
      <w:rPr>
        <w:rFonts w:ascii="Wingdings 3" w:hAnsi="Wingdings 3" w:hint="default"/>
      </w:rPr>
    </w:lvl>
    <w:lvl w:ilvl="6" w:tplc="CC7412D6" w:tentative="1">
      <w:start w:val="1"/>
      <w:numFmt w:val="bullet"/>
      <w:lvlText w:val=""/>
      <w:lvlJc w:val="left"/>
      <w:pPr>
        <w:tabs>
          <w:tab w:val="num" w:pos="5040"/>
        </w:tabs>
        <w:ind w:left="5040" w:hanging="360"/>
      </w:pPr>
      <w:rPr>
        <w:rFonts w:ascii="Wingdings 3" w:hAnsi="Wingdings 3" w:hint="default"/>
      </w:rPr>
    </w:lvl>
    <w:lvl w:ilvl="7" w:tplc="E5E6698A" w:tentative="1">
      <w:start w:val="1"/>
      <w:numFmt w:val="bullet"/>
      <w:lvlText w:val=""/>
      <w:lvlJc w:val="left"/>
      <w:pPr>
        <w:tabs>
          <w:tab w:val="num" w:pos="5760"/>
        </w:tabs>
        <w:ind w:left="5760" w:hanging="360"/>
      </w:pPr>
      <w:rPr>
        <w:rFonts w:ascii="Wingdings 3" w:hAnsi="Wingdings 3" w:hint="default"/>
      </w:rPr>
    </w:lvl>
    <w:lvl w:ilvl="8" w:tplc="2E56F67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74454862"/>
    <w:multiLevelType w:val="hybridMultilevel"/>
    <w:tmpl w:val="36388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CE4"/>
    <w:rsid w:val="0000165A"/>
    <w:rsid w:val="000207FD"/>
    <w:rsid w:val="000307BB"/>
    <w:rsid w:val="0007016B"/>
    <w:rsid w:val="00084B3D"/>
    <w:rsid w:val="000C1DEC"/>
    <w:rsid w:val="000D008B"/>
    <w:rsid w:val="000D5367"/>
    <w:rsid w:val="000E4CE3"/>
    <w:rsid w:val="000F09AC"/>
    <w:rsid w:val="00121138"/>
    <w:rsid w:val="0013416B"/>
    <w:rsid w:val="00171CE4"/>
    <w:rsid w:val="00177888"/>
    <w:rsid w:val="00180A1D"/>
    <w:rsid w:val="001C2906"/>
    <w:rsid w:val="001C6FA0"/>
    <w:rsid w:val="001E2B14"/>
    <w:rsid w:val="00201840"/>
    <w:rsid w:val="00231E05"/>
    <w:rsid w:val="00245C73"/>
    <w:rsid w:val="002677BE"/>
    <w:rsid w:val="002826F5"/>
    <w:rsid w:val="002A23A3"/>
    <w:rsid w:val="002B2E27"/>
    <w:rsid w:val="00305F45"/>
    <w:rsid w:val="00365DDA"/>
    <w:rsid w:val="00367866"/>
    <w:rsid w:val="00390CB1"/>
    <w:rsid w:val="003B12A1"/>
    <w:rsid w:val="003D605D"/>
    <w:rsid w:val="003D7F4A"/>
    <w:rsid w:val="003F4332"/>
    <w:rsid w:val="00463F60"/>
    <w:rsid w:val="004C2884"/>
    <w:rsid w:val="005245C6"/>
    <w:rsid w:val="00535E11"/>
    <w:rsid w:val="00541212"/>
    <w:rsid w:val="00562D31"/>
    <w:rsid w:val="00586807"/>
    <w:rsid w:val="00591605"/>
    <w:rsid w:val="0059371F"/>
    <w:rsid w:val="005C5B58"/>
    <w:rsid w:val="005C6438"/>
    <w:rsid w:val="005F3763"/>
    <w:rsid w:val="006434DE"/>
    <w:rsid w:val="00657FA3"/>
    <w:rsid w:val="00670F10"/>
    <w:rsid w:val="006835B3"/>
    <w:rsid w:val="00696499"/>
    <w:rsid w:val="006C3E11"/>
    <w:rsid w:val="006D0E1A"/>
    <w:rsid w:val="006D5623"/>
    <w:rsid w:val="00704AD4"/>
    <w:rsid w:val="00727544"/>
    <w:rsid w:val="00730171"/>
    <w:rsid w:val="00752124"/>
    <w:rsid w:val="00780020"/>
    <w:rsid w:val="007B758A"/>
    <w:rsid w:val="007E2151"/>
    <w:rsid w:val="007F3954"/>
    <w:rsid w:val="00813A3E"/>
    <w:rsid w:val="008440AF"/>
    <w:rsid w:val="00856F6E"/>
    <w:rsid w:val="008609CF"/>
    <w:rsid w:val="008764DE"/>
    <w:rsid w:val="008821B7"/>
    <w:rsid w:val="00892236"/>
    <w:rsid w:val="008C020E"/>
    <w:rsid w:val="008D6C83"/>
    <w:rsid w:val="0090555B"/>
    <w:rsid w:val="00913778"/>
    <w:rsid w:val="0092309E"/>
    <w:rsid w:val="00942210"/>
    <w:rsid w:val="00946446"/>
    <w:rsid w:val="00950A90"/>
    <w:rsid w:val="00953604"/>
    <w:rsid w:val="0098121D"/>
    <w:rsid w:val="009A029A"/>
    <w:rsid w:val="009A0890"/>
    <w:rsid w:val="009C2658"/>
    <w:rsid w:val="009D013D"/>
    <w:rsid w:val="009E6E6D"/>
    <w:rsid w:val="00A014B9"/>
    <w:rsid w:val="00A126E5"/>
    <w:rsid w:val="00A62D37"/>
    <w:rsid w:val="00AA5FFD"/>
    <w:rsid w:val="00AB57A0"/>
    <w:rsid w:val="00AE120F"/>
    <w:rsid w:val="00AE437D"/>
    <w:rsid w:val="00B321EE"/>
    <w:rsid w:val="00B635F9"/>
    <w:rsid w:val="00B75708"/>
    <w:rsid w:val="00B75C00"/>
    <w:rsid w:val="00B92CB4"/>
    <w:rsid w:val="00BA4B08"/>
    <w:rsid w:val="00BF2C9D"/>
    <w:rsid w:val="00C77559"/>
    <w:rsid w:val="00C8513D"/>
    <w:rsid w:val="00C866D4"/>
    <w:rsid w:val="00C87CBC"/>
    <w:rsid w:val="00C9586A"/>
    <w:rsid w:val="00CD51EF"/>
    <w:rsid w:val="00CF3B89"/>
    <w:rsid w:val="00D152C9"/>
    <w:rsid w:val="00D17D70"/>
    <w:rsid w:val="00D17ECF"/>
    <w:rsid w:val="00D878F3"/>
    <w:rsid w:val="00DF77F8"/>
    <w:rsid w:val="00E704B5"/>
    <w:rsid w:val="00EB33F0"/>
    <w:rsid w:val="00F5049D"/>
    <w:rsid w:val="00F830BE"/>
    <w:rsid w:val="00FB5448"/>
    <w:rsid w:val="00FD43BD"/>
    <w:rsid w:val="00FF5537"/>
    <w:rsid w:val="00FF5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4B25A"/>
  <w15:chartTrackingRefBased/>
  <w15:docId w15:val="{206AEFFA-BFAC-4886-B76B-CB4794990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CE4"/>
  </w:style>
  <w:style w:type="paragraph" w:styleId="Heading1">
    <w:name w:val="heading 1"/>
    <w:basedOn w:val="Normal"/>
    <w:next w:val="Normal"/>
    <w:link w:val="Heading1Char"/>
    <w:uiPriority w:val="9"/>
    <w:qFormat/>
    <w:rsid w:val="00B757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57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64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7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5708"/>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6D562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5623"/>
    <w:rPr>
      <w:sz w:val="20"/>
      <w:szCs w:val="20"/>
    </w:rPr>
  </w:style>
  <w:style w:type="character" w:styleId="FootnoteReference">
    <w:name w:val="footnote reference"/>
    <w:basedOn w:val="DefaultParagraphFont"/>
    <w:uiPriority w:val="99"/>
    <w:semiHidden/>
    <w:unhideWhenUsed/>
    <w:rsid w:val="006D5623"/>
    <w:rPr>
      <w:vertAlign w:val="superscript"/>
    </w:rPr>
  </w:style>
  <w:style w:type="paragraph" w:styleId="Subtitle">
    <w:name w:val="Subtitle"/>
    <w:basedOn w:val="Normal"/>
    <w:next w:val="Normal"/>
    <w:link w:val="SubtitleChar"/>
    <w:uiPriority w:val="11"/>
    <w:qFormat/>
    <w:rsid w:val="00F830B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830BE"/>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69649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96499"/>
    <w:pPr>
      <w:ind w:left="720"/>
      <w:contextualSpacing/>
    </w:pPr>
  </w:style>
  <w:style w:type="paragraph" w:styleId="Title">
    <w:name w:val="Title"/>
    <w:basedOn w:val="Normal"/>
    <w:next w:val="Normal"/>
    <w:link w:val="TitleChar"/>
    <w:uiPriority w:val="10"/>
    <w:qFormat/>
    <w:rsid w:val="000307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7B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A4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B08"/>
  </w:style>
  <w:style w:type="paragraph" w:styleId="Footer">
    <w:name w:val="footer"/>
    <w:basedOn w:val="Normal"/>
    <w:link w:val="FooterChar"/>
    <w:uiPriority w:val="99"/>
    <w:unhideWhenUsed/>
    <w:rsid w:val="00BA4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B08"/>
  </w:style>
  <w:style w:type="paragraph" w:styleId="NormalWeb">
    <w:name w:val="Normal (Web)"/>
    <w:basedOn w:val="Normal"/>
    <w:rsid w:val="00535E11"/>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229398">
      <w:bodyDiv w:val="1"/>
      <w:marLeft w:val="0"/>
      <w:marRight w:val="0"/>
      <w:marTop w:val="0"/>
      <w:marBottom w:val="0"/>
      <w:divBdr>
        <w:top w:val="none" w:sz="0" w:space="0" w:color="auto"/>
        <w:left w:val="none" w:sz="0" w:space="0" w:color="auto"/>
        <w:bottom w:val="none" w:sz="0" w:space="0" w:color="auto"/>
        <w:right w:val="none" w:sz="0" w:space="0" w:color="auto"/>
      </w:divBdr>
      <w:divsChild>
        <w:div w:id="1406418361">
          <w:marLeft w:val="0"/>
          <w:marRight w:val="0"/>
          <w:marTop w:val="0"/>
          <w:marBottom w:val="0"/>
          <w:divBdr>
            <w:top w:val="none" w:sz="0" w:space="0" w:color="auto"/>
            <w:left w:val="none" w:sz="0" w:space="0" w:color="auto"/>
            <w:bottom w:val="none" w:sz="0" w:space="0" w:color="auto"/>
            <w:right w:val="none" w:sz="0" w:space="0" w:color="auto"/>
          </w:divBdr>
          <w:divsChild>
            <w:div w:id="39151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764877">
      <w:bodyDiv w:val="1"/>
      <w:marLeft w:val="0"/>
      <w:marRight w:val="0"/>
      <w:marTop w:val="0"/>
      <w:marBottom w:val="0"/>
      <w:divBdr>
        <w:top w:val="none" w:sz="0" w:space="0" w:color="auto"/>
        <w:left w:val="none" w:sz="0" w:space="0" w:color="auto"/>
        <w:bottom w:val="none" w:sz="0" w:space="0" w:color="auto"/>
        <w:right w:val="none" w:sz="0" w:space="0" w:color="auto"/>
      </w:divBdr>
      <w:divsChild>
        <w:div w:id="691539729">
          <w:marLeft w:val="0"/>
          <w:marRight w:val="0"/>
          <w:marTop w:val="0"/>
          <w:marBottom w:val="0"/>
          <w:divBdr>
            <w:top w:val="none" w:sz="0" w:space="0" w:color="auto"/>
            <w:left w:val="none" w:sz="0" w:space="0" w:color="auto"/>
            <w:bottom w:val="none" w:sz="0" w:space="0" w:color="auto"/>
            <w:right w:val="none" w:sz="0" w:space="0" w:color="auto"/>
          </w:divBdr>
          <w:divsChild>
            <w:div w:id="27717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090169">
      <w:bodyDiv w:val="1"/>
      <w:marLeft w:val="0"/>
      <w:marRight w:val="0"/>
      <w:marTop w:val="0"/>
      <w:marBottom w:val="0"/>
      <w:divBdr>
        <w:top w:val="none" w:sz="0" w:space="0" w:color="auto"/>
        <w:left w:val="none" w:sz="0" w:space="0" w:color="auto"/>
        <w:bottom w:val="none" w:sz="0" w:space="0" w:color="auto"/>
        <w:right w:val="none" w:sz="0" w:space="0" w:color="auto"/>
      </w:divBdr>
      <w:divsChild>
        <w:div w:id="830491498">
          <w:marLeft w:val="0"/>
          <w:marRight w:val="0"/>
          <w:marTop w:val="0"/>
          <w:marBottom w:val="0"/>
          <w:divBdr>
            <w:top w:val="none" w:sz="0" w:space="0" w:color="auto"/>
            <w:left w:val="none" w:sz="0" w:space="0" w:color="auto"/>
            <w:bottom w:val="none" w:sz="0" w:space="0" w:color="auto"/>
            <w:right w:val="none" w:sz="0" w:space="0" w:color="auto"/>
          </w:divBdr>
          <w:divsChild>
            <w:div w:id="214030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11497">
      <w:bodyDiv w:val="1"/>
      <w:marLeft w:val="0"/>
      <w:marRight w:val="0"/>
      <w:marTop w:val="0"/>
      <w:marBottom w:val="0"/>
      <w:divBdr>
        <w:top w:val="none" w:sz="0" w:space="0" w:color="auto"/>
        <w:left w:val="none" w:sz="0" w:space="0" w:color="auto"/>
        <w:bottom w:val="none" w:sz="0" w:space="0" w:color="auto"/>
        <w:right w:val="none" w:sz="0" w:space="0" w:color="auto"/>
      </w:divBdr>
      <w:divsChild>
        <w:div w:id="1116409471">
          <w:marLeft w:val="547"/>
          <w:marRight w:val="0"/>
          <w:marTop w:val="200"/>
          <w:marBottom w:val="0"/>
          <w:divBdr>
            <w:top w:val="none" w:sz="0" w:space="0" w:color="auto"/>
            <w:left w:val="none" w:sz="0" w:space="0" w:color="auto"/>
            <w:bottom w:val="none" w:sz="0" w:space="0" w:color="auto"/>
            <w:right w:val="none" w:sz="0" w:space="0" w:color="auto"/>
          </w:divBdr>
        </w:div>
        <w:div w:id="1735349627">
          <w:marLeft w:val="547"/>
          <w:marRight w:val="0"/>
          <w:marTop w:val="200"/>
          <w:marBottom w:val="0"/>
          <w:divBdr>
            <w:top w:val="none" w:sz="0" w:space="0" w:color="auto"/>
            <w:left w:val="none" w:sz="0" w:space="0" w:color="auto"/>
            <w:bottom w:val="none" w:sz="0" w:space="0" w:color="auto"/>
            <w:right w:val="none" w:sz="0" w:space="0" w:color="auto"/>
          </w:divBdr>
        </w:div>
        <w:div w:id="19933996">
          <w:marLeft w:val="547"/>
          <w:marRight w:val="0"/>
          <w:marTop w:val="200"/>
          <w:marBottom w:val="0"/>
          <w:divBdr>
            <w:top w:val="none" w:sz="0" w:space="0" w:color="auto"/>
            <w:left w:val="none" w:sz="0" w:space="0" w:color="auto"/>
            <w:bottom w:val="none" w:sz="0" w:space="0" w:color="auto"/>
            <w:right w:val="none" w:sz="0" w:space="0" w:color="auto"/>
          </w:divBdr>
        </w:div>
      </w:divsChild>
    </w:div>
    <w:div w:id="1829400951">
      <w:bodyDiv w:val="1"/>
      <w:marLeft w:val="0"/>
      <w:marRight w:val="0"/>
      <w:marTop w:val="0"/>
      <w:marBottom w:val="0"/>
      <w:divBdr>
        <w:top w:val="none" w:sz="0" w:space="0" w:color="auto"/>
        <w:left w:val="none" w:sz="0" w:space="0" w:color="auto"/>
        <w:bottom w:val="none" w:sz="0" w:space="0" w:color="auto"/>
        <w:right w:val="none" w:sz="0" w:space="0" w:color="auto"/>
      </w:divBdr>
      <w:divsChild>
        <w:div w:id="200677871">
          <w:marLeft w:val="0"/>
          <w:marRight w:val="0"/>
          <w:marTop w:val="0"/>
          <w:marBottom w:val="0"/>
          <w:divBdr>
            <w:top w:val="none" w:sz="0" w:space="0" w:color="auto"/>
            <w:left w:val="none" w:sz="0" w:space="0" w:color="auto"/>
            <w:bottom w:val="none" w:sz="0" w:space="0" w:color="auto"/>
            <w:right w:val="none" w:sz="0" w:space="0" w:color="auto"/>
          </w:divBdr>
          <w:divsChild>
            <w:div w:id="54611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8F60E-8F52-4E20-85BA-B17D104B5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2909</Words>
  <Characters>16583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Julie Allen (2008524)</dc:creator>
  <cp:keywords/>
  <dc:description/>
  <cp:lastModifiedBy>Christine Julie Allen (2008524)</cp:lastModifiedBy>
  <cp:revision>2</cp:revision>
  <dcterms:created xsi:type="dcterms:W3CDTF">2022-03-20T11:00:00Z</dcterms:created>
  <dcterms:modified xsi:type="dcterms:W3CDTF">2022-03-20T11:00:00Z</dcterms:modified>
</cp:coreProperties>
</file>