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2179C53E" w14:textId="7E8AD791" w:rsidR="0037375F" w:rsidRPr="00EB17D3" w:rsidRDefault="0037375F" w:rsidP="00EB17D3">
      <w:pPr>
        <w:jc w:val="center"/>
        <w:rPr>
          <w:b/>
          <w:bCs/>
        </w:rPr>
      </w:pPr>
      <w:r w:rsidRPr="00EB17D3">
        <w:rPr>
          <w:b/>
          <w:bCs/>
        </w:rPr>
        <w:t xml:space="preserve">Starting from the Egyptian tom TT99 in Thebes (Senneferi), describe the architecture and finds of this tomb. How does this material culture </w:t>
      </w:r>
      <w:proofErr w:type="gramStart"/>
      <w:r w:rsidRPr="00EB17D3">
        <w:rPr>
          <w:b/>
          <w:bCs/>
        </w:rPr>
        <w:t>illustrates</w:t>
      </w:r>
      <w:proofErr w:type="gramEnd"/>
      <w:r w:rsidRPr="00EB17D3">
        <w:rPr>
          <w:b/>
          <w:bCs/>
        </w:rPr>
        <w:t xml:space="preserve"> the position this person had in the ancient Egyptian society. Base your description and analysis on the excavator’s book and website</w:t>
      </w:r>
      <w:r w:rsidR="00573227">
        <w:rPr>
          <w:b/>
          <w:bCs/>
        </w:rPr>
        <w:t>.</w:t>
      </w:r>
    </w:p>
    <w:p w14:paraId="19D0FF31" w14:textId="77777777" w:rsidR="0037375F" w:rsidRDefault="0037375F"/>
    <w:p w14:paraId="3CA1D3DF" w14:textId="6E7442EF" w:rsidR="0037375F" w:rsidRDefault="002B0775" w:rsidP="00472AF2">
      <w:pPr>
        <w:ind w:firstLine="720"/>
      </w:pPr>
      <w:r>
        <w:t>The tomb of Senneferi, TT99, located in the upper enclosure of the hill of Sheikh Abdel Qurna</w:t>
      </w:r>
      <w:r w:rsidR="00A16194">
        <w:t xml:space="preserve"> in Thebes</w:t>
      </w:r>
      <w:r>
        <w:t>, on its southern side.</w:t>
      </w:r>
      <w:r>
        <w:rPr>
          <w:rStyle w:val="FootnoteReference"/>
        </w:rPr>
        <w:footnoteReference w:id="1"/>
      </w:r>
      <w:r w:rsidR="00472AF2">
        <w:t xml:space="preserve"> The tomb consists of a classic 18</w:t>
      </w:r>
      <w:r w:rsidR="00472AF2" w:rsidRPr="00472AF2">
        <w:rPr>
          <w:vertAlign w:val="superscript"/>
        </w:rPr>
        <w:t>th</w:t>
      </w:r>
      <w:r w:rsidR="00472AF2">
        <w:t xml:space="preserve"> dynasty T-shaped decorated tomb chapel, with a </w:t>
      </w:r>
      <w:r w:rsidR="0033428C">
        <w:t xml:space="preserve">façade and </w:t>
      </w:r>
      <w:r w:rsidR="00472AF2">
        <w:t>courtyard, and a number of burial shafts.</w:t>
      </w:r>
      <w:r w:rsidR="00472AF2">
        <w:rPr>
          <w:rStyle w:val="FootnoteReference"/>
        </w:rPr>
        <w:footnoteReference w:id="2"/>
      </w:r>
      <w:r w:rsidR="00D94623">
        <w:t xml:space="preserve"> The site is claimed to have been discovered by Percy Newberry in 1895 and has been worked on since by a </w:t>
      </w:r>
      <w:r w:rsidR="00A16194">
        <w:t xml:space="preserve">limited </w:t>
      </w:r>
      <w:r w:rsidR="00D94623">
        <w:t xml:space="preserve">number of </w:t>
      </w:r>
      <w:r w:rsidR="00A16194">
        <w:t>archaeologists.</w:t>
      </w:r>
      <w:r w:rsidR="00A16194">
        <w:rPr>
          <w:rStyle w:val="FootnoteReference"/>
        </w:rPr>
        <w:footnoteReference w:id="3"/>
      </w:r>
      <w:r w:rsidR="00A16194">
        <w:t xml:space="preserve"> Until the excavations led by Nigel Strudwick and his team however, little was known about the tomb,</w:t>
      </w:r>
      <w:r w:rsidR="0033428C">
        <w:t xml:space="preserve"> This is</w:t>
      </w:r>
      <w:r w:rsidR="00A16194">
        <w:t xml:space="preserve"> likely due to its lack of surviving painted decoration, tomb robbery, and </w:t>
      </w:r>
      <w:r w:rsidR="0033428C">
        <w:t xml:space="preserve">its </w:t>
      </w:r>
      <w:r w:rsidR="0033428C">
        <w:t xml:space="preserve">history </w:t>
      </w:r>
      <w:r w:rsidR="00A16194">
        <w:t>of occupancy until 1907.</w:t>
      </w:r>
      <w:r w:rsidR="00A16194">
        <w:rPr>
          <w:rStyle w:val="FootnoteReference"/>
        </w:rPr>
        <w:footnoteReference w:id="4"/>
      </w:r>
      <w:r w:rsidR="00A16194">
        <w:t xml:space="preserve"> The result of these excavations</w:t>
      </w:r>
      <w:r w:rsidR="0033428C">
        <w:t>,</w:t>
      </w:r>
      <w:r w:rsidR="00A16194">
        <w:t xml:space="preserve"> which began in 199</w:t>
      </w:r>
      <w:r w:rsidR="0056088F">
        <w:t>2</w:t>
      </w:r>
      <w:r w:rsidR="0033428C">
        <w:t>,</w:t>
      </w:r>
      <w:r w:rsidR="0056088F">
        <w:t xml:space="preserve"> has been published in a large work edited by </w:t>
      </w:r>
      <w:r w:rsidR="007202AA">
        <w:t xml:space="preserve">Nigel </w:t>
      </w:r>
      <w:r w:rsidR="0056088F">
        <w:t>Strudwick, along with a website active since 1997.</w:t>
      </w:r>
      <w:r w:rsidR="0056088F">
        <w:rPr>
          <w:rStyle w:val="FootnoteReference"/>
        </w:rPr>
        <w:footnoteReference w:id="5"/>
      </w:r>
      <w:r w:rsidR="00B90AE2">
        <w:t xml:space="preserve"> This exceptional body of work documents a decade long excavation and provides </w:t>
      </w:r>
      <w:r w:rsidR="00735FAF">
        <w:t xml:space="preserve">public </w:t>
      </w:r>
      <w:r w:rsidR="007202AA">
        <w:t>access</w:t>
      </w:r>
      <w:r w:rsidR="00735FAF">
        <w:t xml:space="preserve"> to the many </w:t>
      </w:r>
      <w:r w:rsidR="00B90AE2">
        <w:t>fascinating</w:t>
      </w:r>
      <w:r w:rsidR="00735FAF">
        <w:t xml:space="preserve"> and</w:t>
      </w:r>
      <w:r w:rsidR="00B90AE2">
        <w:t xml:space="preserve"> </w:t>
      </w:r>
      <w:r w:rsidR="00735FAF">
        <w:t>rare finds of the tomb</w:t>
      </w:r>
      <w:r w:rsidR="00B90AE2">
        <w:t>. With reference to the materiality of death, it is possible to understand something of the life of Senneferi and his family</w:t>
      </w:r>
      <w:r w:rsidR="001A5CC9">
        <w:t>, h</w:t>
      </w:r>
      <w:r w:rsidR="00B90AE2">
        <w:t>ow he wanted to be buried and how he wanted to be remembered.</w:t>
      </w:r>
      <w:r w:rsidR="00F844D8">
        <w:t xml:space="preserve"> This essay will assess the assemblage of remains originating from TT99 including the tomb itself and, with reference to the </w:t>
      </w:r>
      <w:r w:rsidR="00C22679">
        <w:t>excavator’s</w:t>
      </w:r>
      <w:r w:rsidR="00F844D8">
        <w:t xml:space="preserve"> book and website, will explore how these remains illustrate the position the occupant had in ancient Egyptian society.</w:t>
      </w:r>
    </w:p>
    <w:p w14:paraId="6C98248D" w14:textId="77777777" w:rsidR="00B90AE2" w:rsidRDefault="00B90AE2" w:rsidP="00472AF2">
      <w:pPr>
        <w:ind w:firstLine="720"/>
      </w:pPr>
    </w:p>
    <w:p w14:paraId="74A31FB1" w14:textId="1328FF2B" w:rsidR="00B90AE2" w:rsidRDefault="00F844D8" w:rsidP="00472AF2">
      <w:pPr>
        <w:ind w:firstLine="720"/>
      </w:pPr>
      <w:r>
        <w:t>As mentioned</w:t>
      </w:r>
      <w:r w:rsidR="00111D3D">
        <w:t xml:space="preserve"> above,</w:t>
      </w:r>
      <w:r>
        <w:t xml:space="preserve"> TT99 is located within the burial complex of Sheikh Abdel Qurna, on the West Bank of Luxor.</w:t>
      </w:r>
      <w:r>
        <w:rPr>
          <w:rStyle w:val="FootnoteReference"/>
        </w:rPr>
        <w:footnoteReference w:id="6"/>
      </w:r>
      <w:r>
        <w:t xml:space="preserve"> Its design follows that of other 18</w:t>
      </w:r>
      <w:r w:rsidRPr="00F844D8">
        <w:rPr>
          <w:vertAlign w:val="superscript"/>
        </w:rPr>
        <w:t>th</w:t>
      </w:r>
      <w:r>
        <w:t xml:space="preserve"> dynasty Theban tombs</w:t>
      </w:r>
      <w:r w:rsidR="008F2DEF">
        <w:t xml:space="preserve">: </w:t>
      </w:r>
      <w:r>
        <w:t xml:space="preserve">Its superstructure is substituted by a niche on the central axis of the façade, </w:t>
      </w:r>
      <w:r w:rsidR="008F2DEF">
        <w:t>and i</w:t>
      </w:r>
      <w:r>
        <w:t xml:space="preserve">t has a square courtyard with three burial shafts (G, H, and I, where Senneferi and his family </w:t>
      </w:r>
      <w:r w:rsidR="001D1FC3">
        <w:t>were likely entombed)</w:t>
      </w:r>
      <w:r w:rsidR="00040598">
        <w:t>;</w:t>
      </w:r>
      <w:r w:rsidR="001D1FC3">
        <w:t xml:space="preserve"> It has a conventional ‘T’-shaped offering chapel containing a further 6 later burial shafts (A-F).</w:t>
      </w:r>
      <w:r w:rsidR="001D1FC3">
        <w:rPr>
          <w:rStyle w:val="FootnoteReference"/>
        </w:rPr>
        <w:footnoteReference w:id="7"/>
      </w:r>
      <w:r w:rsidR="001D1FC3">
        <w:t xml:space="preserve"> The location of the tomb itself provides important clues to the social position of Senneferi. The hill of Sheikh Abdel Qurna had been populated by tombs since the middle kingdom</w:t>
      </w:r>
      <w:r w:rsidR="007A78CC">
        <w:t>. T</w:t>
      </w:r>
      <w:r w:rsidR="001D1FC3">
        <w:t xml:space="preserve">he tombs with the largest façades were situated high on the hillside to be visible from a distance, they appear to have been built deliberately to </w:t>
      </w:r>
      <w:r w:rsidR="00536AE9">
        <w:t>face the river</w:t>
      </w:r>
      <w:r w:rsidR="00234823">
        <w:t xml:space="preserve"> and the settlement on the east bank</w:t>
      </w:r>
      <w:r w:rsidR="00536AE9">
        <w:t>.</w:t>
      </w:r>
      <w:r w:rsidR="00536AE9">
        <w:rPr>
          <w:rStyle w:val="FootnoteReference"/>
        </w:rPr>
        <w:footnoteReference w:id="8"/>
      </w:r>
      <w:r w:rsidR="00234823">
        <w:t xml:space="preserve"> The central to southern portion of the hill was more actively developed under Thutmose III; when Senneferi came to choose the location for his tomb, the area he selected would have been used only sparsely.</w:t>
      </w:r>
      <w:r w:rsidR="00234823">
        <w:rPr>
          <w:rStyle w:val="FootnoteReference"/>
        </w:rPr>
        <w:footnoteReference w:id="9"/>
      </w:r>
      <w:r w:rsidR="00234823">
        <w:t xml:space="preserve"> His tomb was </w:t>
      </w:r>
      <w:r w:rsidR="00234823">
        <w:lastRenderedPageBreak/>
        <w:t>probably the southernmost of the new tombs in that area</w:t>
      </w:r>
      <w:r w:rsidR="009139D9">
        <w:t>, holding an extensive view across the river,</w:t>
      </w:r>
      <w:r w:rsidR="00234823">
        <w:t xml:space="preserve"> and it was situated close to an existing path leading further up the hillside.</w:t>
      </w:r>
      <w:r w:rsidR="00234823">
        <w:rPr>
          <w:rStyle w:val="FootnoteReference"/>
        </w:rPr>
        <w:footnoteReference w:id="10"/>
      </w:r>
      <w:r w:rsidR="00234823">
        <w:t xml:space="preserve"> His tomb </w:t>
      </w:r>
      <w:r w:rsidR="00EC1760">
        <w:t xml:space="preserve">was also oriented toward the Luxor temple and the set of barque shrines associated with the </w:t>
      </w:r>
      <w:proofErr w:type="spellStart"/>
      <w:r w:rsidR="00EC1760">
        <w:t>Opet</w:t>
      </w:r>
      <w:proofErr w:type="spellEnd"/>
      <w:r w:rsidR="00EC1760">
        <w:t xml:space="preserve"> festival completed under Thutmose III</w:t>
      </w:r>
      <w:r w:rsidR="009139D9">
        <w:t xml:space="preserve"> with whom </w:t>
      </w:r>
      <w:r w:rsidR="002E7FC3">
        <w:t>Senneferi was associated</w:t>
      </w:r>
      <w:r w:rsidR="00EC1760">
        <w:t>.</w:t>
      </w:r>
      <w:r w:rsidR="00EC1760">
        <w:rPr>
          <w:rStyle w:val="FootnoteReference"/>
        </w:rPr>
        <w:footnoteReference w:id="11"/>
      </w:r>
      <w:r w:rsidR="00EC1760">
        <w:t xml:space="preserve"> </w:t>
      </w:r>
      <w:r w:rsidR="0002734C">
        <w:t>This placement already demonstrates Senneferi’s importance</w:t>
      </w:r>
      <w:r w:rsidR="002E7FC3">
        <w:t>;</w:t>
      </w:r>
      <w:r w:rsidR="0002734C">
        <w:t xml:space="preserve"> his tomb at the time of its construction would have held a particularly privileged location</w:t>
      </w:r>
      <w:r w:rsidR="0002734C">
        <w:t xml:space="preserve"> and even after the necropolis was further developed, it remained an important feature in landscape.</w:t>
      </w:r>
      <w:r w:rsidR="0002734C">
        <w:rPr>
          <w:rStyle w:val="FootnoteReference"/>
        </w:rPr>
        <w:footnoteReference w:id="12"/>
      </w:r>
    </w:p>
    <w:p w14:paraId="03383996" w14:textId="77777777" w:rsidR="00030534" w:rsidRDefault="00030534" w:rsidP="00472AF2">
      <w:pPr>
        <w:ind w:firstLine="720"/>
      </w:pPr>
    </w:p>
    <w:p w14:paraId="42147C6C" w14:textId="4AEC4115" w:rsidR="00030534" w:rsidRDefault="0006799A" w:rsidP="000A3D5E">
      <w:pPr>
        <w:ind w:firstLine="720"/>
      </w:pPr>
      <w:r>
        <w:t xml:space="preserve">Theban tombs of the new kingdom </w:t>
      </w:r>
      <w:r w:rsidR="00E749D8">
        <w:t xml:space="preserve">have three fundamental levels: the lower level, the realm of </w:t>
      </w:r>
      <w:r w:rsidR="008D0A2B">
        <w:t>dead and of Osiris is where the dead are buried; the middle level, the realm of the living</w:t>
      </w:r>
      <w:r w:rsidR="00F85F48">
        <w:t>, is the offering chapel; and the upper level, the real</w:t>
      </w:r>
      <w:r w:rsidR="00B52344">
        <w:t>m of the Sun God consisted of some form of superstructure</w:t>
      </w:r>
      <w:r w:rsidR="00C42E8C">
        <w:t xml:space="preserve"> or niche</w:t>
      </w:r>
      <w:r w:rsidR="00B52344">
        <w:t>.</w:t>
      </w:r>
      <w:r w:rsidR="00B52344">
        <w:rPr>
          <w:rStyle w:val="FootnoteReference"/>
        </w:rPr>
        <w:footnoteReference w:id="13"/>
      </w:r>
      <w:r w:rsidR="00B52344">
        <w:t xml:space="preserve"> </w:t>
      </w:r>
      <w:r w:rsidR="00053647">
        <w:t>The area above the tomb was excavated in 1996</w:t>
      </w:r>
      <w:r w:rsidR="00030534">
        <w:t xml:space="preserve"> to ascertain whether TT99 had a superstructure</w:t>
      </w:r>
      <w:r w:rsidR="00053647">
        <w:t xml:space="preserve"> like many </w:t>
      </w:r>
      <w:r>
        <w:t>other tombs of its period</w:t>
      </w:r>
      <w:r w:rsidR="00C2426B">
        <w:t>,</w:t>
      </w:r>
      <w:r w:rsidR="004E70F2">
        <w:t xml:space="preserve"> however no evidence </w:t>
      </w:r>
      <w:r w:rsidR="002C1296">
        <w:t xml:space="preserve">of a foundation </w:t>
      </w:r>
      <w:r w:rsidR="004E70F2">
        <w:t>was discovere</w:t>
      </w:r>
      <w:r w:rsidR="002C1296">
        <w:t>d.</w:t>
      </w:r>
      <w:r w:rsidR="002C1296">
        <w:rPr>
          <w:rStyle w:val="FootnoteReference"/>
        </w:rPr>
        <w:footnoteReference w:id="14"/>
      </w:r>
      <w:r w:rsidR="00334441">
        <w:t xml:space="preserve"> </w:t>
      </w:r>
      <w:r w:rsidR="00A628A4">
        <w:t xml:space="preserve">Thus, TT99 like most </w:t>
      </w:r>
      <w:r w:rsidR="005F492C">
        <w:t>18</w:t>
      </w:r>
      <w:r w:rsidR="005F492C" w:rsidRPr="005F492C">
        <w:rPr>
          <w:vertAlign w:val="superscript"/>
        </w:rPr>
        <w:t>th</w:t>
      </w:r>
      <w:r w:rsidR="005F492C">
        <w:t xml:space="preserve"> dynasty Theban tom</w:t>
      </w:r>
      <w:r w:rsidR="00C2426B">
        <w:t>b</w:t>
      </w:r>
      <w:r w:rsidR="005F492C">
        <w:t xml:space="preserve">s, was one where a niche in the façade served the </w:t>
      </w:r>
      <w:r w:rsidR="00DC22DE">
        <w:t>function of a free-standing superstructure.</w:t>
      </w:r>
      <w:r w:rsidR="00DC22DE">
        <w:rPr>
          <w:rStyle w:val="FootnoteReference"/>
        </w:rPr>
        <w:footnoteReference w:id="15"/>
      </w:r>
      <w:r w:rsidR="00AB74C7">
        <w:t xml:space="preserve"> </w:t>
      </w:r>
      <w:r w:rsidR="00C44F27">
        <w:t>The courtyard of the tomb appears to have been enclosed by side extensions</w:t>
      </w:r>
      <w:r w:rsidR="00187314">
        <w:t>;</w:t>
      </w:r>
      <w:r w:rsidR="00852FF6">
        <w:t xml:space="preserve"> inside the courtyard perhaps the most interesting set of finds </w:t>
      </w:r>
      <w:r w:rsidR="00CE025C">
        <w:t xml:space="preserve">were the total of 1320 stamped funerary cones, bricks, and other </w:t>
      </w:r>
      <w:r w:rsidR="00124985">
        <w:t>fragments</w:t>
      </w:r>
      <w:r w:rsidR="00187314">
        <w:t>.</w:t>
      </w:r>
      <w:r w:rsidR="003B1102">
        <w:rPr>
          <w:rStyle w:val="FootnoteReference"/>
        </w:rPr>
        <w:footnoteReference w:id="16"/>
      </w:r>
      <w:r w:rsidR="00AD6498">
        <w:t xml:space="preserve"> 251 of </w:t>
      </w:r>
      <w:r w:rsidR="00187314">
        <w:t>these</w:t>
      </w:r>
      <w:r w:rsidR="00DF38E9">
        <w:t xml:space="preserve"> items</w:t>
      </w:r>
      <w:r w:rsidR="00124985">
        <w:t xml:space="preserve"> were whole or partially stamped cones, 9 were from bricks, and the remaining 1060 were fragments</w:t>
      </w:r>
      <w:r w:rsidR="00AD3D9D">
        <w:t>.</w:t>
      </w:r>
      <w:r w:rsidR="00124985">
        <w:rPr>
          <w:rStyle w:val="FootnoteReference"/>
        </w:rPr>
        <w:footnoteReference w:id="17"/>
      </w:r>
      <w:r w:rsidR="00124985">
        <w:t xml:space="preserve"> It is not fully known what the purpose o</w:t>
      </w:r>
      <w:r w:rsidR="001D5D35">
        <w:t>f these funerary cones was</w:t>
      </w:r>
      <w:r w:rsidR="00CE0026">
        <w:t xml:space="preserve">; it has been theorised they served as model offerings of bread </w:t>
      </w:r>
      <w:r w:rsidR="00D94D2B">
        <w:t>or cakes, or that they were superficial decorations meant to imitate the</w:t>
      </w:r>
      <w:r w:rsidR="007C04BB">
        <w:t xml:space="preserve"> wooden beams supporting the roof of a house.</w:t>
      </w:r>
      <w:r w:rsidR="007C04BB">
        <w:rPr>
          <w:rStyle w:val="FootnoteReference"/>
        </w:rPr>
        <w:footnoteReference w:id="18"/>
      </w:r>
      <w:r w:rsidR="00DF69FD">
        <w:t xml:space="preserve"> The cones </w:t>
      </w:r>
      <w:r w:rsidR="008106E3">
        <w:t>bore a number of inscriptions, the most common of which (DM 154)</w:t>
      </w:r>
      <w:r w:rsidR="00BB7C6E">
        <w:t xml:space="preserve"> was found in 130 examples</w:t>
      </w:r>
      <w:r w:rsidR="001F11B9">
        <w:t xml:space="preserve">, the other </w:t>
      </w:r>
      <w:r w:rsidR="00E51D29">
        <w:t>stamp</w:t>
      </w:r>
      <w:r w:rsidR="001F11B9">
        <w:t xml:space="preserve"> to appear with frequency</w:t>
      </w:r>
      <w:r w:rsidR="000F0DAE">
        <w:t xml:space="preserve"> (DM 93) was found in 52 examples.</w:t>
      </w:r>
      <w:r w:rsidR="00807E49">
        <w:rPr>
          <w:rStyle w:val="FootnoteReference"/>
        </w:rPr>
        <w:footnoteReference w:id="19"/>
      </w:r>
      <w:r w:rsidR="00F72F11">
        <w:t xml:space="preserve"> Both</w:t>
      </w:r>
      <w:r w:rsidR="00E51D29">
        <w:t xml:space="preserve"> texts</w:t>
      </w:r>
      <w:r w:rsidR="00F72F11">
        <w:t xml:space="preserve"> reference Senneferi</w:t>
      </w:r>
      <w:r w:rsidR="00E132FE">
        <w:t>’s titles</w:t>
      </w:r>
      <w:r w:rsidR="000A3D5E">
        <w:t xml:space="preserve"> as seal-bearer to the city, and as the overseer of seal-bearers</w:t>
      </w:r>
      <w:r w:rsidR="0055286C">
        <w:t xml:space="preserve">; DM 93 additionally </w:t>
      </w:r>
      <w:r w:rsidR="00077A06">
        <w:t>mentions</w:t>
      </w:r>
      <w:r w:rsidR="0055286C">
        <w:t xml:space="preserve"> Senneferi</w:t>
      </w:r>
      <w:r w:rsidR="00B946ED">
        <w:t xml:space="preserve"> as</w:t>
      </w:r>
      <w:r w:rsidR="0055286C">
        <w:t xml:space="preserve">, </w:t>
      </w:r>
      <w:r w:rsidR="00077A06">
        <w:t>‘the mouth who makes peace in the whole land’.</w:t>
      </w:r>
      <w:r w:rsidR="00807E49">
        <w:rPr>
          <w:rStyle w:val="FootnoteReference"/>
        </w:rPr>
        <w:footnoteReference w:id="20"/>
      </w:r>
      <w:r w:rsidR="00484DC9">
        <w:t xml:space="preserve"> Senneferi has many titles across the tomb</w:t>
      </w:r>
      <w:r w:rsidR="007C60E3">
        <w:t>, one of which</w:t>
      </w:r>
      <w:r w:rsidR="00A067A6" w:rsidRPr="00A067A6">
        <w:rPr>
          <w:i/>
          <w:iCs/>
        </w:rPr>
        <w:t>,</w:t>
      </w:r>
      <w:r w:rsidR="007C60E3" w:rsidRPr="00A067A6">
        <w:rPr>
          <w:i/>
          <w:iCs/>
        </w:rPr>
        <w:t xml:space="preserve"> </w:t>
      </w:r>
      <w:r w:rsidR="00A067A6" w:rsidRPr="00A067A6">
        <w:rPr>
          <w:i/>
          <w:iCs/>
        </w:rPr>
        <w:t xml:space="preserve">wḥm </w:t>
      </w:r>
      <w:proofErr w:type="spellStart"/>
      <w:r w:rsidR="00A067A6" w:rsidRPr="00A067A6">
        <w:rPr>
          <w:i/>
          <w:iCs/>
        </w:rPr>
        <w:t>nswt</w:t>
      </w:r>
      <w:proofErr w:type="spellEnd"/>
      <w:r w:rsidR="00A067A6">
        <w:t xml:space="preserve">, </w:t>
      </w:r>
      <w:r w:rsidR="00AD5AE8">
        <w:t xml:space="preserve">likely </w:t>
      </w:r>
      <w:r w:rsidR="00A067A6">
        <w:t>functioned as something of a spokesperson for the king</w:t>
      </w:r>
      <w:r w:rsidR="00895AEC">
        <w:t>.</w:t>
      </w:r>
      <w:r w:rsidR="00895AEC">
        <w:rPr>
          <w:rStyle w:val="FootnoteReference"/>
        </w:rPr>
        <w:footnoteReference w:id="21"/>
      </w:r>
      <w:r w:rsidR="00F8317A">
        <w:t xml:space="preserve"> </w:t>
      </w:r>
      <w:r w:rsidR="00895AEC">
        <w:t xml:space="preserve">This, and several other titles in the tomb </w:t>
      </w:r>
      <w:r w:rsidR="00654E3E">
        <w:t>indicate that he would have been charged with putting forward the decisions of the king, specifically those beginning with the ‘mouth’ hieroglyph</w:t>
      </w:r>
      <w:r w:rsidR="00001C83">
        <w:t>.</w:t>
      </w:r>
      <w:r w:rsidR="00001C83">
        <w:rPr>
          <w:rStyle w:val="FootnoteReference"/>
        </w:rPr>
        <w:footnoteReference w:id="22"/>
      </w:r>
      <w:r w:rsidR="00731166">
        <w:t xml:space="preserve"> </w:t>
      </w:r>
    </w:p>
    <w:p w14:paraId="1D96A424" w14:textId="77777777" w:rsidR="0002734C" w:rsidRDefault="0002734C" w:rsidP="0002734C"/>
    <w:p w14:paraId="5C7FF37F" w14:textId="21EF6CED" w:rsidR="00B66D0F" w:rsidRDefault="0002734C" w:rsidP="0002734C">
      <w:r>
        <w:tab/>
      </w:r>
      <w:r w:rsidR="00FB1AA8">
        <w:t>Perhaps the most visually striking</w:t>
      </w:r>
      <w:r w:rsidR="00635580">
        <w:t>, informative,</w:t>
      </w:r>
      <w:r w:rsidR="00FB1AA8">
        <w:t xml:space="preserve"> yet also </w:t>
      </w:r>
      <w:r w:rsidR="006B5F8F">
        <w:t xml:space="preserve">most deteriorated parts of the tomb </w:t>
      </w:r>
      <w:r w:rsidR="00635580">
        <w:t>are the</w:t>
      </w:r>
      <w:r w:rsidR="00C82080">
        <w:t xml:space="preserve"> </w:t>
      </w:r>
      <w:r w:rsidR="00152134">
        <w:t>painted inscriptions</w:t>
      </w:r>
      <w:r w:rsidR="0051452F">
        <w:t xml:space="preserve"> and scenes</w:t>
      </w:r>
      <w:r w:rsidR="00152134">
        <w:t>.</w:t>
      </w:r>
      <w:r w:rsidR="0051452F">
        <w:t xml:space="preserve"> </w:t>
      </w:r>
      <w:r w:rsidR="00A94BCF">
        <w:t xml:space="preserve">Most of the remaining plaster </w:t>
      </w:r>
      <w:r w:rsidR="009A7539">
        <w:t xml:space="preserve">decoration </w:t>
      </w:r>
      <w:r w:rsidR="009A7539">
        <w:lastRenderedPageBreak/>
        <w:t>is to be found on the ceiling and on the top first meter of each wall</w:t>
      </w:r>
      <w:r w:rsidR="00DD2116">
        <w:t xml:space="preserve">, the rear room is in slightly better condition </w:t>
      </w:r>
      <w:r w:rsidR="001C3BA6">
        <w:t>however the major areas of painted plaster are still confined to the top 1.5 meters</w:t>
      </w:r>
      <w:r w:rsidR="005E3264">
        <w:t>.</w:t>
      </w:r>
      <w:r w:rsidR="005E3264">
        <w:rPr>
          <w:rStyle w:val="FootnoteReference"/>
        </w:rPr>
        <w:footnoteReference w:id="23"/>
      </w:r>
      <w:r w:rsidR="00144D8E">
        <w:t xml:space="preserve"> The insights to be gained from these walls however are priceless</w:t>
      </w:r>
      <w:r w:rsidR="00831B58">
        <w:t xml:space="preserve"> in examining Senneferi’s position in ancient Egyptian society.</w:t>
      </w:r>
      <w:r w:rsidR="00CD5607">
        <w:t xml:space="preserve"> The title that appears with the most frequency is that </w:t>
      </w:r>
      <w:r w:rsidR="000312F4">
        <w:t xml:space="preserve">of </w:t>
      </w:r>
      <w:r w:rsidR="0073651A" w:rsidRPr="0073651A">
        <w:rPr>
          <w:i/>
          <w:iCs/>
        </w:rPr>
        <w:t>imy-r sḏꜣwty</w:t>
      </w:r>
      <w:r w:rsidR="0073651A">
        <w:rPr>
          <w:i/>
          <w:iCs/>
        </w:rPr>
        <w:t>,</w:t>
      </w:r>
      <w:r w:rsidR="001774F0">
        <w:t xml:space="preserve"> </w:t>
      </w:r>
      <w:r w:rsidR="001774F0">
        <w:t>appearing on all but one monument</w:t>
      </w:r>
      <w:r w:rsidR="003E39F6">
        <w:t xml:space="preserve"> and </w:t>
      </w:r>
      <w:proofErr w:type="spellStart"/>
      <w:r w:rsidR="003E39F6">
        <w:t>meaninf</w:t>
      </w:r>
      <w:proofErr w:type="spellEnd"/>
      <w:r w:rsidR="0073651A">
        <w:t xml:space="preserve"> </w:t>
      </w:r>
      <w:r w:rsidR="00FB092A" w:rsidRPr="00FB092A">
        <w:t>‘overseer of seal-bearers’, ‘chancellor’</w:t>
      </w:r>
      <w:r w:rsidR="00534056">
        <w:t>, or</w:t>
      </w:r>
      <w:r w:rsidR="00FB092A" w:rsidRPr="00FB092A">
        <w:t xml:space="preserve"> ‘treasure</w:t>
      </w:r>
      <w:r w:rsidR="00534056">
        <w:t>r’</w:t>
      </w:r>
      <w:r w:rsidR="00A26E47">
        <w:t>.</w:t>
      </w:r>
      <w:r w:rsidR="00A26E47">
        <w:rPr>
          <w:rStyle w:val="FootnoteReference"/>
        </w:rPr>
        <w:footnoteReference w:id="24"/>
      </w:r>
      <w:r w:rsidR="00A26E47">
        <w:t xml:space="preserve"> It was clearly the most important title to Senneferi himself.</w:t>
      </w:r>
      <w:r w:rsidR="002A65BF">
        <w:t xml:space="preserve"> This title has its origins in the 11</w:t>
      </w:r>
      <w:r w:rsidR="002A65BF" w:rsidRPr="002A65BF">
        <w:rPr>
          <w:vertAlign w:val="superscript"/>
        </w:rPr>
        <w:t>th</w:t>
      </w:r>
      <w:r w:rsidR="002A65BF">
        <w:t xml:space="preserve"> dynasty and usually designated the official who oversaw the personal wealth and resources of the </w:t>
      </w:r>
      <w:r w:rsidR="005F0D0A">
        <w:t>k</w:t>
      </w:r>
      <w:r w:rsidR="002A65BF">
        <w:t>ing</w:t>
      </w:r>
      <w:r w:rsidR="00BA0EF9">
        <w:t xml:space="preserve">; in the </w:t>
      </w:r>
      <w:r w:rsidR="00EA03AE">
        <w:t xml:space="preserve">earlier </w:t>
      </w:r>
      <w:r w:rsidR="00BA0EF9">
        <w:t>18</w:t>
      </w:r>
      <w:r w:rsidR="00BA0EF9" w:rsidRPr="00BA0EF9">
        <w:rPr>
          <w:vertAlign w:val="superscript"/>
        </w:rPr>
        <w:t>th</w:t>
      </w:r>
      <w:r w:rsidR="00BA0EF9">
        <w:t xml:space="preserve"> dynasty</w:t>
      </w:r>
      <w:r w:rsidR="00EA03AE">
        <w:t xml:space="preserve"> this title also became concerned with the organisation of foreign ex</w:t>
      </w:r>
      <w:r w:rsidR="001769CD">
        <w:t>peditions</w:t>
      </w:r>
      <w:r w:rsidR="00045931">
        <w:t xml:space="preserve"> and with some aspects of foreign tribute</w:t>
      </w:r>
      <w:r w:rsidR="002A65BF">
        <w:t>.</w:t>
      </w:r>
      <w:r w:rsidR="002A65BF">
        <w:rPr>
          <w:rStyle w:val="FootnoteReference"/>
        </w:rPr>
        <w:footnoteReference w:id="25"/>
      </w:r>
      <w:r w:rsidR="00045931">
        <w:t xml:space="preserve"> </w:t>
      </w:r>
      <w:r w:rsidR="00380DCA">
        <w:t xml:space="preserve">We know from inscriptions </w:t>
      </w:r>
      <w:r w:rsidR="00B56F4A">
        <w:t xml:space="preserve">that Senneferi was involved in such expeditions, </w:t>
      </w:r>
      <w:proofErr w:type="spellStart"/>
      <w:r w:rsidR="00B56F4A">
        <w:t>Sethe</w:t>
      </w:r>
      <w:proofErr w:type="spellEnd"/>
      <w:r w:rsidR="00B56F4A">
        <w:t xml:space="preserve"> considered the scene</w:t>
      </w:r>
      <w:r w:rsidR="00C77A8D">
        <w:t xml:space="preserve">s on Wall </w:t>
      </w:r>
      <w:r w:rsidR="00FA05B7">
        <w:t xml:space="preserve">3 and </w:t>
      </w:r>
      <w:r w:rsidR="00C77A8D">
        <w:t xml:space="preserve">4, either side of the entrance to the passage to </w:t>
      </w:r>
      <w:r w:rsidR="00D7299E">
        <w:t>depict Senneferi being sent by Thutmose III on a mission to Lebanon to obtain wood</w:t>
      </w:r>
      <w:r w:rsidR="005F0D0A">
        <w:t xml:space="preserve"> and on his return presenting it to the king.</w:t>
      </w:r>
      <w:r w:rsidR="00A157B1">
        <w:rPr>
          <w:rStyle w:val="FootnoteReference"/>
        </w:rPr>
        <w:footnoteReference w:id="26"/>
      </w:r>
      <w:r w:rsidR="00593E2E">
        <w:t xml:space="preserve"> </w:t>
      </w:r>
    </w:p>
    <w:p w14:paraId="174E765F" w14:textId="77777777" w:rsidR="00B66D0F" w:rsidRDefault="00B66D0F" w:rsidP="0002734C"/>
    <w:p w14:paraId="73487F96" w14:textId="4A04BE4B" w:rsidR="0002734C" w:rsidRDefault="0033549C" w:rsidP="00B66D0F">
      <w:pPr>
        <w:ind w:firstLine="720"/>
      </w:pPr>
      <w:r>
        <w:t xml:space="preserve">Senneferi is one of only two holders of </w:t>
      </w:r>
      <w:r w:rsidR="00391B5D">
        <w:t xml:space="preserve">the title </w:t>
      </w:r>
      <w:r w:rsidR="00391B5D" w:rsidRPr="00391B5D">
        <w:rPr>
          <w:i/>
          <w:iCs/>
        </w:rPr>
        <w:t>imy-r s</w:t>
      </w:r>
      <w:r w:rsidR="00391B5D" w:rsidRPr="00391B5D">
        <w:rPr>
          <w:i/>
          <w:iCs/>
        </w:rPr>
        <w:t>ḏꜣ</w:t>
      </w:r>
      <w:r w:rsidR="00391B5D" w:rsidRPr="00391B5D">
        <w:rPr>
          <w:i/>
          <w:iCs/>
        </w:rPr>
        <w:t>wty</w:t>
      </w:r>
      <w:r w:rsidR="00391B5D">
        <w:t xml:space="preserve"> of whom we know a significant amount</w:t>
      </w:r>
      <w:r w:rsidR="00DC3C9E">
        <w:t xml:space="preserve">, his personal biography written </w:t>
      </w:r>
      <w:r w:rsidR="00252EA2">
        <w:t>on Wall 12 is therefore incredibly important.</w:t>
      </w:r>
      <w:r w:rsidR="00252EA2">
        <w:rPr>
          <w:rStyle w:val="FootnoteReference"/>
        </w:rPr>
        <w:footnoteReference w:id="27"/>
      </w:r>
      <w:r w:rsidR="00252EA2">
        <w:t xml:space="preserve"> </w:t>
      </w:r>
      <w:r w:rsidR="00B66D0F">
        <w:t xml:space="preserve">From this text, portioned into three </w:t>
      </w:r>
      <w:r w:rsidR="005A317A">
        <w:t xml:space="preserve">chronological </w:t>
      </w:r>
      <w:r w:rsidR="00B66D0F">
        <w:t>offices</w:t>
      </w:r>
      <w:r w:rsidR="005A317A">
        <w:t>, we can track his career.</w:t>
      </w:r>
      <w:r w:rsidR="00425B29">
        <w:t xml:space="preserve"> </w:t>
      </w:r>
      <w:r w:rsidR="00334957">
        <w:t>The first stage of his career</w:t>
      </w:r>
      <w:r w:rsidR="009F4AB9">
        <w:t xml:space="preserve"> was vaguely titled </w:t>
      </w:r>
      <w:r w:rsidR="009F5C25" w:rsidRPr="009F5C25">
        <w:rPr>
          <w:i/>
          <w:iCs/>
        </w:rPr>
        <w:t>r</w:t>
      </w:r>
      <w:r w:rsidR="000B5F0B" w:rsidRPr="009F5C25">
        <w:rPr>
          <w:i/>
          <w:iCs/>
        </w:rPr>
        <w:t xml:space="preserve"> </w:t>
      </w:r>
      <w:proofErr w:type="spellStart"/>
      <w:r w:rsidR="000B5F0B" w:rsidRPr="009F5C25">
        <w:rPr>
          <w:i/>
          <w:iCs/>
        </w:rPr>
        <w:t>ḥry</w:t>
      </w:r>
      <w:proofErr w:type="spellEnd"/>
      <w:r w:rsidR="009F5C25" w:rsidRPr="009F5C25">
        <w:rPr>
          <w:i/>
          <w:iCs/>
        </w:rPr>
        <w:t xml:space="preserve"> m</w:t>
      </w:r>
      <w:r w:rsidR="009F5C25">
        <w:t xml:space="preserve">, </w:t>
      </w:r>
      <w:r w:rsidR="004B06A7">
        <w:t>‘</w:t>
      </w:r>
      <w:r w:rsidR="004C33BC">
        <w:t>the mouth which is in charge of [that which is and that which is not</w:t>
      </w:r>
      <w:r w:rsidR="0030640E">
        <w:t>]</w:t>
      </w:r>
      <w:r w:rsidR="004B06A7">
        <w:t>’;</w:t>
      </w:r>
      <w:r w:rsidR="00481B24">
        <w:t xml:space="preserve"> this position, although vague, shows the strength of his connection to the king</w:t>
      </w:r>
      <w:r w:rsidR="007300D8">
        <w:t>.</w:t>
      </w:r>
      <w:r w:rsidR="00AB7162">
        <w:rPr>
          <w:rStyle w:val="FootnoteReference"/>
        </w:rPr>
        <w:footnoteReference w:id="28"/>
      </w:r>
      <w:r w:rsidR="007300D8">
        <w:t xml:space="preserve"> </w:t>
      </w:r>
      <w:r w:rsidR="00AB7162">
        <w:t>D</w:t>
      </w:r>
      <w:r w:rsidR="007300D8">
        <w:t xml:space="preserve">uring this stage he is also entrusted to supervise the overseers </w:t>
      </w:r>
      <w:r w:rsidR="00D06955">
        <w:t>of the storehouses due to his wisdom.</w:t>
      </w:r>
      <w:r w:rsidR="00AB7162">
        <w:t xml:space="preserve"> </w:t>
      </w:r>
      <w:r w:rsidR="00B93D45">
        <w:t>During t</w:t>
      </w:r>
      <w:r w:rsidR="00AB7162">
        <w:t>he second stage</w:t>
      </w:r>
      <w:r w:rsidR="009F4AB9">
        <w:t xml:space="preserve">, </w:t>
      </w:r>
      <w:r w:rsidR="009F4AB9" w:rsidRPr="009D53AD">
        <w:rPr>
          <w:i/>
          <w:iCs/>
        </w:rPr>
        <w:t>i</w:t>
      </w:r>
      <w:r w:rsidR="009D53AD" w:rsidRPr="009D53AD">
        <w:rPr>
          <w:i/>
          <w:iCs/>
        </w:rPr>
        <w:t>my-r sḏꜣwty</w:t>
      </w:r>
      <w:r w:rsidR="009D53AD">
        <w:t xml:space="preserve">, </w:t>
      </w:r>
      <w:r w:rsidR="00B93D45">
        <w:t xml:space="preserve">he was brought to Thebes and placed as overseer of </w:t>
      </w:r>
      <w:r w:rsidR="00E76DBC">
        <w:t>two granaries</w:t>
      </w:r>
      <w:r w:rsidR="0024396A">
        <w:t>.</w:t>
      </w:r>
      <w:r w:rsidR="0024396A">
        <w:rPr>
          <w:rStyle w:val="FootnoteReference"/>
        </w:rPr>
        <w:footnoteReference w:id="29"/>
      </w:r>
      <w:r w:rsidR="0024396A">
        <w:t xml:space="preserve"> </w:t>
      </w:r>
      <w:r w:rsidR="00A01FCC">
        <w:t xml:space="preserve">The third and final clear office is that of </w:t>
      </w:r>
      <w:proofErr w:type="spellStart"/>
      <w:r w:rsidR="00A01FCC" w:rsidRPr="00A01FCC">
        <w:rPr>
          <w:i/>
          <w:iCs/>
        </w:rPr>
        <w:t>ḥꜥty</w:t>
      </w:r>
      <w:proofErr w:type="spellEnd"/>
      <w:r w:rsidR="00A01FCC" w:rsidRPr="00A01FCC">
        <w:rPr>
          <w:i/>
          <w:iCs/>
        </w:rPr>
        <w:t>-</w:t>
      </w:r>
      <w:r w:rsidR="00EF1CB1">
        <w:rPr>
          <w:i/>
          <w:iCs/>
        </w:rPr>
        <w:t>ꜥ</w:t>
      </w:r>
      <w:r w:rsidR="00A01FCC">
        <w:rPr>
          <w:i/>
          <w:iCs/>
        </w:rPr>
        <w:t xml:space="preserve"> </w:t>
      </w:r>
      <w:r w:rsidR="00EF1CB1">
        <w:rPr>
          <w:i/>
          <w:iCs/>
        </w:rPr>
        <w:t xml:space="preserve">imy-r </w:t>
      </w:r>
      <w:proofErr w:type="spellStart"/>
      <w:r w:rsidR="009C011F">
        <w:rPr>
          <w:i/>
          <w:iCs/>
        </w:rPr>
        <w:t>ḥmw</w:t>
      </w:r>
      <w:proofErr w:type="spellEnd"/>
      <w:r w:rsidR="00EF1CB1">
        <w:rPr>
          <w:i/>
          <w:iCs/>
        </w:rPr>
        <w:t xml:space="preserve"> </w:t>
      </w:r>
      <w:r w:rsidR="009C011F">
        <w:rPr>
          <w:i/>
          <w:iCs/>
        </w:rPr>
        <w:t>nṯrw</w:t>
      </w:r>
      <w:r w:rsidR="00EF1CB1">
        <w:rPr>
          <w:i/>
          <w:iCs/>
        </w:rPr>
        <w:t xml:space="preserve"> </w:t>
      </w:r>
      <w:r w:rsidR="009C011F">
        <w:rPr>
          <w:i/>
          <w:iCs/>
        </w:rPr>
        <w:t>n</w:t>
      </w:r>
      <w:r w:rsidR="00EF1CB1">
        <w:rPr>
          <w:i/>
          <w:iCs/>
        </w:rPr>
        <w:t xml:space="preserve"> </w:t>
      </w:r>
      <w:proofErr w:type="spellStart"/>
      <w:r w:rsidR="009C011F">
        <w:rPr>
          <w:i/>
          <w:iCs/>
        </w:rPr>
        <w:t>sbk</w:t>
      </w:r>
      <w:proofErr w:type="spellEnd"/>
      <w:r w:rsidR="00EF1CB1">
        <w:rPr>
          <w:i/>
          <w:iCs/>
        </w:rPr>
        <w:t xml:space="preserve"> </w:t>
      </w:r>
      <w:r w:rsidR="009C011F">
        <w:rPr>
          <w:i/>
          <w:iCs/>
        </w:rPr>
        <w:t>n</w:t>
      </w:r>
      <w:r w:rsidR="00EF1CB1">
        <w:rPr>
          <w:i/>
          <w:iCs/>
        </w:rPr>
        <w:t xml:space="preserve"> </w:t>
      </w:r>
      <w:proofErr w:type="spellStart"/>
      <w:r w:rsidR="009C011F">
        <w:rPr>
          <w:i/>
          <w:iCs/>
        </w:rPr>
        <w:t>inpw</w:t>
      </w:r>
      <w:proofErr w:type="spellEnd"/>
      <w:r w:rsidR="00A01FCC">
        <w:t xml:space="preserve">, </w:t>
      </w:r>
      <w:r w:rsidR="00387079">
        <w:t>‘</w:t>
      </w:r>
      <w:proofErr w:type="spellStart"/>
      <w:r w:rsidR="00387079" w:rsidRPr="00A01FCC">
        <w:rPr>
          <w:i/>
          <w:iCs/>
        </w:rPr>
        <w:t>ḥꜥty</w:t>
      </w:r>
      <w:proofErr w:type="spellEnd"/>
      <w:r w:rsidR="00387079" w:rsidRPr="00A01FCC">
        <w:rPr>
          <w:i/>
          <w:iCs/>
        </w:rPr>
        <w:t>-</w:t>
      </w:r>
      <w:r w:rsidR="00387079">
        <w:rPr>
          <w:i/>
          <w:iCs/>
        </w:rPr>
        <w:t>ꜥ</w:t>
      </w:r>
      <w:r w:rsidR="00387079">
        <w:t xml:space="preserve"> and overseer of </w:t>
      </w:r>
      <w:proofErr w:type="spellStart"/>
      <w:r w:rsidR="00387079">
        <w:t>preists</w:t>
      </w:r>
      <w:proofErr w:type="spellEnd"/>
      <w:r w:rsidR="00387079">
        <w:t xml:space="preserve"> of Sobek and Anubis</w:t>
      </w:r>
      <w:r w:rsidR="00180107">
        <w:t>.</w:t>
      </w:r>
      <w:r w:rsidR="00380AAD">
        <w:t>’</w:t>
      </w:r>
      <w:r w:rsidR="00180107">
        <w:rPr>
          <w:rStyle w:val="FootnoteReference"/>
        </w:rPr>
        <w:footnoteReference w:id="30"/>
      </w:r>
      <w:r w:rsidR="00180107">
        <w:t xml:space="preserve"> </w:t>
      </w:r>
      <w:r w:rsidR="00EF52E8">
        <w:t xml:space="preserve">This position </w:t>
      </w:r>
      <w:proofErr w:type="spellStart"/>
      <w:r w:rsidR="00380AAD" w:rsidRPr="00A01FCC">
        <w:rPr>
          <w:i/>
          <w:iCs/>
        </w:rPr>
        <w:t>ḥꜥty</w:t>
      </w:r>
      <w:proofErr w:type="spellEnd"/>
      <w:r w:rsidR="00380AAD" w:rsidRPr="00A01FCC">
        <w:rPr>
          <w:i/>
          <w:iCs/>
        </w:rPr>
        <w:t>-</w:t>
      </w:r>
      <w:r w:rsidR="00380AAD">
        <w:rPr>
          <w:i/>
          <w:iCs/>
        </w:rPr>
        <w:t>ꜥ</w:t>
      </w:r>
      <w:r w:rsidR="00380AAD">
        <w:rPr>
          <w:i/>
          <w:iCs/>
        </w:rPr>
        <w:t xml:space="preserve"> </w:t>
      </w:r>
      <w:r w:rsidR="00380AAD">
        <w:t>is also referenced on funerary cone DM 154</w:t>
      </w:r>
      <w:r w:rsidR="00522974">
        <w:t xml:space="preserve"> where it is described as seal-bearer of the city.</w:t>
      </w:r>
      <w:r w:rsidR="00522974">
        <w:rPr>
          <w:rStyle w:val="FootnoteReference"/>
        </w:rPr>
        <w:footnoteReference w:id="31"/>
      </w:r>
      <w:r w:rsidR="00522974">
        <w:t xml:space="preserve"> The position roughly seems to translate to mayor</w:t>
      </w:r>
      <w:r w:rsidR="00092EEF">
        <w:t>, however the religious connotation appears elsewhere as</w:t>
      </w:r>
      <w:r w:rsidR="000669F2">
        <w:t xml:space="preserve"> </w:t>
      </w:r>
      <w:r w:rsidR="00092EEF">
        <w:t>well. On Wall 1, scene 2 of the deceased giving their dues, Senneferi is described</w:t>
      </w:r>
      <w:r w:rsidR="0028669E">
        <w:t>, ‘</w:t>
      </w:r>
      <w:r w:rsidR="0028669E" w:rsidRPr="0028669E">
        <w:rPr>
          <w:i/>
          <w:iCs/>
        </w:rPr>
        <w:t>ḥꜣ</w:t>
      </w:r>
      <w:r w:rsidR="0028669E" w:rsidRPr="0028669E">
        <w:rPr>
          <w:i/>
          <w:iCs/>
        </w:rPr>
        <w:t>ty-</w:t>
      </w:r>
      <w:r w:rsidR="0028669E" w:rsidRPr="0028669E">
        <w:rPr>
          <w:i/>
          <w:iCs/>
        </w:rPr>
        <w:t>ꜣ</w:t>
      </w:r>
      <w:r w:rsidR="0028669E" w:rsidRPr="0028669E">
        <w:t>, the overseer of priests of all the gods</w:t>
      </w:r>
      <w:r w:rsidR="0028669E">
        <w:t>’.</w:t>
      </w:r>
      <w:r w:rsidR="0028669E">
        <w:rPr>
          <w:rStyle w:val="FootnoteReference"/>
        </w:rPr>
        <w:footnoteReference w:id="32"/>
      </w:r>
      <w:r w:rsidR="00104448">
        <w:t xml:space="preserve"> </w:t>
      </w:r>
      <w:r w:rsidR="00104448" w:rsidRPr="00A618F3">
        <w:t>These</w:t>
      </w:r>
      <w:r w:rsidR="00104448">
        <w:t xml:space="preserve"> titles, although we should not read too far into their </w:t>
      </w:r>
      <w:r w:rsidR="00C9013A">
        <w:t xml:space="preserve">authority, display clearly the </w:t>
      </w:r>
      <w:r w:rsidR="00160A8A">
        <w:t xml:space="preserve">secular and religious </w:t>
      </w:r>
      <w:r w:rsidR="00C9013A">
        <w:t>titles by which Senneferi wanted to associate his career</w:t>
      </w:r>
      <w:r w:rsidR="00A907A6">
        <w:t>.</w:t>
      </w:r>
      <w:r w:rsidR="0085297A">
        <w:t xml:space="preserve"> </w:t>
      </w:r>
      <w:r w:rsidR="00C22F1B">
        <w:t xml:space="preserve">It is possible, with reference to his titles, to theorise where Senneferi was originally from: the title of his father </w:t>
      </w:r>
      <w:proofErr w:type="spellStart"/>
      <w:r w:rsidR="00C22F1B">
        <w:t>Haydjehuty</w:t>
      </w:r>
      <w:proofErr w:type="spellEnd"/>
      <w:r w:rsidR="00C22F1B">
        <w:t xml:space="preserve"> </w:t>
      </w:r>
      <w:r w:rsidR="00C22F1B">
        <w:rPr>
          <w:i/>
          <w:iCs/>
        </w:rPr>
        <w:t xml:space="preserve">imy-r m </w:t>
      </w:r>
      <w:proofErr w:type="spellStart"/>
      <w:r w:rsidR="00C22F1B">
        <w:rPr>
          <w:i/>
          <w:iCs/>
        </w:rPr>
        <w:t>wꜣtt-</w:t>
      </w:r>
      <w:r w:rsidR="00C22F1B" w:rsidRPr="00A618F3">
        <w:t>ḥr</w:t>
      </w:r>
      <w:proofErr w:type="spellEnd"/>
      <w:r w:rsidR="00C22F1B">
        <w:t xml:space="preserve"> probably refers to a location in the north-east delta; other sources also seem to confirm this.</w:t>
      </w:r>
      <w:r w:rsidR="00C22F1B">
        <w:rPr>
          <w:rStyle w:val="FootnoteReference"/>
        </w:rPr>
        <w:footnoteReference w:id="33"/>
      </w:r>
    </w:p>
    <w:p w14:paraId="2FB9E68C" w14:textId="77777777" w:rsidR="007C5E89" w:rsidRDefault="007C5E89" w:rsidP="00B66D0F">
      <w:pPr>
        <w:ind w:firstLine="720"/>
      </w:pPr>
    </w:p>
    <w:p w14:paraId="4B8BF84C" w14:textId="4AFD7C57" w:rsidR="00160A8A" w:rsidRDefault="00B2627F" w:rsidP="005D2EA1">
      <w:pPr>
        <w:ind w:firstLine="720"/>
      </w:pPr>
      <w:r>
        <w:t xml:space="preserve">Senneferi was likely buried in tomb </w:t>
      </w:r>
      <w:r w:rsidR="00C22F1B">
        <w:t>s</w:t>
      </w:r>
      <w:r>
        <w:t>haft I</w:t>
      </w:r>
      <w:r w:rsidR="0092248A">
        <w:t xml:space="preserve"> along with members of his family</w:t>
      </w:r>
      <w:r w:rsidR="0050342A">
        <w:t>.</w:t>
      </w:r>
      <w:r w:rsidR="0050342A">
        <w:rPr>
          <w:rStyle w:val="FootnoteReference"/>
        </w:rPr>
        <w:footnoteReference w:id="34"/>
      </w:r>
      <w:r w:rsidR="0050342A">
        <w:t xml:space="preserve"> </w:t>
      </w:r>
      <w:r w:rsidR="00CC23D8">
        <w:t xml:space="preserve">The </w:t>
      </w:r>
      <w:r w:rsidR="00101A3F">
        <w:t xml:space="preserve">shaft has three rooms </w:t>
      </w:r>
      <w:r w:rsidR="00B70FC8">
        <w:t xml:space="preserve">connected by 2 </w:t>
      </w:r>
      <w:r w:rsidR="0096188B">
        <w:t>corridors</w:t>
      </w:r>
      <w:r w:rsidR="00B70FC8">
        <w:t xml:space="preserve"> and a ‘stair</w:t>
      </w:r>
      <w:r w:rsidR="00322937">
        <w:t xml:space="preserve">case </w:t>
      </w:r>
      <w:r w:rsidR="00B70FC8">
        <w:t>shaft’</w:t>
      </w:r>
      <w:r w:rsidR="00D23B8D">
        <w:t xml:space="preserve">; </w:t>
      </w:r>
      <w:r w:rsidR="00652E4E">
        <w:t xml:space="preserve">most of the finds </w:t>
      </w:r>
      <w:r w:rsidR="00652E4E">
        <w:lastRenderedPageBreak/>
        <w:t>were discovered in rooms 2 and 3</w:t>
      </w:r>
      <w:r w:rsidR="00F35E22">
        <w:t xml:space="preserve"> meaning that it was likely in this lower section that Senneferi and his family were buried.</w:t>
      </w:r>
      <w:r w:rsidR="00F35E22">
        <w:rPr>
          <w:rStyle w:val="FootnoteReference"/>
        </w:rPr>
        <w:footnoteReference w:id="35"/>
      </w:r>
      <w:r w:rsidR="0096188B">
        <w:t xml:space="preserve"> The assemblage from this shaft </w:t>
      </w:r>
      <w:r w:rsidR="000D149C">
        <w:t>is fascinating and contains</w:t>
      </w:r>
      <w:r w:rsidR="00F2201C">
        <w:t xml:space="preserve"> ‘black type’ coffin fragments </w:t>
      </w:r>
      <w:r w:rsidR="00042570">
        <w:t>from at least four coffins.</w:t>
      </w:r>
      <w:r w:rsidR="00042570">
        <w:rPr>
          <w:rStyle w:val="FootnoteReference"/>
        </w:rPr>
        <w:footnoteReference w:id="36"/>
      </w:r>
      <w:r w:rsidR="00C70DF3">
        <w:t xml:space="preserve"> It contains an incredible ceramic collection, jewellery, </w:t>
      </w:r>
      <w:r w:rsidR="00876599">
        <w:t xml:space="preserve">a collection of stone vessels, </w:t>
      </w:r>
      <w:r w:rsidR="00F50956">
        <w:t xml:space="preserve">furniture, fabric, and human and animal </w:t>
      </w:r>
      <w:r w:rsidR="00D23ACB">
        <w:t>remains.</w:t>
      </w:r>
      <w:r w:rsidR="009738E5">
        <w:rPr>
          <w:rStyle w:val="FootnoteReference"/>
        </w:rPr>
        <w:footnoteReference w:id="37"/>
      </w:r>
      <w:r w:rsidR="002C08DA">
        <w:t xml:space="preserve"> Within this assemblage is also a</w:t>
      </w:r>
      <w:r w:rsidR="003477E3">
        <w:t>n incredible survival of implements relating to the opening of the mouth ceremony</w:t>
      </w:r>
      <w:r w:rsidR="00180208">
        <w:t>, these implements are uni</w:t>
      </w:r>
      <w:r w:rsidR="009C18CC">
        <w:t>que among Theban tombs.</w:t>
      </w:r>
      <w:r w:rsidR="009C18CC">
        <w:rPr>
          <w:rStyle w:val="FootnoteReference"/>
        </w:rPr>
        <w:footnoteReference w:id="38"/>
      </w:r>
      <w:r w:rsidR="008C44E5">
        <w:t xml:space="preserve"> The rarity of this assemblage was only increased post excavation with the discovery of a hieratic label</w:t>
      </w:r>
      <w:r w:rsidR="00F67ED7">
        <w:t xml:space="preserve"> that lists </w:t>
      </w:r>
      <w:r w:rsidR="00AA401F">
        <w:t>‘implements for the funerary ritual (and) meat – assembled together. Nine (items) of ebony (and) the adze (named</w:t>
      </w:r>
      <w:r w:rsidR="00AA401F" w:rsidRPr="005D2EA1">
        <w:rPr>
          <w:i/>
          <w:iCs/>
        </w:rPr>
        <w:t>) Imy-</w:t>
      </w:r>
      <w:proofErr w:type="spellStart"/>
      <w:r w:rsidR="00AA401F" w:rsidRPr="005D2EA1">
        <w:rPr>
          <w:i/>
          <w:iCs/>
        </w:rPr>
        <w:t>w</w:t>
      </w:r>
      <w:r w:rsidR="005D2EA1" w:rsidRPr="005D2EA1">
        <w:rPr>
          <w:i/>
          <w:iCs/>
        </w:rPr>
        <w:t>t</w:t>
      </w:r>
      <w:proofErr w:type="spellEnd"/>
      <w:r w:rsidR="005D2EA1">
        <w:t xml:space="preserve"> of ivory’</w:t>
      </w:r>
      <w:r w:rsidR="00A444D6">
        <w:t xml:space="preserve">, no </w:t>
      </w:r>
      <w:r w:rsidR="00003D32">
        <w:t xml:space="preserve">other </w:t>
      </w:r>
      <w:r w:rsidR="00A444D6">
        <w:t>contemporary labels exist</w:t>
      </w:r>
      <w:r w:rsidR="00003D32">
        <w:t>, the closest parallels being from the tombs of Amenhotep II and Tutankhamun.</w:t>
      </w:r>
      <w:r w:rsidR="005D2EA1">
        <w:rPr>
          <w:rStyle w:val="FootnoteReference"/>
        </w:rPr>
        <w:footnoteReference w:id="39"/>
      </w:r>
      <w:r w:rsidR="005D2EA1">
        <w:t xml:space="preserve"> </w:t>
      </w:r>
      <w:r w:rsidR="006B78F6">
        <w:t xml:space="preserve">No items of ebony have been found in the tomb and </w:t>
      </w:r>
      <w:r w:rsidR="00FF2B72">
        <w:t xml:space="preserve">likely these described items fell victim to robbery, </w:t>
      </w:r>
      <w:r w:rsidR="006A0662">
        <w:t>much of the surviving material however aside from the wooden ox-leg, was likely used in the ceremony itself.</w:t>
      </w:r>
      <w:r w:rsidR="006A0662">
        <w:rPr>
          <w:rStyle w:val="FootnoteReference"/>
        </w:rPr>
        <w:footnoteReference w:id="40"/>
      </w:r>
    </w:p>
    <w:p w14:paraId="53E9A9A4" w14:textId="77777777" w:rsidR="006A0662" w:rsidRDefault="006A0662" w:rsidP="005D2EA1">
      <w:pPr>
        <w:ind w:firstLine="720"/>
      </w:pPr>
    </w:p>
    <w:p w14:paraId="010165D7" w14:textId="622D3351" w:rsidR="006A0662" w:rsidRDefault="000322DA" w:rsidP="005D2EA1">
      <w:pPr>
        <w:ind w:firstLine="720"/>
      </w:pPr>
      <w:r>
        <w:t xml:space="preserve">Another of the particularly special </w:t>
      </w:r>
      <w:r w:rsidR="00D21073">
        <w:t xml:space="preserve">collections of items is that of the food and drink found in </w:t>
      </w:r>
      <w:r w:rsidR="00A32E1F">
        <w:t xml:space="preserve">within the tomb. </w:t>
      </w:r>
      <w:r w:rsidR="00712F27">
        <w:t xml:space="preserve">The </w:t>
      </w:r>
      <w:r w:rsidR="00DE31F0">
        <w:t xml:space="preserve">leaving of food offerings in Egypt </w:t>
      </w:r>
      <w:r w:rsidR="00173D84">
        <w:t xml:space="preserve">was practiced in the Old Kingdom but </w:t>
      </w:r>
      <w:r w:rsidR="0055767D">
        <w:t>eventually</w:t>
      </w:r>
      <w:r w:rsidR="008E0456">
        <w:t xml:space="preserve">, with </w:t>
      </w:r>
      <w:r w:rsidR="00406EA8">
        <w:t xml:space="preserve">the nourishing of the dead was </w:t>
      </w:r>
      <w:r w:rsidR="00164476">
        <w:t>mostly taken care of by magic and ritual,</w:t>
      </w:r>
      <w:r w:rsidR="008E0456">
        <w:t xml:space="preserve"> t</w:t>
      </w:r>
      <w:r w:rsidR="00164476">
        <w:t xml:space="preserve">he custom appears to have </w:t>
      </w:r>
      <w:r w:rsidR="00173D84">
        <w:t xml:space="preserve">waned until the </w:t>
      </w:r>
      <w:r w:rsidR="00406EA8">
        <w:t xml:space="preserve">New </w:t>
      </w:r>
      <w:r w:rsidR="00164476">
        <w:t xml:space="preserve">Kingdom when it saw a </w:t>
      </w:r>
      <w:r w:rsidR="0033053D">
        <w:t xml:space="preserve">significant </w:t>
      </w:r>
      <w:r w:rsidR="00164476">
        <w:t>resurgence</w:t>
      </w:r>
      <w:r w:rsidR="0033053D">
        <w:t>.</w:t>
      </w:r>
      <w:r w:rsidR="0033053D">
        <w:rPr>
          <w:rStyle w:val="FootnoteReference"/>
        </w:rPr>
        <w:footnoteReference w:id="41"/>
      </w:r>
      <w:r w:rsidR="00C13789">
        <w:t xml:space="preserve"> A total of 181 animal bone fragments were found </w:t>
      </w:r>
      <w:r w:rsidR="00ED2CED">
        <w:t>in Shaft I</w:t>
      </w:r>
      <w:r w:rsidR="004A2888">
        <w:t xml:space="preserve"> from a range of different species.</w:t>
      </w:r>
      <w:r w:rsidR="004A2888">
        <w:rPr>
          <w:rStyle w:val="FootnoteReference"/>
        </w:rPr>
        <w:footnoteReference w:id="42"/>
      </w:r>
      <w:r w:rsidR="00592D76">
        <w:t xml:space="preserve"> </w:t>
      </w:r>
      <w:r w:rsidR="00F10CEF">
        <w:t xml:space="preserve">8 of the </w:t>
      </w:r>
      <w:r w:rsidR="00973402">
        <w:t>S</w:t>
      </w:r>
      <w:r w:rsidR="00F10CEF">
        <w:t xml:space="preserve">haft I fragments </w:t>
      </w:r>
      <w:r w:rsidR="00973402">
        <w:t>had been burnt</w:t>
      </w:r>
      <w:r w:rsidR="001D5D82">
        <w:t xml:space="preserve">, however </w:t>
      </w:r>
      <w:r w:rsidR="007706A4">
        <w:t xml:space="preserve">these are likely from the later occupants as the Egyptians </w:t>
      </w:r>
      <w:r w:rsidR="00A93331">
        <w:t>expected the animals or joints to be dealt with in the afterlife.</w:t>
      </w:r>
      <w:r w:rsidR="00A93331">
        <w:rPr>
          <w:rStyle w:val="FootnoteReference"/>
        </w:rPr>
        <w:footnoteReference w:id="43"/>
      </w:r>
      <w:r w:rsidR="00A93331">
        <w:t xml:space="preserve"> </w:t>
      </w:r>
      <w:r w:rsidR="00974A25">
        <w:t xml:space="preserve">Food </w:t>
      </w:r>
      <w:r w:rsidR="00D347AC">
        <w:t>items were</w:t>
      </w:r>
      <w:r w:rsidR="005D63B5">
        <w:t xml:space="preserve"> generally</w:t>
      </w:r>
      <w:r w:rsidR="00D347AC">
        <w:t xml:space="preserve"> </w:t>
      </w:r>
      <w:r w:rsidR="003318D3">
        <w:t>limited</w:t>
      </w:r>
      <w:r w:rsidR="00D347AC">
        <w:t xml:space="preserve"> among the finds</w:t>
      </w:r>
      <w:r w:rsidR="003318D3">
        <w:t xml:space="preserve">, five </w:t>
      </w:r>
      <w:proofErr w:type="spellStart"/>
      <w:r w:rsidR="003318D3">
        <w:t>doum</w:t>
      </w:r>
      <w:proofErr w:type="spellEnd"/>
      <w:r w:rsidR="003318D3">
        <w:t xml:space="preserve"> palm nuts were found</w:t>
      </w:r>
      <w:r w:rsidR="006A0B65">
        <w:t xml:space="preserve">, and various storage jars must have contained consumables, labels indicate the presence of </w:t>
      </w:r>
      <w:r w:rsidR="0010341B">
        <w:t>wine, beer, almonds and fruit.</w:t>
      </w:r>
      <w:r w:rsidR="0010341B">
        <w:rPr>
          <w:rStyle w:val="FootnoteReference"/>
        </w:rPr>
        <w:footnoteReference w:id="44"/>
      </w:r>
      <w:r w:rsidR="00D45E28">
        <w:t xml:space="preserve"> </w:t>
      </w:r>
      <w:r w:rsidR="001310DF">
        <w:t>Scene 1.</w:t>
      </w:r>
      <w:r w:rsidR="002520F1">
        <w:t>1</w:t>
      </w:r>
      <w:r w:rsidR="001310DF">
        <w:t>. depicts</w:t>
      </w:r>
      <w:r w:rsidR="00A1222E">
        <w:t xml:space="preserve"> the deceased making </w:t>
      </w:r>
      <w:r w:rsidR="00865765">
        <w:t xml:space="preserve">further burnt offerings of breads, cakes, </w:t>
      </w:r>
      <w:r w:rsidR="000942D1">
        <w:t>grapes, leeks and meat.</w:t>
      </w:r>
      <w:r w:rsidR="00836855">
        <w:rPr>
          <w:rStyle w:val="FootnoteReference"/>
        </w:rPr>
        <w:footnoteReference w:id="45"/>
      </w:r>
      <w:r w:rsidR="00836855">
        <w:t xml:space="preserve"> The hie</w:t>
      </w:r>
      <w:r w:rsidR="00151AFA">
        <w:t xml:space="preserve">ratic jar labels </w:t>
      </w:r>
      <w:r w:rsidR="0006713F">
        <w:t>themselves</w:t>
      </w:r>
      <w:r w:rsidR="00981D88">
        <w:t xml:space="preserve"> provide an interesting collection</w:t>
      </w:r>
      <w:r w:rsidR="00961DB8">
        <w:t>, the</w:t>
      </w:r>
      <w:r w:rsidR="00AC665D">
        <w:t xml:space="preserve"> complex</w:t>
      </w:r>
      <w:r w:rsidR="00961DB8">
        <w:t xml:space="preserve"> labelling</w:t>
      </w:r>
      <w:r w:rsidR="00AC665D">
        <w:t xml:space="preserve"> of the wine jars</w:t>
      </w:r>
      <w:r w:rsidR="00961DB8">
        <w:t xml:space="preserve"> itsel</w:t>
      </w:r>
      <w:r w:rsidR="00F36D9D">
        <w:t>f bears witness to the boom of wine trade in the new kingdom.</w:t>
      </w:r>
      <w:r w:rsidR="00F36D9D">
        <w:rPr>
          <w:rStyle w:val="FootnoteReference"/>
        </w:rPr>
        <w:footnoteReference w:id="46"/>
      </w:r>
      <w:r w:rsidR="00F36D9D">
        <w:t xml:space="preserve"> </w:t>
      </w:r>
      <w:r w:rsidR="008D1759">
        <w:t xml:space="preserve">Unlike the chronologically next large cache of documents </w:t>
      </w:r>
      <w:r w:rsidR="00F23DE7">
        <w:t xml:space="preserve">found at </w:t>
      </w:r>
      <w:proofErr w:type="spellStart"/>
      <w:r w:rsidR="00F23DE7">
        <w:t>Malqata</w:t>
      </w:r>
      <w:proofErr w:type="spellEnd"/>
      <w:r w:rsidR="00F23DE7">
        <w:t xml:space="preserve">, Senneferi’s wine is not identified with a named vineyard or </w:t>
      </w:r>
      <w:proofErr w:type="spellStart"/>
      <w:r w:rsidR="00F23DE7">
        <w:t>vinter</w:t>
      </w:r>
      <w:proofErr w:type="spellEnd"/>
      <w:r w:rsidR="00EA73DB">
        <w:t>;</w:t>
      </w:r>
      <w:r w:rsidR="00633A73">
        <w:t xml:space="preserve"> two cases </w:t>
      </w:r>
      <w:r w:rsidR="00D173DC">
        <w:t xml:space="preserve">simply </w:t>
      </w:r>
      <w:r w:rsidR="00633A73">
        <w:t>specify</w:t>
      </w:r>
      <w:r w:rsidR="00D173DC">
        <w:t xml:space="preserve"> </w:t>
      </w:r>
      <w:r w:rsidR="00EA73DB">
        <w:t xml:space="preserve">that the wine was ‘of the </w:t>
      </w:r>
      <w:proofErr w:type="spellStart"/>
      <w:r w:rsidR="00EA73DB">
        <w:t>vinter</w:t>
      </w:r>
      <w:proofErr w:type="spellEnd"/>
      <w:r w:rsidR="00EA73DB">
        <w:t>’</w:t>
      </w:r>
      <w:r w:rsidR="00D173DC">
        <w:t xml:space="preserve"> without </w:t>
      </w:r>
      <w:r w:rsidR="00D173DC">
        <w:lastRenderedPageBreak/>
        <w:t>offering any form of name</w:t>
      </w:r>
      <w:r w:rsidR="00EA73DB">
        <w:t>.</w:t>
      </w:r>
      <w:r w:rsidR="00EA73DB">
        <w:rPr>
          <w:rStyle w:val="FootnoteReference"/>
        </w:rPr>
        <w:footnoteReference w:id="47"/>
      </w:r>
      <w:r w:rsidR="00D173DC">
        <w:t xml:space="preserve"> It seems not improbable that</w:t>
      </w:r>
      <w:r w:rsidR="00F736E1">
        <w:t xml:space="preserve"> this</w:t>
      </w:r>
      <w:r w:rsidR="00D173DC">
        <w:t xml:space="preserve"> </w:t>
      </w:r>
      <w:r w:rsidR="00377AB9">
        <w:t>indicates</w:t>
      </w:r>
      <w:r w:rsidR="00AA5EFE">
        <w:t xml:space="preserve"> the wine was a royal gift, or perhaps originated from a vineyard in the </w:t>
      </w:r>
      <w:r w:rsidR="00377AB9">
        <w:t>delta belonging to Senneferi</w:t>
      </w:r>
      <w:r w:rsidR="00B530A4">
        <w:t xml:space="preserve"> himself</w:t>
      </w:r>
      <w:r w:rsidR="00377AB9">
        <w:t>.</w:t>
      </w:r>
      <w:r w:rsidR="00377AB9">
        <w:rPr>
          <w:rStyle w:val="FootnoteReference"/>
        </w:rPr>
        <w:footnoteReference w:id="48"/>
      </w:r>
      <w:r w:rsidR="003741EE">
        <w:t xml:space="preserve"> The false doo</w:t>
      </w:r>
      <w:r w:rsidR="00024022">
        <w:t xml:space="preserve">rs </w:t>
      </w:r>
      <w:r w:rsidR="003741EE">
        <w:t>reconstructed text also seems to indicate royal gifts</w:t>
      </w:r>
      <w:r w:rsidR="00235E7E">
        <w:t xml:space="preserve"> of </w:t>
      </w:r>
      <w:r w:rsidR="007C0B33">
        <w:t>fresh vegetables, bread, beer, oxen</w:t>
      </w:r>
      <w:r w:rsidR="000733E3">
        <w:t>, and</w:t>
      </w:r>
      <w:r w:rsidR="007C0B33">
        <w:t xml:space="preserve"> fow</w:t>
      </w:r>
      <w:r w:rsidR="000733E3">
        <w:t xml:space="preserve">l; </w:t>
      </w:r>
      <w:r w:rsidR="002E50A4">
        <w:t>alabaster</w:t>
      </w:r>
      <w:r w:rsidR="00024022">
        <w:t>, clothing and incense.</w:t>
      </w:r>
      <w:r w:rsidR="00024022">
        <w:rPr>
          <w:rStyle w:val="FootnoteReference"/>
        </w:rPr>
        <w:footnoteReference w:id="49"/>
      </w:r>
      <w:r w:rsidR="003B5519">
        <w:t xml:space="preserve"> </w:t>
      </w:r>
      <w:r w:rsidR="00B530A4">
        <w:t>This is reflected in the record</w:t>
      </w:r>
      <w:r w:rsidR="00EA5234">
        <w:t>: a</w:t>
      </w:r>
      <w:r w:rsidR="00397A44">
        <w:t>labaster jars</w:t>
      </w:r>
      <w:r w:rsidR="00737901">
        <w:t>, some inscribed,</w:t>
      </w:r>
      <w:r w:rsidR="00397A44">
        <w:t xml:space="preserve"> seemingly once filled with incense</w:t>
      </w:r>
      <w:r w:rsidR="00737901">
        <w:t xml:space="preserve"> have indeed been found </w:t>
      </w:r>
      <w:r w:rsidR="00C172F8">
        <w:t>among the assemblage of Shaft I</w:t>
      </w:r>
      <w:r w:rsidR="00EA5234">
        <w:t>.</w:t>
      </w:r>
      <w:r w:rsidR="00940F3E">
        <w:rPr>
          <w:rStyle w:val="FootnoteReference"/>
        </w:rPr>
        <w:footnoteReference w:id="50"/>
      </w:r>
      <w:r w:rsidR="00C172F8">
        <w:t xml:space="preserve"> </w:t>
      </w:r>
      <w:r w:rsidR="00EA5234">
        <w:t>A</w:t>
      </w:r>
      <w:r w:rsidR="00B27443">
        <w:t xml:space="preserve"> </w:t>
      </w:r>
      <w:r w:rsidR="009971C4">
        <w:t xml:space="preserve">collection of linen fragments of various </w:t>
      </w:r>
      <w:r w:rsidR="00967A53">
        <w:t>grades including a tiny fragment of ‘royal linen’</w:t>
      </w:r>
      <w:r w:rsidR="00EA5234">
        <w:t xml:space="preserve"> was also discovered</w:t>
      </w:r>
      <w:r w:rsidR="00967A53">
        <w:t>.</w:t>
      </w:r>
      <w:r w:rsidR="00967A53">
        <w:rPr>
          <w:rStyle w:val="FootnoteReference"/>
        </w:rPr>
        <w:footnoteReference w:id="51"/>
      </w:r>
      <w:r w:rsidR="00967A53">
        <w:t xml:space="preserve"> </w:t>
      </w:r>
      <w:r w:rsidR="00FE5C62">
        <w:t xml:space="preserve">It is clear whether or not these gifts were royal in origin that Senneferi was a man of great wealth and connected </w:t>
      </w:r>
      <w:r w:rsidR="00F66605">
        <w:t>to</w:t>
      </w:r>
      <w:r w:rsidR="00FE5C62">
        <w:t xml:space="preserve"> </w:t>
      </w:r>
      <w:r w:rsidR="00F66605">
        <w:t>royal power.</w:t>
      </w:r>
    </w:p>
    <w:p w14:paraId="065EA2E7" w14:textId="77777777" w:rsidR="00E81E13" w:rsidRDefault="00E81E13" w:rsidP="005D2EA1">
      <w:pPr>
        <w:ind w:firstLine="720"/>
      </w:pPr>
    </w:p>
    <w:p w14:paraId="3E6D2587" w14:textId="37DA3C49" w:rsidR="00E81E13" w:rsidRDefault="00F66605" w:rsidP="005D2EA1">
      <w:pPr>
        <w:ind w:firstLine="720"/>
      </w:pPr>
      <w:r>
        <w:t>The tomb and assemblage of TT99 illustrates a fascinating picture of Senneferi</w:t>
      </w:r>
      <w:r w:rsidR="006938CE">
        <w:t xml:space="preserve">. It is clear from the vast number of honorific titles and epithets that </w:t>
      </w:r>
      <w:r w:rsidR="003300F9">
        <w:t>he was a man of some considerable standing within ancient Egypt</w:t>
      </w:r>
      <w:r w:rsidR="0031650C">
        <w:t>ian secular and religious society.</w:t>
      </w:r>
      <w:r w:rsidR="00AF1FC1">
        <w:t xml:space="preserve"> The prime location of his tomb on the hill of Sheikh Ab</w:t>
      </w:r>
      <w:r w:rsidR="00F541A9">
        <w:t xml:space="preserve">del Qurna displays his importance, and the </w:t>
      </w:r>
      <w:r w:rsidR="00CB27F3">
        <w:t>decision of others to be buried in his presence</w:t>
      </w:r>
      <w:r w:rsidR="00C518DA">
        <w:t>, either in the other shafts or in nearby tombs like his son in law Amenhotep, displays the power of his memory.</w:t>
      </w:r>
      <w:r w:rsidR="00C518DA">
        <w:rPr>
          <w:rStyle w:val="FootnoteReference"/>
        </w:rPr>
        <w:footnoteReference w:id="52"/>
      </w:r>
      <w:r w:rsidR="00F541A9">
        <w:t xml:space="preserve"> </w:t>
      </w:r>
      <w:r w:rsidR="0031650C">
        <w:t xml:space="preserve"> </w:t>
      </w:r>
      <w:r w:rsidR="00E87987">
        <w:t xml:space="preserve">The </w:t>
      </w:r>
      <w:r w:rsidR="003015EE">
        <w:t>inscriptions on the walls</w:t>
      </w:r>
      <w:r w:rsidR="00E949BC">
        <w:t xml:space="preserve"> of the chapel</w:t>
      </w:r>
      <w:r w:rsidR="003015EE">
        <w:t xml:space="preserve"> provide an insightful record of his self-presentation in death, what was important </w:t>
      </w:r>
      <w:r w:rsidR="00E949BC">
        <w:t>to the official about himself that he wanted to be associated with his memory.</w:t>
      </w:r>
      <w:r w:rsidR="00E949BC">
        <w:rPr>
          <w:rStyle w:val="FootnoteReference"/>
        </w:rPr>
        <w:footnoteReference w:id="53"/>
      </w:r>
      <w:r w:rsidR="00E949BC">
        <w:t xml:space="preserve"> The objects themselves provide their own insights</w:t>
      </w:r>
      <w:r w:rsidR="001C2A9A">
        <w:t>, not necessarily about the memory he wished to pass down</w:t>
      </w:r>
      <w:r w:rsidR="00364B52">
        <w:t xml:space="preserve"> but</w:t>
      </w:r>
      <w:r w:rsidR="00727469">
        <w:t xml:space="preserve"> some of</w:t>
      </w:r>
      <w:r w:rsidR="00364B52">
        <w:t xml:space="preserve"> the material objects he wished to accompany him </w:t>
      </w:r>
      <w:r w:rsidR="00992828">
        <w:t xml:space="preserve">in </w:t>
      </w:r>
      <w:r w:rsidR="00727469">
        <w:t>his death</w:t>
      </w:r>
      <w:r w:rsidR="00992828">
        <w:t xml:space="preserve">. The tomb of Senneferi is a fantastic example of one </w:t>
      </w:r>
      <w:r w:rsidR="00604ACA">
        <w:t>that could easily have been overlooked</w:t>
      </w:r>
      <w:r w:rsidR="00135B00">
        <w:t xml:space="preserve"> yet</w:t>
      </w:r>
      <w:r w:rsidR="00B24735">
        <w:t xml:space="preserve">, after excavation, has yielded not only a fantastic </w:t>
      </w:r>
      <w:r w:rsidR="00F52618">
        <w:t xml:space="preserve">assemblage of artefacts, but also an accessible form of </w:t>
      </w:r>
      <w:r w:rsidR="006A25E5">
        <w:t xml:space="preserve">publicization through the website and publications of the excavators. </w:t>
      </w:r>
    </w:p>
    <w:p w14:paraId="1C3AA974" w14:textId="77777777" w:rsidR="00A1230E" w:rsidRDefault="00A1230E" w:rsidP="005D2EA1">
      <w:pPr>
        <w:ind w:firstLine="720"/>
      </w:pPr>
    </w:p>
    <w:p w14:paraId="00B83AE3" w14:textId="77777777" w:rsidR="00A1230E" w:rsidRDefault="00A1230E" w:rsidP="005D2EA1">
      <w:pPr>
        <w:ind w:firstLine="720"/>
      </w:pPr>
    </w:p>
    <w:p w14:paraId="43AB55A5" w14:textId="77777777" w:rsidR="00A1230E" w:rsidRDefault="00A1230E" w:rsidP="005D2EA1">
      <w:pPr>
        <w:ind w:firstLine="720"/>
      </w:pPr>
    </w:p>
    <w:p w14:paraId="189BCF4B" w14:textId="77777777" w:rsidR="00A1230E" w:rsidRDefault="00A1230E" w:rsidP="005D2EA1">
      <w:pPr>
        <w:ind w:firstLine="720"/>
      </w:pPr>
    </w:p>
    <w:p w14:paraId="4CD3F42B" w14:textId="77777777" w:rsidR="00A1230E" w:rsidRDefault="00A1230E" w:rsidP="005D2EA1">
      <w:pPr>
        <w:ind w:firstLine="720"/>
      </w:pPr>
    </w:p>
    <w:p w14:paraId="2B46ABB5" w14:textId="77777777" w:rsidR="00A1230E" w:rsidRDefault="00A1230E" w:rsidP="005D2EA1">
      <w:pPr>
        <w:ind w:firstLine="720"/>
      </w:pPr>
    </w:p>
    <w:p w14:paraId="22D0571A" w14:textId="77777777" w:rsidR="00A1230E" w:rsidRDefault="00A1230E" w:rsidP="005D2EA1">
      <w:pPr>
        <w:ind w:firstLine="720"/>
      </w:pPr>
    </w:p>
    <w:p w14:paraId="7CD33C02" w14:textId="77777777" w:rsidR="00A1230E" w:rsidRDefault="00A1230E" w:rsidP="00EA5234"/>
    <w:p w14:paraId="595AC45E" w14:textId="77777777" w:rsidR="00EA5234" w:rsidRDefault="00EA5234" w:rsidP="00EA5234"/>
    <w:p w14:paraId="5C05A037" w14:textId="77777777" w:rsidR="00EA5234" w:rsidRDefault="00EA5234" w:rsidP="00EA5234"/>
    <w:p w14:paraId="5F031455" w14:textId="77777777" w:rsidR="00EA5234" w:rsidRDefault="00EA5234" w:rsidP="00EA5234"/>
    <w:p w14:paraId="74DC1F3D" w14:textId="77777777" w:rsidR="00EA5234" w:rsidRDefault="00EA5234" w:rsidP="00EA5234"/>
    <w:p w14:paraId="23675DB5" w14:textId="77777777" w:rsidR="00A1230E" w:rsidRDefault="00A1230E" w:rsidP="005D2EA1">
      <w:pPr>
        <w:ind w:firstLine="720"/>
      </w:pPr>
    </w:p>
    <w:p w14:paraId="6370956B" w14:textId="77777777" w:rsidR="00A1230E" w:rsidRDefault="00A1230E" w:rsidP="005D2EA1">
      <w:pPr>
        <w:ind w:firstLine="720"/>
      </w:pPr>
    </w:p>
    <w:p w14:paraId="58FCD393" w14:textId="77777777" w:rsidR="00A1230E" w:rsidRDefault="00A1230E" w:rsidP="00A1230E"/>
    <w:p w14:paraId="0596BA71" w14:textId="77777777" w:rsidR="00487066" w:rsidRDefault="00487066" w:rsidP="005D2EA1">
      <w:pPr>
        <w:ind w:firstLine="720"/>
      </w:pPr>
    </w:p>
    <w:sdt>
      <w:sdtPr>
        <w:id w:val="1848748463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color w:val="auto"/>
          <w:sz w:val="24"/>
          <w:szCs w:val="24"/>
        </w:rPr>
      </w:sdtEndPr>
      <w:sdtContent>
        <w:p w14:paraId="21D4D216" w14:textId="30FB6330" w:rsidR="00487066" w:rsidRDefault="00487066">
          <w:pPr>
            <w:pStyle w:val="Heading1"/>
          </w:pPr>
          <w:r>
            <w:t>Bibliography</w:t>
          </w:r>
        </w:p>
        <w:sdt>
          <w:sdtPr>
            <w:id w:val="111145805"/>
            <w:bibliography/>
          </w:sdtPr>
          <w:sdtContent>
            <w:p w14:paraId="7E4DE70A" w14:textId="77777777" w:rsidR="00487066" w:rsidRDefault="00487066"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b/>
                  <w:bCs/>
                  <w:noProof/>
                </w:rPr>
                <w:fldChar w:fldCharType="end"/>
              </w:r>
            </w:p>
            <w:p w14:paraId="1817AA30" w14:textId="77777777" w:rsidR="00487066" w:rsidRPr="00A1230E" w:rsidRDefault="00487066">
              <w:pPr>
                <w:rPr>
                  <w:b/>
                  <w:bCs/>
                </w:rPr>
              </w:pPr>
              <w:r w:rsidRPr="00A1230E">
                <w:rPr>
                  <w:b/>
                  <w:bCs/>
                </w:rPr>
                <w:t>Secondary Sources</w:t>
              </w:r>
            </w:p>
            <w:p w14:paraId="212AD1FA" w14:textId="687C262A" w:rsidR="000005D8" w:rsidRPr="00A1230E" w:rsidRDefault="000005D8"/>
            <w:p w14:paraId="2E4A99C8" w14:textId="20049E64" w:rsidR="00AA1DD5" w:rsidRPr="00A1230E" w:rsidRDefault="00AA1DD5">
              <w:r w:rsidRPr="00A1230E">
                <w:tab/>
              </w:r>
              <w:proofErr w:type="spellStart"/>
              <w:r w:rsidRPr="00A1230E">
                <w:t>Bohleke</w:t>
              </w:r>
              <w:proofErr w:type="spellEnd"/>
              <w:r w:rsidRPr="00A1230E">
                <w:t>,</w:t>
              </w:r>
              <w:r w:rsidRPr="00A1230E">
                <w:t xml:space="preserve"> </w:t>
              </w:r>
              <w:proofErr w:type="spellStart"/>
              <w:r w:rsidRPr="00A1230E">
                <w:t>Briant</w:t>
              </w:r>
              <w:proofErr w:type="spellEnd"/>
              <w:r w:rsidRPr="00A1230E">
                <w:t>,</w:t>
              </w:r>
              <w:r w:rsidRPr="00A1230E">
                <w:t xml:space="preserve"> &amp; Strudwick,</w:t>
              </w:r>
              <w:r w:rsidRPr="00A1230E">
                <w:t xml:space="preserve"> </w:t>
              </w:r>
              <w:r w:rsidRPr="00A1230E">
                <w:t>Nigel</w:t>
              </w:r>
              <w:r w:rsidRPr="00A1230E">
                <w:t>,</w:t>
              </w:r>
              <w:r w:rsidRPr="00A1230E">
                <w:t xml:space="preserve"> ‘A Label for Opening of the Mouth Implements from the Burial of Senneferi (TT99) and Remarks on the Ritual’, </w:t>
              </w:r>
              <w:r w:rsidRPr="00A1230E">
                <w:rPr>
                  <w:i/>
                  <w:iCs/>
                </w:rPr>
                <w:t>Études et Travaux</w:t>
              </w:r>
              <w:r w:rsidRPr="00A1230E">
                <w:t>, 23.30 (2017) pp. 105-123</w:t>
              </w:r>
              <w:r w:rsidRPr="00A1230E">
                <w:t>.</w:t>
              </w:r>
            </w:p>
            <w:p w14:paraId="04505219" w14:textId="1792F0EA" w:rsidR="000005D8" w:rsidRPr="00A1230E" w:rsidRDefault="000005D8">
              <w:r w:rsidRPr="00A1230E">
                <w:tab/>
              </w:r>
              <w:r w:rsidRPr="00A1230E">
                <w:t>Kondo,</w:t>
              </w:r>
              <w:r w:rsidRPr="00A1230E">
                <w:t xml:space="preserve"> </w:t>
              </w:r>
              <w:r w:rsidRPr="00A1230E">
                <w:t>Jiro</w:t>
              </w:r>
              <w:r w:rsidRPr="00A1230E">
                <w:t>,</w:t>
              </w:r>
              <w:r w:rsidRPr="00A1230E">
                <w:t xml:space="preserve"> ‘Inscribed funerary cones from the Theban necropolis’, </w:t>
              </w:r>
              <w:r w:rsidRPr="00A1230E">
                <w:rPr>
                  <w:i/>
                  <w:iCs/>
                </w:rPr>
                <w:t>Orient</w:t>
              </w:r>
              <w:r w:rsidRPr="00A1230E">
                <w:t>, 23.5 (1987) pp. 63-76</w:t>
              </w:r>
              <w:r w:rsidRPr="00A1230E">
                <w:t>.</w:t>
              </w:r>
            </w:p>
            <w:p w14:paraId="213C612D" w14:textId="42C8A1E5" w:rsidR="00AA1DD5" w:rsidRPr="00A1230E" w:rsidRDefault="00AA1DD5">
              <w:r w:rsidRPr="00A1230E">
                <w:tab/>
              </w:r>
              <w:r w:rsidRPr="00A1230E">
                <w:t>Pamela,</w:t>
              </w:r>
              <w:r w:rsidR="00D602B8" w:rsidRPr="00A1230E">
                <w:t xml:space="preserve"> </w:t>
              </w:r>
              <w:r w:rsidR="00D602B8" w:rsidRPr="00A1230E">
                <w:t>Rose</w:t>
              </w:r>
              <w:r w:rsidR="00D602B8" w:rsidRPr="00A1230E">
                <w:t>,</w:t>
              </w:r>
              <w:r w:rsidRPr="00A1230E">
                <w:t xml:space="preserve"> </w:t>
              </w:r>
              <w:r w:rsidR="00D602B8" w:rsidRPr="00A1230E">
                <w:t>‘</w:t>
              </w:r>
              <w:r w:rsidRPr="00A1230E">
                <w:t xml:space="preserve">The Ceramics from Shaft I’, in </w:t>
              </w:r>
              <w:r w:rsidRPr="00A1230E">
                <w:rPr>
                  <w:i/>
                  <w:iCs/>
                </w:rPr>
                <w:t>The Tomb of Pharaoh’s Chancellor Senneferi at Thebes (TT99),</w:t>
              </w:r>
              <w:r w:rsidRPr="00A1230E">
                <w:t xml:space="preserve"> ed. Nigel Strudwick, 1</w:t>
              </w:r>
              <w:r w:rsidRPr="00A1230E">
                <w:rPr>
                  <w:vertAlign w:val="superscript"/>
                </w:rPr>
                <w:t>st</w:t>
              </w:r>
              <w:r w:rsidRPr="00A1230E">
                <w:t xml:space="preserve"> </w:t>
              </w:r>
              <w:proofErr w:type="spellStart"/>
              <w:r w:rsidRPr="00A1230E">
                <w:t>edn</w:t>
              </w:r>
              <w:proofErr w:type="spellEnd"/>
              <w:r w:rsidRPr="00A1230E">
                <w:t>. (UK: Oxbow, 2016), pp. 191-238</w:t>
              </w:r>
              <w:r w:rsidR="00D602B8" w:rsidRPr="00A1230E">
                <w:t>.</w:t>
              </w:r>
            </w:p>
            <w:p w14:paraId="3A4DE79A" w14:textId="02C61640" w:rsidR="00487066" w:rsidRPr="00A1230E" w:rsidRDefault="00487066" w:rsidP="000005D8">
              <w:pPr>
                <w:ind w:firstLine="720"/>
                <w:rPr>
                  <w:rFonts w:ascii="Helvetica" w:hAnsi="Helvetica"/>
                  <w:color w:val="343332"/>
                  <w:spacing w:val="-5"/>
                </w:rPr>
              </w:pPr>
              <w:r w:rsidRPr="00A1230E">
                <w:t>Strudwick, Helen</w:t>
              </w:r>
              <w:r w:rsidRPr="00A1230E">
                <w:t xml:space="preserve">, </w:t>
              </w:r>
              <w:r w:rsidRPr="00A1230E">
                <w:t>&amp; Emmett,</w:t>
              </w:r>
              <w:r w:rsidRPr="00A1230E">
                <w:t xml:space="preserve"> </w:t>
              </w:r>
              <w:r w:rsidRPr="00A1230E">
                <w:t>Trevor F.</w:t>
              </w:r>
              <w:r w:rsidRPr="00A1230E">
                <w:t>,</w:t>
              </w:r>
              <w:r w:rsidRPr="00A1230E">
                <w:t xml:space="preserve"> ‘The Geological and Geographical Setting of TT99’, in </w:t>
              </w:r>
              <w:r w:rsidRPr="00A1230E">
                <w:rPr>
                  <w:i/>
                  <w:iCs/>
                </w:rPr>
                <w:t>The Tomb of Pharaoh’s Chancellor Senneferi at Thebes (TT99),</w:t>
              </w:r>
              <w:r w:rsidRPr="00A1230E">
                <w:t xml:space="preserve"> ed. Nigel Strudwick, 1</w:t>
              </w:r>
              <w:r w:rsidRPr="00A1230E">
                <w:rPr>
                  <w:vertAlign w:val="superscript"/>
                </w:rPr>
                <w:t>st</w:t>
              </w:r>
              <w:r w:rsidRPr="00A1230E">
                <w:t xml:space="preserve"> </w:t>
              </w:r>
              <w:proofErr w:type="spellStart"/>
              <w:r w:rsidRPr="00A1230E">
                <w:t>edn</w:t>
              </w:r>
              <w:proofErr w:type="spellEnd"/>
              <w:r w:rsidRPr="00A1230E">
                <w:t xml:space="preserve">. (UK: Oxbow, 2016), pp. </w:t>
              </w:r>
              <w:r w:rsidRPr="00A1230E">
                <w:rPr>
                  <w:rFonts w:ascii="Helvetica" w:hAnsi="Helvetica"/>
                  <w:color w:val="343332"/>
                  <w:spacing w:val="-5"/>
                </w:rPr>
                <w:t>37-44</w:t>
              </w:r>
              <w:r w:rsidRPr="00A1230E">
                <w:rPr>
                  <w:rFonts w:ascii="Helvetica" w:hAnsi="Helvetica"/>
                  <w:color w:val="343332"/>
                  <w:spacing w:val="-5"/>
                </w:rPr>
                <w:t>.</w:t>
              </w:r>
            </w:p>
            <w:p w14:paraId="67BCE6C2" w14:textId="715035CE" w:rsidR="00CC4379" w:rsidRPr="00A1230E" w:rsidRDefault="00CC4379">
              <w:r w:rsidRPr="00A1230E">
                <w:rPr>
                  <w:rFonts w:ascii="Helvetica" w:hAnsi="Helvetica"/>
                  <w:color w:val="343332"/>
                  <w:spacing w:val="-5"/>
                </w:rPr>
                <w:tab/>
              </w:r>
              <w:r w:rsidRPr="00A1230E">
                <w:t>Strudwick, Nigel</w:t>
              </w:r>
              <w:r w:rsidRPr="00A1230E">
                <w:t xml:space="preserve">, </w:t>
              </w:r>
              <w:r w:rsidRPr="00A1230E">
                <w:t xml:space="preserve">‘Introduction’, , in </w:t>
              </w:r>
              <w:r w:rsidRPr="00A1230E">
                <w:rPr>
                  <w:i/>
                  <w:iCs/>
                </w:rPr>
                <w:t>The Tomb of Pharaoh’s Chancellor Senneferi at Thebes (TT99),</w:t>
              </w:r>
              <w:r w:rsidRPr="00A1230E">
                <w:t xml:space="preserve"> ed. Nigel Strudwick, 1</w:t>
              </w:r>
              <w:r w:rsidRPr="00A1230E">
                <w:rPr>
                  <w:vertAlign w:val="superscript"/>
                </w:rPr>
                <w:t>st</w:t>
              </w:r>
              <w:r w:rsidRPr="00A1230E">
                <w:t xml:space="preserve"> </w:t>
              </w:r>
              <w:proofErr w:type="spellStart"/>
              <w:r w:rsidRPr="00A1230E">
                <w:t>edn</w:t>
              </w:r>
              <w:proofErr w:type="spellEnd"/>
              <w:r w:rsidRPr="00A1230E">
                <w:t>. (UK: Oxbow, 2016), pp. 1-7</w:t>
              </w:r>
              <w:r w:rsidRPr="00A1230E">
                <w:t>.</w:t>
              </w:r>
            </w:p>
            <w:p w14:paraId="515EA4F3" w14:textId="7FCF6DC3" w:rsidR="00AA1DD5" w:rsidRPr="00A1230E" w:rsidRDefault="00AA1DD5">
              <w:r w:rsidRPr="00A1230E">
                <w:tab/>
              </w:r>
              <w:r w:rsidRPr="00A1230E">
                <w:t>Strudwick,</w:t>
              </w:r>
              <w:r w:rsidRPr="00A1230E">
                <w:t xml:space="preserve"> </w:t>
              </w:r>
              <w:r w:rsidRPr="00A1230E">
                <w:t>Nigel</w:t>
              </w:r>
              <w:r w:rsidRPr="00A1230E">
                <w:t>,</w:t>
              </w:r>
              <w:r w:rsidRPr="00A1230E">
                <w:t xml:space="preserve"> ‘Senneferi, His Family and Related Monuments’, in </w:t>
              </w:r>
              <w:r w:rsidRPr="00A1230E">
                <w:rPr>
                  <w:i/>
                  <w:iCs/>
                </w:rPr>
                <w:t>The Tomb of Pharaoh’s Chancellor Senneferi at Thebes (TT99),</w:t>
              </w:r>
              <w:r w:rsidRPr="00A1230E">
                <w:t xml:space="preserve"> ed. Nigel Strudwick, 1</w:t>
              </w:r>
              <w:r w:rsidRPr="00A1230E">
                <w:rPr>
                  <w:vertAlign w:val="superscript"/>
                </w:rPr>
                <w:t>st</w:t>
              </w:r>
              <w:r w:rsidRPr="00A1230E">
                <w:t xml:space="preserve"> </w:t>
              </w:r>
              <w:proofErr w:type="spellStart"/>
              <w:r w:rsidRPr="00A1230E">
                <w:t>edn</w:t>
              </w:r>
              <w:proofErr w:type="spellEnd"/>
              <w:r w:rsidRPr="00A1230E">
                <w:t>. (UK: Oxbow, 2016), pp. 8-36</w:t>
              </w:r>
              <w:r w:rsidRPr="00A1230E">
                <w:t>.</w:t>
              </w:r>
            </w:p>
            <w:p w14:paraId="65DD7ADF" w14:textId="7A38B52D" w:rsidR="00D602B8" w:rsidRPr="00A1230E" w:rsidRDefault="00D602B8">
              <w:r w:rsidRPr="00A1230E">
                <w:tab/>
              </w:r>
              <w:r w:rsidRPr="00A1230E">
                <w:t>Strudwick,</w:t>
              </w:r>
              <w:r w:rsidRPr="00A1230E">
                <w:t xml:space="preserve"> </w:t>
              </w:r>
              <w:r w:rsidRPr="00A1230E">
                <w:t>Nigel</w:t>
              </w:r>
              <w:r w:rsidRPr="00A1230E">
                <w:t>,</w:t>
              </w:r>
              <w:r w:rsidRPr="00A1230E">
                <w:t xml:space="preserve"> ‘Small Finds from Shaft I and an Overview of the Burial Assemblage of Senneferi’, in </w:t>
              </w:r>
              <w:r w:rsidRPr="00A1230E">
                <w:rPr>
                  <w:i/>
                  <w:iCs/>
                </w:rPr>
                <w:t>The Tomb of Pharaoh’s Chancellor Senneferi at Thebes (TT99),</w:t>
              </w:r>
              <w:r w:rsidRPr="00A1230E">
                <w:t xml:space="preserve"> ed. Nigel Strudwick, 1</w:t>
              </w:r>
              <w:r w:rsidRPr="00A1230E">
                <w:rPr>
                  <w:vertAlign w:val="superscript"/>
                </w:rPr>
                <w:t>st</w:t>
              </w:r>
              <w:r w:rsidRPr="00A1230E">
                <w:t xml:space="preserve"> </w:t>
              </w:r>
              <w:proofErr w:type="spellStart"/>
              <w:r w:rsidRPr="00A1230E">
                <w:t>edn</w:t>
              </w:r>
              <w:proofErr w:type="spellEnd"/>
              <w:r w:rsidRPr="00A1230E">
                <w:t>. (UK: Oxbow, 2016), pp. 260-292</w:t>
              </w:r>
              <w:r w:rsidR="00CE5491" w:rsidRPr="00A1230E">
                <w:t>.</w:t>
              </w:r>
            </w:p>
            <w:p w14:paraId="1E95134F" w14:textId="7649C19F" w:rsidR="00AA1DD5" w:rsidRPr="00A1230E" w:rsidRDefault="00AA1DD5">
              <w:r w:rsidRPr="00A1230E">
                <w:tab/>
              </w:r>
              <w:r w:rsidRPr="00A1230E">
                <w:t>Strudwick, Nigel</w:t>
              </w:r>
              <w:r w:rsidRPr="00A1230E">
                <w:t xml:space="preserve">, </w:t>
              </w:r>
              <w:r w:rsidRPr="00A1230E">
                <w:t xml:space="preserve">‘The Decoration of the Chapel’, , in </w:t>
              </w:r>
              <w:r w:rsidRPr="00A1230E">
                <w:rPr>
                  <w:i/>
                  <w:iCs/>
                </w:rPr>
                <w:t>The Tomb of Pharaoh’s Chancellor Senneferi at Thebes (TT99),</w:t>
              </w:r>
              <w:r w:rsidRPr="00A1230E">
                <w:t xml:space="preserve"> ed. Nigel Strudwick, 1</w:t>
              </w:r>
              <w:r w:rsidRPr="00A1230E">
                <w:rPr>
                  <w:vertAlign w:val="superscript"/>
                </w:rPr>
                <w:t>st</w:t>
              </w:r>
              <w:r w:rsidRPr="00A1230E">
                <w:t xml:space="preserve"> </w:t>
              </w:r>
              <w:proofErr w:type="spellStart"/>
              <w:r w:rsidRPr="00A1230E">
                <w:t>edn</w:t>
              </w:r>
              <w:proofErr w:type="spellEnd"/>
              <w:r w:rsidRPr="00A1230E">
                <w:t>. (UK: Oxbow, 2016), pp. 86-160</w:t>
              </w:r>
              <w:r w:rsidRPr="00A1230E">
                <w:t>.</w:t>
              </w:r>
            </w:p>
            <w:p w14:paraId="41824411" w14:textId="7D6C52B8" w:rsidR="00A1230E" w:rsidRPr="00A1230E" w:rsidRDefault="00A1230E">
              <w:r w:rsidRPr="00A1230E">
                <w:tab/>
              </w:r>
              <w:r w:rsidRPr="00A1230E">
                <w:t>Taylor,</w:t>
              </w:r>
              <w:r w:rsidRPr="00A1230E">
                <w:t xml:space="preserve"> </w:t>
              </w:r>
              <w:r w:rsidRPr="00A1230E">
                <w:t>John H.</w:t>
              </w:r>
              <w:r w:rsidRPr="00A1230E">
                <w:t>,</w:t>
              </w:r>
              <w:r w:rsidRPr="00A1230E">
                <w:t xml:space="preserve"> </w:t>
              </w:r>
              <w:r w:rsidRPr="00A1230E">
                <w:rPr>
                  <w:i/>
                  <w:iCs/>
                </w:rPr>
                <w:t>Death and the afterlife in ancient Egypt</w:t>
              </w:r>
              <w:r w:rsidRPr="00A1230E">
                <w:t xml:space="preserve"> (London: British Museum Press, 2001)</w:t>
              </w:r>
            </w:p>
            <w:p w14:paraId="30FA9C52" w14:textId="5ADF4AE7" w:rsidR="00AA1DD5" w:rsidRPr="00A1230E" w:rsidRDefault="00AA1DD5">
              <w:r w:rsidRPr="00A1230E">
                <w:tab/>
              </w:r>
              <w:r w:rsidRPr="00A1230E">
                <w:t>Taylor, John H.</w:t>
              </w:r>
              <w:r w:rsidRPr="00A1230E">
                <w:t xml:space="preserve">, </w:t>
              </w:r>
              <w:r w:rsidRPr="00A1230E">
                <w:t xml:space="preserve">‘The coffins from Shaft I’,  in </w:t>
              </w:r>
              <w:r w:rsidRPr="00A1230E">
                <w:rPr>
                  <w:i/>
                  <w:iCs/>
                </w:rPr>
                <w:t>The Tomb of Pharaoh’s Chancellor Senneferi at Thebes (TT99),</w:t>
              </w:r>
              <w:r w:rsidRPr="00A1230E">
                <w:t xml:space="preserve"> ed. Nigel Strudwick, 1</w:t>
              </w:r>
              <w:r w:rsidRPr="00A1230E">
                <w:rPr>
                  <w:vertAlign w:val="superscript"/>
                </w:rPr>
                <w:t>st</w:t>
              </w:r>
              <w:r w:rsidRPr="00A1230E">
                <w:t xml:space="preserve"> </w:t>
              </w:r>
              <w:proofErr w:type="spellStart"/>
              <w:r w:rsidRPr="00A1230E">
                <w:t>edn</w:t>
              </w:r>
              <w:proofErr w:type="spellEnd"/>
              <w:r w:rsidRPr="00A1230E">
                <w:t>. (UK: Oxbow, 2016), pp. 181-190</w:t>
              </w:r>
              <w:r w:rsidRPr="00A1230E">
                <w:t>.</w:t>
              </w:r>
            </w:p>
            <w:p w14:paraId="01D961A7" w14:textId="0176C734" w:rsidR="00CE5491" w:rsidRPr="00A1230E" w:rsidRDefault="00CE5491" w:rsidP="00CE5491">
              <w:pPr>
                <w:pStyle w:val="FootnoteText"/>
                <w:rPr>
                  <w:sz w:val="24"/>
                  <w:szCs w:val="24"/>
                </w:rPr>
              </w:pPr>
              <w:r w:rsidRPr="00A1230E">
                <w:rPr>
                  <w:sz w:val="24"/>
                  <w:szCs w:val="24"/>
                </w:rPr>
                <w:tab/>
              </w:r>
              <w:r w:rsidRPr="00A1230E">
                <w:rPr>
                  <w:sz w:val="24"/>
                  <w:szCs w:val="24"/>
                </w:rPr>
                <w:t>Waldron, Tony</w:t>
              </w:r>
              <w:r w:rsidRPr="00A1230E">
                <w:rPr>
                  <w:sz w:val="24"/>
                  <w:szCs w:val="24"/>
                </w:rPr>
                <w:t xml:space="preserve">, </w:t>
              </w:r>
              <w:r w:rsidRPr="00A1230E">
                <w:rPr>
                  <w:sz w:val="24"/>
                  <w:szCs w:val="24"/>
                </w:rPr>
                <w:t xml:space="preserve">‘The Human and Animal Remains from Shafts I and H’, , in </w:t>
              </w:r>
              <w:r w:rsidRPr="00A1230E">
                <w:rPr>
                  <w:i/>
                  <w:iCs/>
                  <w:sz w:val="24"/>
                  <w:szCs w:val="24"/>
                </w:rPr>
                <w:t>The Tomb of Pharaoh’s Chancellor Senneferi at Thebes (TT99),</w:t>
              </w:r>
              <w:r w:rsidRPr="00A1230E">
                <w:rPr>
                  <w:sz w:val="24"/>
                  <w:szCs w:val="24"/>
                </w:rPr>
                <w:t xml:space="preserve"> ed. Nigel Strudwick, 1</w:t>
              </w:r>
              <w:r w:rsidRPr="00A1230E">
                <w:rPr>
                  <w:sz w:val="24"/>
                  <w:szCs w:val="24"/>
                  <w:vertAlign w:val="superscript"/>
                </w:rPr>
                <w:t>st</w:t>
              </w:r>
              <w:r w:rsidRPr="00A1230E">
                <w:rPr>
                  <w:sz w:val="24"/>
                  <w:szCs w:val="24"/>
                </w:rPr>
                <w:t xml:space="preserve"> </w:t>
              </w:r>
              <w:proofErr w:type="spellStart"/>
              <w:r w:rsidRPr="00A1230E">
                <w:rPr>
                  <w:sz w:val="24"/>
                  <w:szCs w:val="24"/>
                </w:rPr>
                <w:t>edn</w:t>
              </w:r>
              <w:proofErr w:type="spellEnd"/>
              <w:r w:rsidRPr="00A1230E">
                <w:rPr>
                  <w:sz w:val="24"/>
                  <w:szCs w:val="24"/>
                </w:rPr>
                <w:t>. (UK: Oxbow, 2016), pp. 315-354.</w:t>
              </w:r>
            </w:p>
            <w:p w14:paraId="6E0C00F0" w14:textId="0B83E70A" w:rsidR="00CE5491" w:rsidRPr="00A1230E" w:rsidRDefault="00CE5491"/>
            <w:p w14:paraId="7671E162" w14:textId="6FBB3BE8" w:rsidR="006C6942" w:rsidRPr="00A1230E" w:rsidRDefault="00656C8C">
              <w:r w:rsidRPr="00A1230E">
                <w:tab/>
              </w:r>
            </w:p>
            <w:p w14:paraId="235A2E6D" w14:textId="46208431" w:rsidR="006C6942" w:rsidRPr="00A1230E" w:rsidRDefault="006C6942">
              <w:pPr>
                <w:rPr>
                  <w:b/>
                  <w:bCs/>
                </w:rPr>
              </w:pPr>
              <w:r w:rsidRPr="00A1230E">
                <w:rPr>
                  <w:b/>
                  <w:bCs/>
                </w:rPr>
                <w:t>Internet Sources</w:t>
              </w:r>
            </w:p>
            <w:p w14:paraId="0BEBF799" w14:textId="77777777" w:rsidR="00DE0CB3" w:rsidRPr="00A1230E" w:rsidRDefault="006C6942" w:rsidP="00656C8C">
              <w:pPr>
                <w:pStyle w:val="FootnoteText"/>
                <w:rPr>
                  <w:b/>
                  <w:bCs/>
                  <w:sz w:val="24"/>
                  <w:szCs w:val="24"/>
                </w:rPr>
              </w:pPr>
              <w:r w:rsidRPr="00A1230E">
                <w:rPr>
                  <w:b/>
                  <w:bCs/>
                  <w:sz w:val="24"/>
                  <w:szCs w:val="24"/>
                </w:rPr>
                <w:tab/>
              </w:r>
            </w:p>
            <w:p w14:paraId="18F7C4CF" w14:textId="6BC98B24" w:rsidR="00DE0CB3" w:rsidRPr="00A1230E" w:rsidRDefault="00DE0CB3" w:rsidP="007E4164">
              <w:pPr>
                <w:pStyle w:val="FootnoteText"/>
                <w:ind w:firstLine="720"/>
                <w:rPr>
                  <w:sz w:val="24"/>
                  <w:szCs w:val="24"/>
                </w:rPr>
              </w:pPr>
              <w:r w:rsidRPr="00A1230E">
                <w:rPr>
                  <w:sz w:val="24"/>
                  <w:szCs w:val="24"/>
                </w:rPr>
                <w:t xml:space="preserve">Nigel Strudwick, ‘Schematic diagram of TT99’, </w:t>
              </w:r>
              <w:r w:rsidRPr="00A1230E">
                <w:rPr>
                  <w:i/>
                  <w:iCs/>
                  <w:sz w:val="24"/>
                  <w:szCs w:val="24"/>
                </w:rPr>
                <w:t>The tomb of Senneferi: Theban tomb 99</w:t>
              </w:r>
              <w:r w:rsidRPr="00A1230E">
                <w:rPr>
                  <w:sz w:val="24"/>
                  <w:szCs w:val="24"/>
                </w:rPr>
                <w:t xml:space="preserve"> &lt;</w:t>
              </w:r>
              <w:hyperlink r:id="rId7" w:history="1">
                <w:r w:rsidRPr="00A1230E">
                  <w:rPr>
                    <w:rStyle w:val="Hyperlink"/>
                    <w:b/>
                    <w:bCs/>
                    <w:sz w:val="24"/>
                    <w:szCs w:val="24"/>
                  </w:rPr>
                  <w:t>https://tt99.fitz.ms/architecture/schematic.html</w:t>
                </w:r>
              </w:hyperlink>
              <w:r w:rsidRPr="00A1230E">
                <w:rPr>
                  <w:b/>
                  <w:bCs/>
                  <w:sz w:val="24"/>
                  <w:szCs w:val="24"/>
                </w:rPr>
                <w:t xml:space="preserve">&gt; </w:t>
              </w:r>
              <w:r w:rsidRPr="00A1230E">
                <w:rPr>
                  <w:sz w:val="24"/>
                  <w:szCs w:val="24"/>
                </w:rPr>
                <w:t>(1997-2018) [accessed: 13</w:t>
              </w:r>
              <w:r w:rsidRPr="00A1230E">
                <w:rPr>
                  <w:sz w:val="24"/>
                  <w:szCs w:val="24"/>
                  <w:vertAlign w:val="superscript"/>
                </w:rPr>
                <w:t>th</w:t>
              </w:r>
              <w:r w:rsidRPr="00A1230E">
                <w:rPr>
                  <w:sz w:val="24"/>
                  <w:szCs w:val="24"/>
                </w:rPr>
                <w:t xml:space="preserve"> March 2026].</w:t>
              </w:r>
            </w:p>
            <w:p w14:paraId="6FFD3C4C" w14:textId="76865011" w:rsidR="006C6942" w:rsidRPr="00A1230E" w:rsidRDefault="00656C8C" w:rsidP="00DE0CB3">
              <w:pPr>
                <w:pStyle w:val="FootnoteText"/>
                <w:ind w:firstLine="720"/>
                <w:rPr>
                  <w:sz w:val="24"/>
                  <w:szCs w:val="24"/>
                </w:rPr>
              </w:pPr>
              <w:r w:rsidRPr="00A1230E">
                <w:rPr>
                  <w:sz w:val="24"/>
                  <w:szCs w:val="24"/>
                </w:rPr>
                <w:t xml:space="preserve">Nigel Strudwick, </w:t>
              </w:r>
              <w:proofErr w:type="gramStart"/>
              <w:r w:rsidRPr="00A1230E">
                <w:rPr>
                  <w:i/>
                  <w:iCs/>
                  <w:sz w:val="24"/>
                  <w:szCs w:val="24"/>
                </w:rPr>
                <w:t>The</w:t>
              </w:r>
              <w:proofErr w:type="gramEnd"/>
              <w:r w:rsidRPr="00A1230E">
                <w:rPr>
                  <w:i/>
                  <w:iCs/>
                  <w:sz w:val="24"/>
                  <w:szCs w:val="24"/>
                </w:rPr>
                <w:t xml:space="preserve"> tomb of Senneferi</w:t>
              </w:r>
              <w:r w:rsidR="006C6942" w:rsidRPr="00A1230E">
                <w:rPr>
                  <w:i/>
                  <w:iCs/>
                  <w:sz w:val="24"/>
                  <w:szCs w:val="24"/>
                </w:rPr>
                <w:t>: Theban tomb 99</w:t>
              </w:r>
              <w:r w:rsidR="006C6942" w:rsidRPr="00A1230E">
                <w:rPr>
                  <w:sz w:val="24"/>
                  <w:szCs w:val="24"/>
                </w:rPr>
                <w:t xml:space="preserve"> (1997-2018) </w:t>
              </w:r>
              <w:hyperlink r:id="rId8" w:history="1">
                <w:r w:rsidR="006C6942" w:rsidRPr="00A1230E">
                  <w:rPr>
                    <w:rStyle w:val="Hyperlink"/>
                    <w:sz w:val="24"/>
                    <w:szCs w:val="24"/>
                  </w:rPr>
                  <w:t>https://tt99.fitz.ms/index.html</w:t>
                </w:r>
              </w:hyperlink>
              <w:r w:rsidR="006C6942" w:rsidRPr="00A1230E">
                <w:rPr>
                  <w:sz w:val="24"/>
                  <w:szCs w:val="24"/>
                </w:rPr>
                <w:t xml:space="preserve"> [accessed: 13</w:t>
              </w:r>
              <w:r w:rsidR="006C6942" w:rsidRPr="00A1230E">
                <w:rPr>
                  <w:sz w:val="24"/>
                  <w:szCs w:val="24"/>
                  <w:vertAlign w:val="superscript"/>
                </w:rPr>
                <w:t>th</w:t>
              </w:r>
              <w:r w:rsidR="006C6942" w:rsidRPr="00A1230E">
                <w:rPr>
                  <w:sz w:val="24"/>
                  <w:szCs w:val="24"/>
                </w:rPr>
                <w:t xml:space="preserve"> March 2026].</w:t>
              </w:r>
            </w:p>
            <w:p w14:paraId="353BE7F0" w14:textId="563DB3DC" w:rsidR="00CC4379" w:rsidRPr="00A1230E" w:rsidRDefault="00CC4379">
              <w:pPr>
                <w:rPr>
                  <w:rFonts w:ascii="Helvetica" w:hAnsi="Helvetica"/>
                  <w:color w:val="343332"/>
                  <w:spacing w:val="-5"/>
                </w:rPr>
              </w:pPr>
              <w:r w:rsidRPr="00A1230E">
                <w:tab/>
              </w:r>
            </w:p>
            <w:p w14:paraId="7C8C6BEE" w14:textId="59BAD244" w:rsidR="00487066" w:rsidRDefault="00487066">
              <w:r>
                <w:rPr>
                  <w:rFonts w:ascii="Helvetica" w:hAnsi="Helvetica"/>
                  <w:color w:val="343332"/>
                  <w:spacing w:val="-5"/>
                </w:rPr>
                <w:tab/>
              </w:r>
            </w:p>
          </w:sdtContent>
        </w:sdt>
      </w:sdtContent>
    </w:sdt>
    <w:p w14:paraId="4C7E067F" w14:textId="77777777" w:rsidR="00487066" w:rsidRPr="00380AAD" w:rsidRDefault="00487066" w:rsidP="005D2EA1">
      <w:pPr>
        <w:ind w:firstLine="720"/>
      </w:pPr>
    </w:p>
    <w:sectPr w:rsidR="00487066" w:rsidRPr="00380AAD">
      <w:headerReference w:type="default" r:id="rId9"/>
      <w:foot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46D93712" w14:textId="77777777" w:rsidR="0037375F" w:rsidRDefault="0037375F" w:rsidP="0037375F">
      <w:r>
        <w:separator/>
      </w:r>
    </w:p>
  </w:endnote>
  <w:endnote w:type="continuationSeparator" w:id="0">
    <w:p w14:paraId="5536B8A4" w14:textId="77777777" w:rsidR="0037375F" w:rsidRDefault="0037375F" w:rsidP="0037375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001FB0A5" w14:textId="7C3F2B04" w:rsidR="0037375F" w:rsidRDefault="0037375F">
    <w:pPr>
      <w:pStyle w:val="Footer"/>
    </w:pPr>
    <w:r>
      <w:t>Caradoc Ewing (2305893)</w:t>
    </w:r>
  </w:p>
  <w:p w14:paraId="5C262A51" w14:textId="77777777" w:rsidR="0037375F" w:rsidRDefault="0037375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1B5C01A8" w14:textId="77777777" w:rsidR="0037375F" w:rsidRDefault="0037375F" w:rsidP="0037375F">
      <w:r>
        <w:separator/>
      </w:r>
    </w:p>
  </w:footnote>
  <w:footnote w:type="continuationSeparator" w:id="0">
    <w:p w14:paraId="6779B498" w14:textId="77777777" w:rsidR="0037375F" w:rsidRDefault="0037375F" w:rsidP="0037375F">
      <w:r>
        <w:continuationSeparator/>
      </w:r>
    </w:p>
  </w:footnote>
  <w:footnote w:id="1">
    <w:p w14:paraId="1F6A6BAC" w14:textId="4A6CAF34" w:rsidR="002B0775" w:rsidRPr="0082746E" w:rsidRDefault="002B0775">
      <w:pPr>
        <w:pStyle w:val="FootnoteText"/>
      </w:pPr>
      <w:r>
        <w:rPr>
          <w:rStyle w:val="FootnoteReference"/>
        </w:rPr>
        <w:footnoteRef/>
      </w:r>
      <w:r>
        <w:t xml:space="preserve"> Helen Strudwick</w:t>
      </w:r>
      <w:r w:rsidR="0082746E">
        <w:t>,</w:t>
      </w:r>
      <w:r w:rsidR="00D94623">
        <w:t xml:space="preserve"> &amp;</w:t>
      </w:r>
      <w:r w:rsidR="0082746E">
        <w:t xml:space="preserve"> Trevor F. Emmett, ‘</w:t>
      </w:r>
      <w:r w:rsidR="0082746E" w:rsidRPr="0082746E">
        <w:t>The Geological and Geographical Setting of TT99</w:t>
      </w:r>
      <w:r w:rsidR="0082746E">
        <w:t xml:space="preserve">’, in </w:t>
      </w:r>
      <w:r w:rsidR="0082746E" w:rsidRPr="0082746E">
        <w:rPr>
          <w:i/>
          <w:iCs/>
        </w:rPr>
        <w:t>The Tomb of Pharaoh’s Chancellor Senneferi at Thebes (TT99)</w:t>
      </w:r>
      <w:r w:rsidR="0082746E">
        <w:rPr>
          <w:i/>
          <w:iCs/>
        </w:rPr>
        <w:t>,</w:t>
      </w:r>
      <w:r w:rsidR="0082746E">
        <w:t xml:space="preserve"> ed. Nigel Strudwick, 1</w:t>
      </w:r>
      <w:r w:rsidR="0082746E" w:rsidRPr="0082746E">
        <w:rPr>
          <w:vertAlign w:val="superscript"/>
        </w:rPr>
        <w:t>st</w:t>
      </w:r>
      <w:r w:rsidR="0082746E">
        <w:t xml:space="preserve"> </w:t>
      </w:r>
      <w:proofErr w:type="spellStart"/>
      <w:r w:rsidR="0082746E">
        <w:t>edn</w:t>
      </w:r>
      <w:proofErr w:type="spellEnd"/>
      <w:r w:rsidR="0082746E">
        <w:t>. (UK: Oxbow, 2016)</w:t>
      </w:r>
      <w:r w:rsidR="00472AF2">
        <w:t xml:space="preserve">, pp. </w:t>
      </w:r>
      <w:r w:rsidR="00472AF2">
        <w:rPr>
          <w:rFonts w:ascii="Helvetica" w:hAnsi="Helvetica"/>
          <w:color w:val="343332"/>
          <w:spacing w:val="-5"/>
        </w:rPr>
        <w:t>37-44</w:t>
      </w:r>
      <w:r w:rsidR="00472AF2">
        <w:rPr>
          <w:rFonts w:ascii="Helvetica" w:hAnsi="Helvetica"/>
          <w:color w:val="343332"/>
          <w:spacing w:val="-5"/>
        </w:rPr>
        <w:t xml:space="preserve"> (p.38).</w:t>
      </w:r>
    </w:p>
  </w:footnote>
  <w:footnote w:id="2">
    <w:p w14:paraId="59B460D9" w14:textId="2AEBC223" w:rsidR="00472AF2" w:rsidRDefault="00472AF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D94623">
        <w:t xml:space="preserve">Nigel Strudwick, ‘Introduction’, </w:t>
      </w:r>
      <w:r w:rsidR="00D94623">
        <w:t xml:space="preserve">, in </w:t>
      </w:r>
      <w:r w:rsidR="00D94623" w:rsidRPr="0082746E">
        <w:rPr>
          <w:i/>
          <w:iCs/>
        </w:rPr>
        <w:t>The Tomb of Pharaoh’s Chancellor Senneferi at Thebes (TT99)</w:t>
      </w:r>
      <w:r w:rsidR="00D94623">
        <w:rPr>
          <w:i/>
          <w:iCs/>
        </w:rPr>
        <w:t>,</w:t>
      </w:r>
      <w:r w:rsidR="00D94623">
        <w:t xml:space="preserve"> ed. Nigel Strudwick, 1</w:t>
      </w:r>
      <w:r w:rsidR="00D94623" w:rsidRPr="0082746E">
        <w:rPr>
          <w:vertAlign w:val="superscript"/>
        </w:rPr>
        <w:t>st</w:t>
      </w:r>
      <w:r w:rsidR="00D94623">
        <w:t xml:space="preserve"> </w:t>
      </w:r>
      <w:proofErr w:type="spellStart"/>
      <w:r w:rsidR="00D94623">
        <w:t>edn</w:t>
      </w:r>
      <w:proofErr w:type="spellEnd"/>
      <w:r w:rsidR="00D94623">
        <w:t>. (UK: Oxbow, 2016), pp.</w:t>
      </w:r>
      <w:r w:rsidR="00D94623">
        <w:t xml:space="preserve"> 1-7 (p.1).</w:t>
      </w:r>
    </w:p>
  </w:footnote>
  <w:footnote w:id="3">
    <w:p w14:paraId="3A6805DB" w14:textId="11192073" w:rsidR="00A16194" w:rsidRDefault="00A16194">
      <w:pPr>
        <w:pStyle w:val="FootnoteText"/>
      </w:pPr>
      <w:r>
        <w:rPr>
          <w:rStyle w:val="FootnoteReference"/>
        </w:rPr>
        <w:footnoteRef/>
      </w:r>
      <w:r>
        <w:t xml:space="preserve"> Ibid., pp. 1-2.</w:t>
      </w:r>
    </w:p>
  </w:footnote>
  <w:footnote w:id="4">
    <w:p w14:paraId="2D08416A" w14:textId="778F9E7F" w:rsidR="00A16194" w:rsidRDefault="00A16194">
      <w:pPr>
        <w:pStyle w:val="FootnoteText"/>
      </w:pPr>
      <w:r>
        <w:rPr>
          <w:rStyle w:val="FootnoteReference"/>
        </w:rPr>
        <w:footnoteRef/>
      </w:r>
      <w:r>
        <w:t xml:space="preserve"> Ibid., p.3. </w:t>
      </w:r>
    </w:p>
  </w:footnote>
  <w:footnote w:id="5">
    <w:p w14:paraId="2F2E65B2" w14:textId="731DBB38" w:rsidR="0056088F" w:rsidRDefault="0056088F">
      <w:pPr>
        <w:pStyle w:val="FootnoteText"/>
      </w:pPr>
      <w:r>
        <w:rPr>
          <w:rStyle w:val="FootnoteReference"/>
        </w:rPr>
        <w:footnoteRef/>
      </w:r>
      <w:r>
        <w:t xml:space="preserve"> Nigel Strudwick, et al., </w:t>
      </w:r>
      <w:r w:rsidRPr="0082746E">
        <w:rPr>
          <w:i/>
          <w:iCs/>
        </w:rPr>
        <w:t>The Tomb of Pharaoh’s Chancellor Senneferi at Thebes (TT99)</w:t>
      </w:r>
      <w:r>
        <w:rPr>
          <w:i/>
          <w:iCs/>
        </w:rPr>
        <w:t>,</w:t>
      </w:r>
      <w:r>
        <w:t xml:space="preserve"> ed. Nigel Strudwick, 1</w:t>
      </w:r>
      <w:r w:rsidRPr="0082746E">
        <w:rPr>
          <w:vertAlign w:val="superscript"/>
        </w:rPr>
        <w:t>st</w:t>
      </w:r>
      <w:r>
        <w:t xml:space="preserve"> </w:t>
      </w:r>
      <w:proofErr w:type="spellStart"/>
      <w:r>
        <w:t>edn</w:t>
      </w:r>
      <w:proofErr w:type="spellEnd"/>
      <w:r>
        <w:t>. (UK: Oxbow, 2016)</w:t>
      </w:r>
      <w:r>
        <w:t xml:space="preserve">; Nigel Strudwick, </w:t>
      </w:r>
      <w:proofErr w:type="gramStart"/>
      <w:r>
        <w:rPr>
          <w:i/>
          <w:iCs/>
        </w:rPr>
        <w:t>The</w:t>
      </w:r>
      <w:proofErr w:type="gramEnd"/>
      <w:r>
        <w:rPr>
          <w:i/>
          <w:iCs/>
        </w:rPr>
        <w:t xml:space="preserve"> tomb of Senneferi: Theban tomb 99</w:t>
      </w:r>
      <w:r>
        <w:t xml:space="preserve"> (1997-2018)</w:t>
      </w:r>
      <w:r w:rsidR="00302C90">
        <w:t xml:space="preserve"> </w:t>
      </w:r>
      <w:hyperlink r:id="rId1" w:history="1">
        <w:r w:rsidR="00302C90" w:rsidRPr="009E4B83">
          <w:rPr>
            <w:rStyle w:val="Hyperlink"/>
          </w:rPr>
          <w:t>https://tt99.fitz.ms/index.html</w:t>
        </w:r>
      </w:hyperlink>
      <w:r>
        <w:t xml:space="preserve"> [accessed: 13</w:t>
      </w:r>
      <w:r w:rsidRPr="0056088F">
        <w:rPr>
          <w:vertAlign w:val="superscript"/>
        </w:rPr>
        <w:t>th</w:t>
      </w:r>
      <w:r>
        <w:t xml:space="preserve"> March 2026].</w:t>
      </w:r>
    </w:p>
  </w:footnote>
  <w:footnote w:id="6">
    <w:p w14:paraId="555D33B2" w14:textId="7CA207B1" w:rsidR="00F844D8" w:rsidRDefault="00F844D8">
      <w:pPr>
        <w:pStyle w:val="FootnoteText"/>
      </w:pPr>
      <w:r>
        <w:rPr>
          <w:rStyle w:val="FootnoteReference"/>
        </w:rPr>
        <w:footnoteRef/>
      </w:r>
      <w:r>
        <w:t xml:space="preserve"> Strudwick, N., ‘Introduction’, p. 1.</w:t>
      </w:r>
    </w:p>
  </w:footnote>
  <w:footnote w:id="7">
    <w:p w14:paraId="35B97EB0" w14:textId="46CF1904" w:rsidR="001D1FC3" w:rsidRDefault="001D1FC3">
      <w:pPr>
        <w:pStyle w:val="FootnoteText"/>
      </w:pPr>
      <w:r>
        <w:rPr>
          <w:rStyle w:val="FootnoteReference"/>
        </w:rPr>
        <w:footnoteRef/>
      </w:r>
      <w:r>
        <w:t xml:space="preserve"> Ibid., p. 6-7. </w:t>
      </w:r>
    </w:p>
  </w:footnote>
  <w:footnote w:id="8">
    <w:p w14:paraId="44969B75" w14:textId="5C61E199" w:rsidR="00536AE9" w:rsidRDefault="00536AE9">
      <w:pPr>
        <w:pStyle w:val="FootnoteText"/>
      </w:pPr>
      <w:r>
        <w:rPr>
          <w:rStyle w:val="FootnoteReference"/>
        </w:rPr>
        <w:footnoteRef/>
      </w:r>
      <w:r>
        <w:t xml:space="preserve"> Strudwick, H., &amp; Emmett, Trevor F., </w:t>
      </w:r>
      <w:r w:rsidRPr="00536AE9">
        <w:t>‘The Geological and Geographical Setting of TT99’</w:t>
      </w:r>
      <w:r>
        <w:t>, pp. 38-39.</w:t>
      </w:r>
    </w:p>
  </w:footnote>
  <w:footnote w:id="9">
    <w:p w14:paraId="6C11ED5B" w14:textId="549149CA" w:rsidR="00234823" w:rsidRDefault="00234823">
      <w:pPr>
        <w:pStyle w:val="FootnoteText"/>
      </w:pPr>
      <w:r>
        <w:rPr>
          <w:rStyle w:val="FootnoteReference"/>
        </w:rPr>
        <w:footnoteRef/>
      </w:r>
      <w:r>
        <w:t xml:space="preserve"> Ibid., p. 39.</w:t>
      </w:r>
    </w:p>
  </w:footnote>
  <w:footnote w:id="10">
    <w:p w14:paraId="0FBB3E78" w14:textId="523F4F8B" w:rsidR="00234823" w:rsidRDefault="00234823">
      <w:pPr>
        <w:pStyle w:val="FootnoteText"/>
      </w:pPr>
      <w:r>
        <w:rPr>
          <w:rStyle w:val="FootnoteReference"/>
        </w:rPr>
        <w:footnoteRef/>
      </w:r>
      <w:r>
        <w:t xml:space="preserve"> Ibid., p. 39.</w:t>
      </w:r>
    </w:p>
  </w:footnote>
  <w:footnote w:id="11">
    <w:p w14:paraId="458DF982" w14:textId="67659484" w:rsidR="00EC1760" w:rsidRDefault="00EC176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02734C">
        <w:t>Ibid., p, 39-40.</w:t>
      </w:r>
    </w:p>
  </w:footnote>
  <w:footnote w:id="12">
    <w:p w14:paraId="2BB435D1" w14:textId="4E25EABD" w:rsidR="0002734C" w:rsidRDefault="0002734C">
      <w:pPr>
        <w:pStyle w:val="FootnoteText"/>
      </w:pPr>
      <w:r>
        <w:rPr>
          <w:rStyle w:val="FootnoteReference"/>
        </w:rPr>
        <w:footnoteRef/>
      </w:r>
      <w:r>
        <w:t xml:space="preserve"> Ibid., p.40.</w:t>
      </w:r>
    </w:p>
  </w:footnote>
  <w:footnote w:id="13">
    <w:p w14:paraId="3C06E233" w14:textId="6B54B755" w:rsidR="00B52344" w:rsidRDefault="00B5234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9033C5">
        <w:t xml:space="preserve">Nigel Strudwick, </w:t>
      </w:r>
      <w:r w:rsidR="009033C5">
        <w:t>‘Schematic diagram of TT99</w:t>
      </w:r>
      <w:r w:rsidR="00EE6742">
        <w:t>’</w:t>
      </w:r>
      <w:r w:rsidR="009033C5">
        <w:t xml:space="preserve">, </w:t>
      </w:r>
      <w:r w:rsidR="009033C5">
        <w:rPr>
          <w:i/>
          <w:iCs/>
        </w:rPr>
        <w:t>The tomb of Senneferi: Theban tomb 99</w:t>
      </w:r>
      <w:r w:rsidR="009033C5">
        <w:t xml:space="preserve"> </w:t>
      </w:r>
      <w:r w:rsidR="00421387">
        <w:t>&lt;</w:t>
      </w:r>
      <w:hyperlink r:id="rId2" w:history="1">
        <w:r w:rsidR="00421387" w:rsidRPr="009E4B83">
          <w:rPr>
            <w:rStyle w:val="Hyperlink"/>
            <w:b/>
            <w:bCs/>
          </w:rPr>
          <w:t>https://tt99.fitz.ms/architecture/schematic.html</w:t>
        </w:r>
      </w:hyperlink>
      <w:r w:rsidR="00421387">
        <w:rPr>
          <w:b/>
          <w:bCs/>
        </w:rPr>
        <w:t xml:space="preserve">&gt; </w:t>
      </w:r>
      <w:r w:rsidR="009033C5">
        <w:t>(1997-2018) [accessed: 13</w:t>
      </w:r>
      <w:r w:rsidR="009033C5" w:rsidRPr="0056088F">
        <w:rPr>
          <w:vertAlign w:val="superscript"/>
        </w:rPr>
        <w:t>th</w:t>
      </w:r>
      <w:r w:rsidR="009033C5">
        <w:t xml:space="preserve"> March 2026].</w:t>
      </w:r>
    </w:p>
  </w:footnote>
  <w:footnote w:id="14">
    <w:p w14:paraId="62A8FC93" w14:textId="7040B671" w:rsidR="002C1296" w:rsidRDefault="002C129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C00F8B">
        <w:t xml:space="preserve">Helen Strudwick, &amp; Nigel Strudwick, </w:t>
      </w:r>
      <w:r w:rsidR="00743A13">
        <w:t>‘</w:t>
      </w:r>
      <w:r w:rsidR="00743A13" w:rsidRPr="00743A13">
        <w:t>The tomb, its architecture and history</w:t>
      </w:r>
      <w:r w:rsidR="00743A13">
        <w:t xml:space="preserve">’, </w:t>
      </w:r>
      <w:r w:rsidR="00F45132">
        <w:t xml:space="preserve">in </w:t>
      </w:r>
      <w:r w:rsidR="00334441" w:rsidRPr="0082746E">
        <w:rPr>
          <w:i/>
          <w:iCs/>
        </w:rPr>
        <w:t>The Tomb of Pharaoh’s Chancellor Senneferi at Thebes (TT99)</w:t>
      </w:r>
      <w:r w:rsidR="00334441">
        <w:rPr>
          <w:i/>
          <w:iCs/>
        </w:rPr>
        <w:t>,</w:t>
      </w:r>
      <w:r w:rsidR="00334441">
        <w:t xml:space="preserve"> ed. Nigel Strudwick, 1</w:t>
      </w:r>
      <w:r w:rsidR="00334441" w:rsidRPr="0082746E">
        <w:rPr>
          <w:vertAlign w:val="superscript"/>
        </w:rPr>
        <w:t>st</w:t>
      </w:r>
      <w:r w:rsidR="00334441">
        <w:t xml:space="preserve"> </w:t>
      </w:r>
      <w:proofErr w:type="spellStart"/>
      <w:r w:rsidR="00334441">
        <w:t>edn</w:t>
      </w:r>
      <w:proofErr w:type="spellEnd"/>
      <w:r w:rsidR="00334441">
        <w:t>. (UK: Oxbow, 2016), pp.</w:t>
      </w:r>
      <w:r w:rsidR="00334441">
        <w:t xml:space="preserve"> 45-83 (p. 45). </w:t>
      </w:r>
    </w:p>
  </w:footnote>
  <w:footnote w:id="15">
    <w:p w14:paraId="1EF849FB" w14:textId="5BD74568" w:rsidR="00DC22DE" w:rsidRDefault="00DC22DE">
      <w:pPr>
        <w:pStyle w:val="FootnoteText"/>
      </w:pPr>
      <w:r>
        <w:rPr>
          <w:rStyle w:val="FootnoteReference"/>
        </w:rPr>
        <w:footnoteRef/>
      </w:r>
      <w:r>
        <w:t xml:space="preserve"> Ibid.</w:t>
      </w:r>
    </w:p>
  </w:footnote>
  <w:footnote w:id="16">
    <w:p w14:paraId="2B831542" w14:textId="135BE399" w:rsidR="003B1102" w:rsidRDefault="003B1102">
      <w:pPr>
        <w:pStyle w:val="FootnoteText"/>
      </w:pPr>
      <w:r>
        <w:rPr>
          <w:rStyle w:val="FootnoteReference"/>
        </w:rPr>
        <w:footnoteRef/>
      </w:r>
      <w:r>
        <w:t xml:space="preserve"> Ibid., p. 49.</w:t>
      </w:r>
    </w:p>
  </w:footnote>
  <w:footnote w:id="17">
    <w:p w14:paraId="073DAB7C" w14:textId="0552088C" w:rsidR="00124985" w:rsidRDefault="00124985">
      <w:pPr>
        <w:pStyle w:val="FootnoteText"/>
      </w:pPr>
      <w:r>
        <w:rPr>
          <w:rStyle w:val="FootnoteReference"/>
        </w:rPr>
        <w:footnoteRef/>
      </w:r>
      <w:r>
        <w:t xml:space="preserve"> Ibid.</w:t>
      </w:r>
    </w:p>
  </w:footnote>
  <w:footnote w:id="18">
    <w:p w14:paraId="7B7513C2" w14:textId="2DB03A5F" w:rsidR="007C04BB" w:rsidRPr="001D1B2F" w:rsidRDefault="007C04B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486A56">
        <w:t xml:space="preserve">Jiro Kondo, </w:t>
      </w:r>
      <w:r w:rsidR="005B171B">
        <w:t>‘Inscribed funerary cones</w:t>
      </w:r>
      <w:r w:rsidR="007B1236">
        <w:t xml:space="preserve"> from the Theban necropolis’, </w:t>
      </w:r>
      <w:r w:rsidR="00094A83">
        <w:rPr>
          <w:i/>
          <w:iCs/>
        </w:rPr>
        <w:t>Orient</w:t>
      </w:r>
      <w:r w:rsidR="001D1B2F">
        <w:t>, 23.5 (1987)</w:t>
      </w:r>
      <w:r w:rsidR="00492A1F">
        <w:t xml:space="preserve"> pp.</w:t>
      </w:r>
      <w:r w:rsidR="00DF69FD">
        <w:t xml:space="preserve"> 63-76 (p. 67).</w:t>
      </w:r>
    </w:p>
  </w:footnote>
  <w:footnote w:id="19">
    <w:p w14:paraId="6333FC5D" w14:textId="2477E281" w:rsidR="00807E49" w:rsidRDefault="00807E4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59711E">
        <w:t>Strudwick H., &amp; Strudwick, N., ‘</w:t>
      </w:r>
      <w:r w:rsidR="0059711E" w:rsidRPr="00743A13">
        <w:t>The tomb, its architecture and history</w:t>
      </w:r>
      <w:r w:rsidR="0059711E">
        <w:t>’, p</w:t>
      </w:r>
      <w:r w:rsidR="0059711E">
        <w:t>p</w:t>
      </w:r>
      <w:r w:rsidR="0059711E">
        <w:t>.</w:t>
      </w:r>
      <w:r w:rsidR="0059711E">
        <w:t xml:space="preserve"> 49-50.</w:t>
      </w:r>
    </w:p>
  </w:footnote>
  <w:footnote w:id="20">
    <w:p w14:paraId="3FC8815C" w14:textId="25088B9A" w:rsidR="00807E49" w:rsidRDefault="00807E49">
      <w:pPr>
        <w:pStyle w:val="FootnoteText"/>
      </w:pPr>
      <w:r>
        <w:rPr>
          <w:rStyle w:val="FootnoteReference"/>
        </w:rPr>
        <w:footnoteRef/>
      </w:r>
      <w:r>
        <w:t xml:space="preserve"> I</w:t>
      </w:r>
      <w:r w:rsidR="0059711E">
        <w:t xml:space="preserve">bid., p. </w:t>
      </w:r>
      <w:r>
        <w:t>50.</w:t>
      </w:r>
    </w:p>
  </w:footnote>
  <w:footnote w:id="21">
    <w:p w14:paraId="7C14B4C7" w14:textId="14295C63" w:rsidR="00895AEC" w:rsidRDefault="00895AE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F45132">
        <w:t>Nigel Strudwick, ‘</w:t>
      </w:r>
      <w:r w:rsidR="00F45132" w:rsidRPr="00F45132">
        <w:t>Senneferi, His Family and Related Monuments</w:t>
      </w:r>
      <w:r w:rsidR="00F45132">
        <w:t xml:space="preserve">’, </w:t>
      </w:r>
      <w:r w:rsidR="00F45132">
        <w:t xml:space="preserve">in </w:t>
      </w:r>
      <w:r w:rsidR="00F45132" w:rsidRPr="0082746E">
        <w:rPr>
          <w:i/>
          <w:iCs/>
        </w:rPr>
        <w:t>The Tomb of Pharaoh’s Chancellor Senneferi at Thebes (TT99)</w:t>
      </w:r>
      <w:r w:rsidR="00F45132">
        <w:rPr>
          <w:i/>
          <w:iCs/>
        </w:rPr>
        <w:t>,</w:t>
      </w:r>
      <w:r w:rsidR="00F45132">
        <w:t xml:space="preserve"> ed. Nigel Strudwick, 1</w:t>
      </w:r>
      <w:r w:rsidR="00F45132" w:rsidRPr="0082746E">
        <w:rPr>
          <w:vertAlign w:val="superscript"/>
        </w:rPr>
        <w:t>st</w:t>
      </w:r>
      <w:r w:rsidR="00F45132">
        <w:t xml:space="preserve"> </w:t>
      </w:r>
      <w:proofErr w:type="spellStart"/>
      <w:r w:rsidR="00F45132">
        <w:t>edn</w:t>
      </w:r>
      <w:proofErr w:type="spellEnd"/>
      <w:r w:rsidR="00F45132">
        <w:t>. (UK: Oxbow, 2016), pp.</w:t>
      </w:r>
      <w:r w:rsidR="00731166">
        <w:t xml:space="preserve"> 8-36 (p. 14).</w:t>
      </w:r>
    </w:p>
  </w:footnote>
  <w:footnote w:id="22">
    <w:p w14:paraId="33D652A5" w14:textId="5896D66E" w:rsidR="00001C83" w:rsidRDefault="00001C8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731166">
        <w:t>Ibid.</w:t>
      </w:r>
    </w:p>
  </w:footnote>
  <w:footnote w:id="23">
    <w:p w14:paraId="7406377D" w14:textId="31E119BA" w:rsidR="005E3264" w:rsidRDefault="005E326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866083">
        <w:t>Strudwick H., &amp; Strudwick, N., ‘</w:t>
      </w:r>
      <w:r w:rsidR="00866083" w:rsidRPr="00743A13">
        <w:t>The tomb, its architecture and history</w:t>
      </w:r>
      <w:r w:rsidR="00866083">
        <w:t>’, p</w:t>
      </w:r>
      <w:r w:rsidR="00866083">
        <w:t>. 61.</w:t>
      </w:r>
    </w:p>
  </w:footnote>
  <w:footnote w:id="24">
    <w:p w14:paraId="558FA0D2" w14:textId="648DFF44" w:rsidR="00A26E47" w:rsidRDefault="00A26E4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t>Strudwick, N., , ‘</w:t>
      </w:r>
      <w:r w:rsidRPr="00F45132">
        <w:t>Senneferi, His Family and Related Monuments</w:t>
      </w:r>
      <w:r>
        <w:t>’</w:t>
      </w:r>
      <w:r>
        <w:t>, p.9.</w:t>
      </w:r>
    </w:p>
  </w:footnote>
  <w:footnote w:id="25">
    <w:p w14:paraId="3189C14F" w14:textId="2AA86D3A" w:rsidR="002A65BF" w:rsidRDefault="002A65BF">
      <w:pPr>
        <w:pStyle w:val="FootnoteText"/>
      </w:pPr>
      <w:r>
        <w:rPr>
          <w:rStyle w:val="FootnoteReference"/>
        </w:rPr>
        <w:footnoteRef/>
      </w:r>
      <w:r>
        <w:t xml:space="preserve"> Ibid., p. 13.</w:t>
      </w:r>
    </w:p>
  </w:footnote>
  <w:footnote w:id="26">
    <w:p w14:paraId="0773218E" w14:textId="15E87CD5" w:rsidR="00A157B1" w:rsidRDefault="00A157B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76523A">
        <w:t>Nigel Strudwick, ‘</w:t>
      </w:r>
      <w:r w:rsidR="0076523A" w:rsidRPr="0076523A">
        <w:t>The Decoration of the Chapel</w:t>
      </w:r>
      <w:r w:rsidR="0076523A">
        <w:t xml:space="preserve">’, </w:t>
      </w:r>
      <w:r w:rsidR="00334690">
        <w:t xml:space="preserve">, in </w:t>
      </w:r>
      <w:r w:rsidR="00334690" w:rsidRPr="0082746E">
        <w:rPr>
          <w:i/>
          <w:iCs/>
        </w:rPr>
        <w:t>The Tomb of Pharaoh’s Chancellor Senneferi at Thebes (TT99)</w:t>
      </w:r>
      <w:r w:rsidR="00334690">
        <w:rPr>
          <w:i/>
          <w:iCs/>
        </w:rPr>
        <w:t>,</w:t>
      </w:r>
      <w:r w:rsidR="00334690">
        <w:t xml:space="preserve"> ed. Nigel Strudwick, 1</w:t>
      </w:r>
      <w:r w:rsidR="00334690" w:rsidRPr="0082746E">
        <w:rPr>
          <w:vertAlign w:val="superscript"/>
        </w:rPr>
        <w:t>st</w:t>
      </w:r>
      <w:r w:rsidR="00334690">
        <w:t xml:space="preserve"> </w:t>
      </w:r>
      <w:proofErr w:type="spellStart"/>
      <w:r w:rsidR="00334690">
        <w:t>edn</w:t>
      </w:r>
      <w:proofErr w:type="spellEnd"/>
      <w:r w:rsidR="00334690">
        <w:t>. (UK: Oxbow, 2016), pp.</w:t>
      </w:r>
      <w:r w:rsidR="00334690">
        <w:t xml:space="preserve"> 86-160 (pp. 98-100).</w:t>
      </w:r>
    </w:p>
  </w:footnote>
  <w:footnote w:id="27">
    <w:p w14:paraId="50831ED7" w14:textId="31985B09" w:rsidR="00252EA2" w:rsidRDefault="00252EA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B66D0F">
        <w:t>Strudwick, N., , ‘</w:t>
      </w:r>
      <w:r w:rsidR="00B66D0F" w:rsidRPr="00F45132">
        <w:t>Senneferi, His Family and Related Monuments</w:t>
      </w:r>
      <w:r w:rsidR="00B66D0F">
        <w:t>’, p</w:t>
      </w:r>
      <w:r w:rsidR="00B66D0F">
        <w:t>. 16.</w:t>
      </w:r>
    </w:p>
  </w:footnote>
  <w:footnote w:id="28">
    <w:p w14:paraId="4439012D" w14:textId="3944FB34" w:rsidR="00AB7162" w:rsidRDefault="00AB7162">
      <w:pPr>
        <w:pStyle w:val="FootnoteText"/>
      </w:pPr>
      <w:r>
        <w:rPr>
          <w:rStyle w:val="FootnoteReference"/>
        </w:rPr>
        <w:footnoteRef/>
      </w:r>
      <w:r>
        <w:t xml:space="preserve"> Ibid.</w:t>
      </w:r>
    </w:p>
  </w:footnote>
  <w:footnote w:id="29">
    <w:p w14:paraId="36FAB43E" w14:textId="68D70A75" w:rsidR="0024396A" w:rsidRDefault="0024396A">
      <w:pPr>
        <w:pStyle w:val="FootnoteText"/>
      </w:pPr>
      <w:r>
        <w:rPr>
          <w:rStyle w:val="FootnoteReference"/>
        </w:rPr>
        <w:footnoteRef/>
      </w:r>
      <w:r>
        <w:t xml:space="preserve"> Ibid.</w:t>
      </w:r>
    </w:p>
  </w:footnote>
  <w:footnote w:id="30">
    <w:p w14:paraId="1E8FCBBB" w14:textId="05AE20AE" w:rsidR="00180107" w:rsidRDefault="00180107">
      <w:pPr>
        <w:pStyle w:val="FootnoteText"/>
      </w:pPr>
      <w:r>
        <w:rPr>
          <w:rStyle w:val="FootnoteReference"/>
        </w:rPr>
        <w:footnoteRef/>
      </w:r>
      <w:r>
        <w:t xml:space="preserve"> Ibid.</w:t>
      </w:r>
    </w:p>
  </w:footnote>
  <w:footnote w:id="31">
    <w:p w14:paraId="7C025C2E" w14:textId="6179B3A4" w:rsidR="00522974" w:rsidRDefault="0052297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t>Strudwick H., &amp; Strudwick, N., ‘</w:t>
      </w:r>
      <w:r w:rsidRPr="00743A13">
        <w:t>The tomb, its architecture and history</w:t>
      </w:r>
      <w:r>
        <w:t>’, p</w:t>
      </w:r>
      <w:r>
        <w:t>. 48.</w:t>
      </w:r>
    </w:p>
  </w:footnote>
  <w:footnote w:id="32">
    <w:p w14:paraId="4A2F4FCB" w14:textId="24E34EF9" w:rsidR="0028669E" w:rsidRDefault="0028669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8B17AD">
        <w:t>Strudwick,</w:t>
      </w:r>
      <w:r w:rsidR="008B17AD">
        <w:t xml:space="preserve"> N.,</w:t>
      </w:r>
      <w:r w:rsidR="008B17AD">
        <w:t xml:space="preserve"> ‘</w:t>
      </w:r>
      <w:r w:rsidR="008B17AD" w:rsidRPr="0076523A">
        <w:t>The Decoration of the Chapel</w:t>
      </w:r>
      <w:r w:rsidR="008B17AD">
        <w:t>’,</w:t>
      </w:r>
      <w:r w:rsidR="008B17AD">
        <w:t xml:space="preserve"> p. 88.</w:t>
      </w:r>
    </w:p>
  </w:footnote>
  <w:footnote w:id="33">
    <w:p w14:paraId="33051D03" w14:textId="77777777" w:rsidR="00C22F1B" w:rsidRDefault="00C22F1B" w:rsidP="00C22F1B">
      <w:pPr>
        <w:pStyle w:val="FootnoteText"/>
      </w:pPr>
      <w:r>
        <w:rPr>
          <w:rStyle w:val="FootnoteReference"/>
        </w:rPr>
        <w:footnoteRef/>
      </w:r>
      <w:r>
        <w:t xml:space="preserve"> Strudwick, N., , ‘</w:t>
      </w:r>
      <w:r w:rsidRPr="00F45132">
        <w:t>Senneferi, His Family and Related Monuments</w:t>
      </w:r>
      <w:r>
        <w:t>’, p. 16.</w:t>
      </w:r>
    </w:p>
  </w:footnote>
  <w:footnote w:id="34">
    <w:p w14:paraId="514AF485" w14:textId="34213629" w:rsidR="0050342A" w:rsidRDefault="0050342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t>Strudwick H., &amp; Strudwick, N., ‘</w:t>
      </w:r>
      <w:r w:rsidRPr="00743A13">
        <w:t>The tomb, its architecture and history</w:t>
      </w:r>
      <w:r>
        <w:t>’, p</w:t>
      </w:r>
      <w:r>
        <w:t>. 77.</w:t>
      </w:r>
    </w:p>
  </w:footnote>
  <w:footnote w:id="35">
    <w:p w14:paraId="69D3AB64" w14:textId="1F08490B" w:rsidR="00F35E22" w:rsidRPr="00094A9C" w:rsidRDefault="00F35E2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 w:rsidR="00013B0A">
        <w:t>Briant</w:t>
      </w:r>
      <w:proofErr w:type="spellEnd"/>
      <w:r w:rsidR="00013B0A">
        <w:t xml:space="preserve"> </w:t>
      </w:r>
      <w:proofErr w:type="spellStart"/>
      <w:r w:rsidR="00013B0A">
        <w:t>Bohleke</w:t>
      </w:r>
      <w:proofErr w:type="spellEnd"/>
      <w:r w:rsidR="00013B0A">
        <w:t xml:space="preserve">, &amp; Nigel Strudwick, </w:t>
      </w:r>
      <w:r w:rsidR="00206C5E">
        <w:t>‘</w:t>
      </w:r>
      <w:r w:rsidR="00206C5E" w:rsidRPr="00206C5E">
        <w:t>A Label for Opening of the Mouth Implements from the Burial of Senneferi (TT99) and Remarks on the Ritual</w:t>
      </w:r>
      <w:r w:rsidR="00206C5E">
        <w:t xml:space="preserve">’, </w:t>
      </w:r>
      <w:r w:rsidR="00094A9C" w:rsidRPr="00094A9C">
        <w:rPr>
          <w:i/>
          <w:iCs/>
        </w:rPr>
        <w:t>Études et Travaux</w:t>
      </w:r>
      <w:r w:rsidR="003219C4">
        <w:t>, 23.30 (2017) pp. 105-123 (p</w:t>
      </w:r>
      <w:r w:rsidR="003B69AF">
        <w:t>p</w:t>
      </w:r>
      <w:r w:rsidR="003219C4">
        <w:t>. 111-112).</w:t>
      </w:r>
    </w:p>
  </w:footnote>
  <w:footnote w:id="36">
    <w:p w14:paraId="5D99BA0F" w14:textId="452A74AA" w:rsidR="00042570" w:rsidRDefault="0004257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E60782">
        <w:t>John H. Taylor</w:t>
      </w:r>
      <w:r w:rsidR="00F5664D">
        <w:t>, ‘</w:t>
      </w:r>
      <w:r w:rsidR="00F5664D" w:rsidRPr="00F5664D">
        <w:t>The coffins from Shaft I</w:t>
      </w:r>
      <w:r w:rsidR="00F5664D">
        <w:t xml:space="preserve">’,  </w:t>
      </w:r>
      <w:r w:rsidR="00F5664D">
        <w:t xml:space="preserve">in </w:t>
      </w:r>
      <w:r w:rsidR="00F5664D" w:rsidRPr="0082746E">
        <w:rPr>
          <w:i/>
          <w:iCs/>
        </w:rPr>
        <w:t>The Tomb of Pharaoh’s Chancellor Senneferi at Thebes (TT99)</w:t>
      </w:r>
      <w:r w:rsidR="00F5664D">
        <w:rPr>
          <w:i/>
          <w:iCs/>
        </w:rPr>
        <w:t>,</w:t>
      </w:r>
      <w:r w:rsidR="00F5664D">
        <w:t xml:space="preserve"> ed. Nigel Strudwick, 1</w:t>
      </w:r>
      <w:r w:rsidR="00F5664D" w:rsidRPr="0082746E">
        <w:rPr>
          <w:vertAlign w:val="superscript"/>
        </w:rPr>
        <w:t>st</w:t>
      </w:r>
      <w:r w:rsidR="00F5664D">
        <w:t xml:space="preserve"> </w:t>
      </w:r>
      <w:proofErr w:type="spellStart"/>
      <w:r w:rsidR="00F5664D">
        <w:t>edn</w:t>
      </w:r>
      <w:proofErr w:type="spellEnd"/>
      <w:r w:rsidR="00F5664D">
        <w:t xml:space="preserve">. (UK: Oxbow, 2016), pp. </w:t>
      </w:r>
      <w:r w:rsidR="00C70DF3">
        <w:t>181-</w:t>
      </w:r>
      <w:r>
        <w:t>190</w:t>
      </w:r>
      <w:r w:rsidR="00C70DF3">
        <w:t xml:space="preserve"> (p. 190).</w:t>
      </w:r>
    </w:p>
  </w:footnote>
  <w:footnote w:id="37">
    <w:p w14:paraId="36E61056" w14:textId="3B139EC5" w:rsidR="009738E5" w:rsidRDefault="009738E5">
      <w:pPr>
        <w:pStyle w:val="FootnoteText"/>
      </w:pPr>
      <w:r>
        <w:rPr>
          <w:rStyle w:val="FootnoteReference"/>
        </w:rPr>
        <w:footnoteRef/>
      </w:r>
      <w:r>
        <w:t xml:space="preserve"> Rose </w:t>
      </w:r>
      <w:r w:rsidRPr="009738E5">
        <w:t>Pamela,</w:t>
      </w:r>
      <w:r>
        <w:t xml:space="preserve"> </w:t>
      </w:r>
      <w:r w:rsidRPr="009738E5">
        <w:t>The Ceramics from Shaft I</w:t>
      </w:r>
      <w:r>
        <w:t xml:space="preserve">’, </w:t>
      </w:r>
      <w:r>
        <w:t xml:space="preserve">in </w:t>
      </w:r>
      <w:r w:rsidRPr="0082746E">
        <w:rPr>
          <w:i/>
          <w:iCs/>
        </w:rPr>
        <w:t>The Tomb of Pharaoh’s Chancellor Senneferi at Thebes (TT99)</w:t>
      </w:r>
      <w:r>
        <w:rPr>
          <w:i/>
          <w:iCs/>
        </w:rPr>
        <w:t>,</w:t>
      </w:r>
      <w:r>
        <w:t xml:space="preserve"> ed. Nigel Strudwick, 1</w:t>
      </w:r>
      <w:r w:rsidRPr="0082746E">
        <w:rPr>
          <w:vertAlign w:val="superscript"/>
        </w:rPr>
        <w:t>st</w:t>
      </w:r>
      <w:r>
        <w:t xml:space="preserve"> </w:t>
      </w:r>
      <w:proofErr w:type="spellStart"/>
      <w:r>
        <w:t>edn</w:t>
      </w:r>
      <w:proofErr w:type="spellEnd"/>
      <w:r>
        <w:t>. (UK: Oxbow, 2016), pp</w:t>
      </w:r>
      <w:r>
        <w:t>. 191-238</w:t>
      </w:r>
      <w:r w:rsidR="0063538C">
        <w:t xml:space="preserve">.; </w:t>
      </w:r>
      <w:r w:rsidR="00AE1EE6" w:rsidRPr="00AE1EE6">
        <w:t>Nigel</w:t>
      </w:r>
      <w:r w:rsidR="00AE1EE6">
        <w:t xml:space="preserve"> Strudwick, ‘</w:t>
      </w:r>
      <w:r w:rsidR="00AE1EE6" w:rsidRPr="00AE1EE6">
        <w:t>Small Finds from Shaft I and an Overview of the Burial Assemblage of Senneferi</w:t>
      </w:r>
      <w:r w:rsidR="00AE1EE6">
        <w:t xml:space="preserve">’, </w:t>
      </w:r>
      <w:r w:rsidR="00680F63">
        <w:t xml:space="preserve">in </w:t>
      </w:r>
      <w:r w:rsidR="00680F63" w:rsidRPr="0082746E">
        <w:rPr>
          <w:i/>
          <w:iCs/>
        </w:rPr>
        <w:t>The Tomb of Pharaoh’s Chancellor Senneferi at Thebes (TT99)</w:t>
      </w:r>
      <w:r w:rsidR="00680F63">
        <w:rPr>
          <w:i/>
          <w:iCs/>
        </w:rPr>
        <w:t>,</w:t>
      </w:r>
      <w:r w:rsidR="00680F63">
        <w:t xml:space="preserve"> ed. Nigel Strudwick, 1</w:t>
      </w:r>
      <w:r w:rsidR="00680F63" w:rsidRPr="0082746E">
        <w:rPr>
          <w:vertAlign w:val="superscript"/>
        </w:rPr>
        <w:t>st</w:t>
      </w:r>
      <w:r w:rsidR="00680F63">
        <w:t xml:space="preserve"> </w:t>
      </w:r>
      <w:proofErr w:type="spellStart"/>
      <w:r w:rsidR="00680F63">
        <w:t>edn</w:t>
      </w:r>
      <w:proofErr w:type="spellEnd"/>
      <w:r w:rsidR="00680F63">
        <w:t>. (UK: Oxbow, 2016), pp.</w:t>
      </w:r>
      <w:r w:rsidR="000865A2">
        <w:t xml:space="preserve"> 260-292.; </w:t>
      </w:r>
      <w:r w:rsidR="008E1FDC" w:rsidRPr="008E1FDC">
        <w:t>Tony</w:t>
      </w:r>
      <w:r w:rsidR="008E1FDC">
        <w:t xml:space="preserve"> Waldron, ‘</w:t>
      </w:r>
      <w:r w:rsidR="008E1FDC" w:rsidRPr="008E1FDC">
        <w:t>The Human and Animal Remains from Shafts I and H</w:t>
      </w:r>
      <w:r w:rsidR="008E1FDC">
        <w:t xml:space="preserve">’, </w:t>
      </w:r>
      <w:r w:rsidR="00E271CC">
        <w:t xml:space="preserve">, in </w:t>
      </w:r>
      <w:r w:rsidR="00E271CC" w:rsidRPr="0082746E">
        <w:rPr>
          <w:i/>
          <w:iCs/>
        </w:rPr>
        <w:t>The Tomb of Pharaoh’s Chancellor Senneferi at Thebes (TT99)</w:t>
      </w:r>
      <w:r w:rsidR="00E271CC">
        <w:rPr>
          <w:i/>
          <w:iCs/>
        </w:rPr>
        <w:t>,</w:t>
      </w:r>
      <w:r w:rsidR="00E271CC">
        <w:t xml:space="preserve"> ed. Nigel Strudwick, 1</w:t>
      </w:r>
      <w:r w:rsidR="00E271CC" w:rsidRPr="0082746E">
        <w:rPr>
          <w:vertAlign w:val="superscript"/>
        </w:rPr>
        <w:t>st</w:t>
      </w:r>
      <w:r w:rsidR="00E271CC">
        <w:t xml:space="preserve"> </w:t>
      </w:r>
      <w:proofErr w:type="spellStart"/>
      <w:r w:rsidR="00E271CC">
        <w:t>edn</w:t>
      </w:r>
      <w:proofErr w:type="spellEnd"/>
      <w:r w:rsidR="00E271CC">
        <w:t>. (UK: Oxbow, 2016), pp.</w:t>
      </w:r>
      <w:r w:rsidR="00E271CC">
        <w:t xml:space="preserve"> 315-354.</w:t>
      </w:r>
    </w:p>
  </w:footnote>
  <w:footnote w:id="38">
    <w:p w14:paraId="31CE8E4D" w14:textId="0EA6C90C" w:rsidR="009C18CC" w:rsidRDefault="009C18C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AE1EE6">
        <w:t>Nigel</w:t>
      </w:r>
      <w:r>
        <w:t xml:space="preserve"> Strudwick, ‘</w:t>
      </w:r>
      <w:r w:rsidRPr="00AE1EE6">
        <w:t>Small Finds from Shaft I and an Overview of the Burial Assemblage of Senneferi</w:t>
      </w:r>
      <w:r>
        <w:t>’</w:t>
      </w:r>
      <w:r>
        <w:t>, p</w:t>
      </w:r>
      <w:r w:rsidR="008003A1">
        <w:t>. 260.</w:t>
      </w:r>
    </w:p>
  </w:footnote>
  <w:footnote w:id="39">
    <w:p w14:paraId="51451A7A" w14:textId="03A904DF" w:rsidR="005D2EA1" w:rsidRDefault="005D2EA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Bohleke</w:t>
      </w:r>
      <w:proofErr w:type="spellEnd"/>
      <w:r>
        <w:t xml:space="preserve">, &amp; Strudwick, </w:t>
      </w:r>
      <w:r>
        <w:t xml:space="preserve">N., </w:t>
      </w:r>
      <w:r>
        <w:t>‘</w:t>
      </w:r>
      <w:r w:rsidRPr="00206C5E">
        <w:t>A Label for Opening of the Mouth Implements from the Burial of Senneferi (TT99) and Remarks on the Ritual</w:t>
      </w:r>
      <w:r>
        <w:t>’,</w:t>
      </w:r>
      <w:r>
        <w:t xml:space="preserve"> p. 109.</w:t>
      </w:r>
    </w:p>
  </w:footnote>
  <w:footnote w:id="40">
    <w:p w14:paraId="2E9D2429" w14:textId="26CA689D" w:rsidR="006A0662" w:rsidRDefault="006A0662">
      <w:pPr>
        <w:pStyle w:val="FootnoteText"/>
      </w:pPr>
      <w:r>
        <w:rPr>
          <w:rStyle w:val="FootnoteReference"/>
        </w:rPr>
        <w:footnoteRef/>
      </w:r>
      <w:r>
        <w:t xml:space="preserve"> Ibid., p. 115-117.</w:t>
      </w:r>
    </w:p>
  </w:footnote>
  <w:footnote w:id="41">
    <w:p w14:paraId="1A546F03" w14:textId="004D2869" w:rsidR="0033053D" w:rsidRPr="00955E27" w:rsidRDefault="0033053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955E27">
        <w:t xml:space="preserve">John H. Taylor, </w:t>
      </w:r>
      <w:r w:rsidR="00955E27">
        <w:rPr>
          <w:i/>
          <w:iCs/>
        </w:rPr>
        <w:t>Death and the afterlife in ancient Egypt</w:t>
      </w:r>
      <w:r w:rsidR="00845E8F">
        <w:t xml:space="preserve"> (London: British Museum Press, 2001</w:t>
      </w:r>
      <w:r w:rsidR="00E7140F">
        <w:t>) pp. 92-93.</w:t>
      </w:r>
    </w:p>
  </w:footnote>
  <w:footnote w:id="42">
    <w:p w14:paraId="06D6ADC4" w14:textId="063D7D18" w:rsidR="004A2888" w:rsidRDefault="004A288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8E1FDC">
        <w:t>Tony</w:t>
      </w:r>
      <w:r>
        <w:t xml:space="preserve"> Waldron, ‘</w:t>
      </w:r>
      <w:r w:rsidRPr="008E1FDC">
        <w:t>The Human and Animal Remains from Shafts I and H</w:t>
      </w:r>
      <w:r>
        <w:t>’</w:t>
      </w:r>
      <w:r>
        <w:t xml:space="preserve">, p. </w:t>
      </w:r>
      <w:r w:rsidR="00592D76">
        <w:t xml:space="preserve">333. </w:t>
      </w:r>
    </w:p>
  </w:footnote>
  <w:footnote w:id="43">
    <w:p w14:paraId="6FB9AA33" w14:textId="0131E075" w:rsidR="00A93331" w:rsidRDefault="00A93331">
      <w:pPr>
        <w:pStyle w:val="FootnoteText"/>
      </w:pPr>
      <w:r>
        <w:rPr>
          <w:rStyle w:val="FootnoteReference"/>
        </w:rPr>
        <w:footnoteRef/>
      </w:r>
      <w:r>
        <w:t xml:space="preserve"> Ibid.</w:t>
      </w:r>
    </w:p>
  </w:footnote>
  <w:footnote w:id="44">
    <w:p w14:paraId="02702388" w14:textId="4FF26860" w:rsidR="0010341B" w:rsidRDefault="0010341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t>Strudwick,</w:t>
      </w:r>
      <w:r w:rsidR="00967A53">
        <w:t xml:space="preserve"> N.,</w:t>
      </w:r>
      <w:r>
        <w:t xml:space="preserve"> ‘</w:t>
      </w:r>
      <w:r w:rsidRPr="00AE1EE6">
        <w:t>Small Finds from Shaft I and an Overview of the Burial Assemblage of Senneferi</w:t>
      </w:r>
      <w:r>
        <w:t>’, p. 2</w:t>
      </w:r>
      <w:r>
        <w:t>79.</w:t>
      </w:r>
    </w:p>
  </w:footnote>
  <w:footnote w:id="45">
    <w:p w14:paraId="0795BCCE" w14:textId="6ADDCD17" w:rsidR="00836855" w:rsidRDefault="0083685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t>Strudwick, N., ‘</w:t>
      </w:r>
      <w:r w:rsidRPr="0076523A">
        <w:t>The Decoration of the Chapel</w:t>
      </w:r>
      <w:r>
        <w:t>’, p. 8</w:t>
      </w:r>
      <w:r>
        <w:t>7.</w:t>
      </w:r>
    </w:p>
  </w:footnote>
  <w:footnote w:id="46">
    <w:p w14:paraId="2EF900E2" w14:textId="5C6ED2E2" w:rsidR="00F36D9D" w:rsidRDefault="00F36D9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 w:rsidR="00EA041E">
        <w:t>Briant</w:t>
      </w:r>
      <w:proofErr w:type="spellEnd"/>
      <w:r w:rsidR="00EA041E">
        <w:t xml:space="preserve"> </w:t>
      </w:r>
      <w:proofErr w:type="spellStart"/>
      <w:r w:rsidR="00EA041E">
        <w:t>Bohleke</w:t>
      </w:r>
      <w:proofErr w:type="spellEnd"/>
      <w:r w:rsidR="00EA73DB">
        <w:t xml:space="preserve">, </w:t>
      </w:r>
      <w:r w:rsidR="00D173DC">
        <w:t>‘</w:t>
      </w:r>
      <w:r w:rsidR="00D173DC" w:rsidRPr="00D173DC">
        <w:t>The hieratic jar labels</w:t>
      </w:r>
      <w:r w:rsidR="00D173DC">
        <w:t xml:space="preserve">’, </w:t>
      </w:r>
      <w:r w:rsidR="00D173DC">
        <w:t xml:space="preserve">in </w:t>
      </w:r>
      <w:r w:rsidR="00D173DC" w:rsidRPr="0082746E">
        <w:rPr>
          <w:i/>
          <w:iCs/>
        </w:rPr>
        <w:t>The Tomb of Pharaoh’s Chancellor Senneferi at Thebes (TT99)</w:t>
      </w:r>
      <w:r w:rsidR="00D173DC">
        <w:rPr>
          <w:i/>
          <w:iCs/>
        </w:rPr>
        <w:t>,</w:t>
      </w:r>
      <w:r w:rsidR="00D173DC">
        <w:t xml:space="preserve"> ed. Nigel Strudwick, 1</w:t>
      </w:r>
      <w:r w:rsidR="00D173DC" w:rsidRPr="0082746E">
        <w:rPr>
          <w:vertAlign w:val="superscript"/>
        </w:rPr>
        <w:t>st</w:t>
      </w:r>
      <w:r w:rsidR="00D173DC">
        <w:t xml:space="preserve"> </w:t>
      </w:r>
      <w:proofErr w:type="spellStart"/>
      <w:r w:rsidR="00D173DC">
        <w:t>edn</w:t>
      </w:r>
      <w:proofErr w:type="spellEnd"/>
      <w:r w:rsidR="00D173DC">
        <w:t>. (UK: Oxbow, 2016), pp. 2</w:t>
      </w:r>
      <w:r w:rsidR="00D173DC">
        <w:t>39-259 (p. 240-241).</w:t>
      </w:r>
    </w:p>
  </w:footnote>
  <w:footnote w:id="47">
    <w:p w14:paraId="3ABB7628" w14:textId="7AA1AD8F" w:rsidR="00EA73DB" w:rsidRDefault="00EA73DB">
      <w:pPr>
        <w:pStyle w:val="FootnoteText"/>
      </w:pPr>
      <w:r>
        <w:rPr>
          <w:rStyle w:val="FootnoteReference"/>
        </w:rPr>
        <w:footnoteRef/>
      </w:r>
      <w:r>
        <w:t xml:space="preserve"> Ibid., p. 241.</w:t>
      </w:r>
    </w:p>
  </w:footnote>
  <w:footnote w:id="48">
    <w:p w14:paraId="1591752A" w14:textId="569813AF" w:rsidR="00377AB9" w:rsidRDefault="00377AB9">
      <w:pPr>
        <w:pStyle w:val="FootnoteText"/>
      </w:pPr>
      <w:r>
        <w:rPr>
          <w:rStyle w:val="FootnoteReference"/>
        </w:rPr>
        <w:footnoteRef/>
      </w:r>
      <w:r>
        <w:t xml:space="preserve"> Ibid.</w:t>
      </w:r>
    </w:p>
  </w:footnote>
  <w:footnote w:id="49">
    <w:p w14:paraId="233A7119" w14:textId="4ABF7A2A" w:rsidR="00024022" w:rsidRDefault="0002402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F675D8">
        <w:t>Strudwick, N., ‘</w:t>
      </w:r>
      <w:r w:rsidR="00F675D8" w:rsidRPr="0076523A">
        <w:t>The Decoration of the Chapel</w:t>
      </w:r>
      <w:r w:rsidR="00F675D8">
        <w:t>’, p.</w:t>
      </w:r>
      <w:r w:rsidR="00F675D8">
        <w:t xml:space="preserve"> 96.</w:t>
      </w:r>
    </w:p>
  </w:footnote>
  <w:footnote w:id="50">
    <w:p w14:paraId="77235822" w14:textId="443C04E0" w:rsidR="00940F3E" w:rsidRDefault="00940F3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t>Strudwick, N., ‘</w:t>
      </w:r>
      <w:r w:rsidRPr="00AE1EE6">
        <w:t>Small Finds from Shaft I and an Overview of the Burial Assemblage of Senneferi</w:t>
      </w:r>
      <w:r>
        <w:t>’, p.</w:t>
      </w:r>
      <w:r>
        <w:t xml:space="preserve"> 273.</w:t>
      </w:r>
    </w:p>
  </w:footnote>
  <w:footnote w:id="51">
    <w:p w14:paraId="3F8712EB" w14:textId="0D7F3612" w:rsidR="00967A53" w:rsidRDefault="00967A53">
      <w:pPr>
        <w:pStyle w:val="FootnoteText"/>
      </w:pPr>
      <w:r>
        <w:rPr>
          <w:rStyle w:val="FootnoteReference"/>
        </w:rPr>
        <w:footnoteRef/>
      </w:r>
      <w:r w:rsidR="00940F3E">
        <w:t xml:space="preserve"> Ibid.</w:t>
      </w:r>
      <w:r>
        <w:t>, p</w:t>
      </w:r>
      <w:r>
        <w:t>. 2</w:t>
      </w:r>
      <w:r w:rsidR="00940F3E">
        <w:t>89.</w:t>
      </w:r>
    </w:p>
  </w:footnote>
  <w:footnote w:id="52">
    <w:p w14:paraId="5B52F339" w14:textId="72ED7458" w:rsidR="00C518DA" w:rsidRDefault="00C518D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135B00" w:rsidRPr="00135B00">
        <w:t>Strudwick, N., , ‘Senneferi, His Family and Related Monuments’</w:t>
      </w:r>
      <w:r w:rsidR="00135B00">
        <w:t>, pp. 20-22.</w:t>
      </w:r>
    </w:p>
  </w:footnote>
  <w:footnote w:id="53">
    <w:p w14:paraId="30410757" w14:textId="24C54670" w:rsidR="00E949BC" w:rsidRDefault="00E949BC">
      <w:pPr>
        <w:pStyle w:val="FootnoteText"/>
      </w:pPr>
      <w:r>
        <w:rPr>
          <w:rStyle w:val="FootnoteReference"/>
        </w:rPr>
        <w:footnoteRef/>
      </w:r>
      <w:r w:rsidR="00135B00">
        <w:t xml:space="preserve"> Ibid.</w:t>
      </w:r>
      <w:r>
        <w:t>, p. 1</w:t>
      </w:r>
      <w:r>
        <w:t>5-1</w:t>
      </w:r>
      <w:r>
        <w:t>6.</w:t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5998CD82" w14:textId="55AC5252" w:rsidR="0037375F" w:rsidRDefault="0037375F">
    <w:pPr>
      <w:pStyle w:val="Header"/>
    </w:pPr>
    <w:r w:rsidRPr="0037375F">
      <w:t>HPAH5080, HPAH6080</w:t>
    </w:r>
    <w:r>
      <w:ptab w:relativeTo="margin" w:alignment="center" w:leader="none"/>
    </w:r>
    <w:r w:rsidRPr="0037375F">
      <w:t>Task 1: The material culture of death</w:t>
    </w:r>
    <w:r>
      <w:ptab w:relativeTo="margin" w:alignment="right" w:leader="none"/>
    </w:r>
    <w:r>
      <w:t>13</w:t>
    </w:r>
    <w:r w:rsidRPr="0037375F">
      <w:rPr>
        <w:vertAlign w:val="superscript"/>
      </w:rPr>
      <w:t>th</w:t>
    </w:r>
    <w:r>
      <w:t xml:space="preserve"> March 2026</w:t>
    </w:r>
  </w:p>
  <w:p w14:paraId="58A572CA" w14:textId="77777777" w:rsidR="0037375F" w:rsidRDefault="0037375F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95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7375F"/>
    <w:rsid w:val="000005D8"/>
    <w:rsid w:val="00001C83"/>
    <w:rsid w:val="00003D32"/>
    <w:rsid w:val="00013B0A"/>
    <w:rsid w:val="00024022"/>
    <w:rsid w:val="0002734C"/>
    <w:rsid w:val="00030534"/>
    <w:rsid w:val="000312F4"/>
    <w:rsid w:val="000322DA"/>
    <w:rsid w:val="00040598"/>
    <w:rsid w:val="00042570"/>
    <w:rsid w:val="00045931"/>
    <w:rsid w:val="00053647"/>
    <w:rsid w:val="000669F2"/>
    <w:rsid w:val="0006713F"/>
    <w:rsid w:val="0006799A"/>
    <w:rsid w:val="000733E3"/>
    <w:rsid w:val="00077A06"/>
    <w:rsid w:val="000865A2"/>
    <w:rsid w:val="000877C1"/>
    <w:rsid w:val="00092EEF"/>
    <w:rsid w:val="000942D1"/>
    <w:rsid w:val="00094A83"/>
    <w:rsid w:val="00094A9C"/>
    <w:rsid w:val="000A3D5E"/>
    <w:rsid w:val="000B5F0B"/>
    <w:rsid w:val="000D149C"/>
    <w:rsid w:val="000F0DAE"/>
    <w:rsid w:val="00101A3F"/>
    <w:rsid w:val="0010341B"/>
    <w:rsid w:val="00104448"/>
    <w:rsid w:val="00111D3D"/>
    <w:rsid w:val="00124985"/>
    <w:rsid w:val="001310DF"/>
    <w:rsid w:val="00135B00"/>
    <w:rsid w:val="00144D8E"/>
    <w:rsid w:val="00151AFA"/>
    <w:rsid w:val="00152134"/>
    <w:rsid w:val="00160A8A"/>
    <w:rsid w:val="00164476"/>
    <w:rsid w:val="00173D84"/>
    <w:rsid w:val="001769CD"/>
    <w:rsid w:val="001774F0"/>
    <w:rsid w:val="00180107"/>
    <w:rsid w:val="00180208"/>
    <w:rsid w:val="00187314"/>
    <w:rsid w:val="001A5CC9"/>
    <w:rsid w:val="001C2A9A"/>
    <w:rsid w:val="001C3BA6"/>
    <w:rsid w:val="001D1B2F"/>
    <w:rsid w:val="001D1FC3"/>
    <w:rsid w:val="001D5D35"/>
    <w:rsid w:val="001D5D82"/>
    <w:rsid w:val="001F11B9"/>
    <w:rsid w:val="00206C5E"/>
    <w:rsid w:val="00234823"/>
    <w:rsid w:val="00235E7E"/>
    <w:rsid w:val="0024396A"/>
    <w:rsid w:val="002520F1"/>
    <w:rsid w:val="00252EA2"/>
    <w:rsid w:val="0028669E"/>
    <w:rsid w:val="002A4E4F"/>
    <w:rsid w:val="002A65BF"/>
    <w:rsid w:val="002B0775"/>
    <w:rsid w:val="002C08DA"/>
    <w:rsid w:val="002C1296"/>
    <w:rsid w:val="002E50A4"/>
    <w:rsid w:val="002E7FC3"/>
    <w:rsid w:val="003015EE"/>
    <w:rsid w:val="00302C90"/>
    <w:rsid w:val="0030640E"/>
    <w:rsid w:val="0031650C"/>
    <w:rsid w:val="003219C4"/>
    <w:rsid w:val="00322937"/>
    <w:rsid w:val="003300F9"/>
    <w:rsid w:val="003304F4"/>
    <w:rsid w:val="0033053D"/>
    <w:rsid w:val="003306DC"/>
    <w:rsid w:val="003318D3"/>
    <w:rsid w:val="0033428C"/>
    <w:rsid w:val="00334441"/>
    <w:rsid w:val="00334690"/>
    <w:rsid w:val="00334957"/>
    <w:rsid w:val="0033549C"/>
    <w:rsid w:val="0034486A"/>
    <w:rsid w:val="003477E3"/>
    <w:rsid w:val="00364B52"/>
    <w:rsid w:val="00365437"/>
    <w:rsid w:val="0037375F"/>
    <w:rsid w:val="003741EE"/>
    <w:rsid w:val="00377AB9"/>
    <w:rsid w:val="00380AAD"/>
    <w:rsid w:val="00380DCA"/>
    <w:rsid w:val="00385D38"/>
    <w:rsid w:val="00387079"/>
    <w:rsid w:val="00391B5D"/>
    <w:rsid w:val="00397A44"/>
    <w:rsid w:val="003B1102"/>
    <w:rsid w:val="003B5519"/>
    <w:rsid w:val="003B69AF"/>
    <w:rsid w:val="003E39F6"/>
    <w:rsid w:val="003E7FA8"/>
    <w:rsid w:val="00406EA8"/>
    <w:rsid w:val="004157E3"/>
    <w:rsid w:val="00421387"/>
    <w:rsid w:val="00425B29"/>
    <w:rsid w:val="00433988"/>
    <w:rsid w:val="00472AF2"/>
    <w:rsid w:val="00481B24"/>
    <w:rsid w:val="00484DC9"/>
    <w:rsid w:val="00486A56"/>
    <w:rsid w:val="00487066"/>
    <w:rsid w:val="00491D45"/>
    <w:rsid w:val="00492A1F"/>
    <w:rsid w:val="00493599"/>
    <w:rsid w:val="00494532"/>
    <w:rsid w:val="004A032F"/>
    <w:rsid w:val="004A2888"/>
    <w:rsid w:val="004B06A7"/>
    <w:rsid w:val="004C33BC"/>
    <w:rsid w:val="004E70F2"/>
    <w:rsid w:val="0050342A"/>
    <w:rsid w:val="005069EC"/>
    <w:rsid w:val="0051452F"/>
    <w:rsid w:val="00522974"/>
    <w:rsid w:val="00534056"/>
    <w:rsid w:val="00536AE9"/>
    <w:rsid w:val="0055286C"/>
    <w:rsid w:val="0055767D"/>
    <w:rsid w:val="0056088F"/>
    <w:rsid w:val="00573227"/>
    <w:rsid w:val="00592D76"/>
    <w:rsid w:val="00593E2E"/>
    <w:rsid w:val="0059711E"/>
    <w:rsid w:val="005A317A"/>
    <w:rsid w:val="005B171B"/>
    <w:rsid w:val="005D2EA1"/>
    <w:rsid w:val="005D63B5"/>
    <w:rsid w:val="005E3264"/>
    <w:rsid w:val="005F0D0A"/>
    <w:rsid w:val="005F0F1C"/>
    <w:rsid w:val="005F492C"/>
    <w:rsid w:val="00604ACA"/>
    <w:rsid w:val="00633A73"/>
    <w:rsid w:val="0063538C"/>
    <w:rsid w:val="00635580"/>
    <w:rsid w:val="00652011"/>
    <w:rsid w:val="00652E4E"/>
    <w:rsid w:val="00654E3E"/>
    <w:rsid w:val="00656C8C"/>
    <w:rsid w:val="00680F63"/>
    <w:rsid w:val="006938CE"/>
    <w:rsid w:val="006A0662"/>
    <w:rsid w:val="006A0B65"/>
    <w:rsid w:val="006A25E5"/>
    <w:rsid w:val="006B5F8F"/>
    <w:rsid w:val="006B78F6"/>
    <w:rsid w:val="006C6942"/>
    <w:rsid w:val="00712F27"/>
    <w:rsid w:val="007202AA"/>
    <w:rsid w:val="00720CE3"/>
    <w:rsid w:val="007244E3"/>
    <w:rsid w:val="00727469"/>
    <w:rsid w:val="007300D8"/>
    <w:rsid w:val="00731166"/>
    <w:rsid w:val="00735FAF"/>
    <w:rsid w:val="0073651A"/>
    <w:rsid w:val="00737901"/>
    <w:rsid w:val="00743A13"/>
    <w:rsid w:val="0076523A"/>
    <w:rsid w:val="007706A4"/>
    <w:rsid w:val="007A78CC"/>
    <w:rsid w:val="007B1236"/>
    <w:rsid w:val="007C04BB"/>
    <w:rsid w:val="007C0B33"/>
    <w:rsid w:val="007C5E89"/>
    <w:rsid w:val="007C60E3"/>
    <w:rsid w:val="007E4164"/>
    <w:rsid w:val="008003A1"/>
    <w:rsid w:val="00807E49"/>
    <w:rsid w:val="008106E3"/>
    <w:rsid w:val="0082746E"/>
    <w:rsid w:val="00830D06"/>
    <w:rsid w:val="00831B58"/>
    <w:rsid w:val="00836855"/>
    <w:rsid w:val="00845E8F"/>
    <w:rsid w:val="0085297A"/>
    <w:rsid w:val="00852FF6"/>
    <w:rsid w:val="00865765"/>
    <w:rsid w:val="00866083"/>
    <w:rsid w:val="00876599"/>
    <w:rsid w:val="00895AEC"/>
    <w:rsid w:val="008B17AD"/>
    <w:rsid w:val="008C44E5"/>
    <w:rsid w:val="008D0A2B"/>
    <w:rsid w:val="008D0D59"/>
    <w:rsid w:val="008D1759"/>
    <w:rsid w:val="008E0456"/>
    <w:rsid w:val="008E1FDC"/>
    <w:rsid w:val="008F2A53"/>
    <w:rsid w:val="008F2DEF"/>
    <w:rsid w:val="009033C5"/>
    <w:rsid w:val="009139D9"/>
    <w:rsid w:val="0092248A"/>
    <w:rsid w:val="00940F3E"/>
    <w:rsid w:val="0094692F"/>
    <w:rsid w:val="00955E27"/>
    <w:rsid w:val="0096188B"/>
    <w:rsid w:val="00961DB8"/>
    <w:rsid w:val="00967A53"/>
    <w:rsid w:val="00973402"/>
    <w:rsid w:val="009738E5"/>
    <w:rsid w:val="00974A25"/>
    <w:rsid w:val="00981D88"/>
    <w:rsid w:val="00992828"/>
    <w:rsid w:val="009971C4"/>
    <w:rsid w:val="009A7539"/>
    <w:rsid w:val="009C011F"/>
    <w:rsid w:val="009C18CC"/>
    <w:rsid w:val="009D53AD"/>
    <w:rsid w:val="009F4AB9"/>
    <w:rsid w:val="009F5C25"/>
    <w:rsid w:val="009F7A0E"/>
    <w:rsid w:val="00A01FCC"/>
    <w:rsid w:val="00A067A6"/>
    <w:rsid w:val="00A1222E"/>
    <w:rsid w:val="00A1230E"/>
    <w:rsid w:val="00A157B1"/>
    <w:rsid w:val="00A16194"/>
    <w:rsid w:val="00A26E47"/>
    <w:rsid w:val="00A32E1F"/>
    <w:rsid w:val="00A444D6"/>
    <w:rsid w:val="00A618F3"/>
    <w:rsid w:val="00A628A4"/>
    <w:rsid w:val="00A67128"/>
    <w:rsid w:val="00A907A6"/>
    <w:rsid w:val="00A93331"/>
    <w:rsid w:val="00A94BCF"/>
    <w:rsid w:val="00AA1DD5"/>
    <w:rsid w:val="00AA401F"/>
    <w:rsid w:val="00AA5EFE"/>
    <w:rsid w:val="00AB7162"/>
    <w:rsid w:val="00AB74C7"/>
    <w:rsid w:val="00AC665D"/>
    <w:rsid w:val="00AD3D9D"/>
    <w:rsid w:val="00AD5AE8"/>
    <w:rsid w:val="00AD6498"/>
    <w:rsid w:val="00AE1EE6"/>
    <w:rsid w:val="00AF1FC1"/>
    <w:rsid w:val="00B24735"/>
    <w:rsid w:val="00B2627F"/>
    <w:rsid w:val="00B27443"/>
    <w:rsid w:val="00B52344"/>
    <w:rsid w:val="00B5274A"/>
    <w:rsid w:val="00B530A4"/>
    <w:rsid w:val="00B56F4A"/>
    <w:rsid w:val="00B66D0F"/>
    <w:rsid w:val="00B70FC8"/>
    <w:rsid w:val="00B86684"/>
    <w:rsid w:val="00B90AE2"/>
    <w:rsid w:val="00B93D45"/>
    <w:rsid w:val="00B946ED"/>
    <w:rsid w:val="00BA0EF9"/>
    <w:rsid w:val="00BB7C6E"/>
    <w:rsid w:val="00BC5F0B"/>
    <w:rsid w:val="00C00F8B"/>
    <w:rsid w:val="00C13789"/>
    <w:rsid w:val="00C14817"/>
    <w:rsid w:val="00C172F8"/>
    <w:rsid w:val="00C22679"/>
    <w:rsid w:val="00C22F1B"/>
    <w:rsid w:val="00C2426B"/>
    <w:rsid w:val="00C42E8C"/>
    <w:rsid w:val="00C44F27"/>
    <w:rsid w:val="00C518DA"/>
    <w:rsid w:val="00C70DF3"/>
    <w:rsid w:val="00C77A8D"/>
    <w:rsid w:val="00C82080"/>
    <w:rsid w:val="00C9013A"/>
    <w:rsid w:val="00C91440"/>
    <w:rsid w:val="00CB27F3"/>
    <w:rsid w:val="00CC23D8"/>
    <w:rsid w:val="00CC4379"/>
    <w:rsid w:val="00CD5607"/>
    <w:rsid w:val="00CE0026"/>
    <w:rsid w:val="00CE025C"/>
    <w:rsid w:val="00CE5491"/>
    <w:rsid w:val="00D06955"/>
    <w:rsid w:val="00D14695"/>
    <w:rsid w:val="00D173DC"/>
    <w:rsid w:val="00D21073"/>
    <w:rsid w:val="00D23ACB"/>
    <w:rsid w:val="00D23B8D"/>
    <w:rsid w:val="00D347AC"/>
    <w:rsid w:val="00D45E28"/>
    <w:rsid w:val="00D602B8"/>
    <w:rsid w:val="00D7299E"/>
    <w:rsid w:val="00D94623"/>
    <w:rsid w:val="00D94D2B"/>
    <w:rsid w:val="00DC22DE"/>
    <w:rsid w:val="00DC3C9E"/>
    <w:rsid w:val="00DD2116"/>
    <w:rsid w:val="00DE0CB3"/>
    <w:rsid w:val="00DE178E"/>
    <w:rsid w:val="00DE31F0"/>
    <w:rsid w:val="00DF38E9"/>
    <w:rsid w:val="00DF69FD"/>
    <w:rsid w:val="00E132FE"/>
    <w:rsid w:val="00E271CC"/>
    <w:rsid w:val="00E44F4A"/>
    <w:rsid w:val="00E46936"/>
    <w:rsid w:val="00E51D29"/>
    <w:rsid w:val="00E55DC5"/>
    <w:rsid w:val="00E60782"/>
    <w:rsid w:val="00E7140F"/>
    <w:rsid w:val="00E749D8"/>
    <w:rsid w:val="00E76DBC"/>
    <w:rsid w:val="00E807A0"/>
    <w:rsid w:val="00E81E13"/>
    <w:rsid w:val="00E87987"/>
    <w:rsid w:val="00E949BC"/>
    <w:rsid w:val="00EA03AE"/>
    <w:rsid w:val="00EA041E"/>
    <w:rsid w:val="00EA5234"/>
    <w:rsid w:val="00EA73DB"/>
    <w:rsid w:val="00EB17D3"/>
    <w:rsid w:val="00EC1760"/>
    <w:rsid w:val="00ED2CED"/>
    <w:rsid w:val="00EE6742"/>
    <w:rsid w:val="00EF1CB1"/>
    <w:rsid w:val="00EF52E8"/>
    <w:rsid w:val="00F10CEF"/>
    <w:rsid w:val="00F2201C"/>
    <w:rsid w:val="00F23DE7"/>
    <w:rsid w:val="00F35E22"/>
    <w:rsid w:val="00F364CF"/>
    <w:rsid w:val="00F36D9D"/>
    <w:rsid w:val="00F45132"/>
    <w:rsid w:val="00F50956"/>
    <w:rsid w:val="00F52618"/>
    <w:rsid w:val="00F541A9"/>
    <w:rsid w:val="00F5664D"/>
    <w:rsid w:val="00F66605"/>
    <w:rsid w:val="00F675D8"/>
    <w:rsid w:val="00F67ED7"/>
    <w:rsid w:val="00F72F11"/>
    <w:rsid w:val="00F736E1"/>
    <w:rsid w:val="00F8317A"/>
    <w:rsid w:val="00F844D8"/>
    <w:rsid w:val="00F85F48"/>
    <w:rsid w:val="00FA05B7"/>
    <w:rsid w:val="00FB092A"/>
    <w:rsid w:val="00FB1AA8"/>
    <w:rsid w:val="00FE5C62"/>
    <w:rsid w:val="00FF2B7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ecimalSymbol w:val="."/>
  <w:listSeparator w:val=","/>
  <w14:docId w14:val="4CB93E64"/>
  <w15:chartTrackingRefBased/>
  <w15:docId w15:val="{B2D6BBEB-C32B-E44C-8E63-372D87F1F7E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7375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7375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7375F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7375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7375F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7375F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7375F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7375F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7375F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7375F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7375F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7375F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7375F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7375F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7375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7375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7375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7375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7375F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7375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7375F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7375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7375F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7375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7375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7375F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7375F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7375F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7375F"/>
    <w:rPr>
      <w:b/>
      <w:bCs/>
      <w:smallCaps/>
      <w:color w:val="2F5496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37375F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37375F"/>
  </w:style>
  <w:style w:type="paragraph" w:styleId="Footer">
    <w:name w:val="footer"/>
    <w:basedOn w:val="Normal"/>
    <w:link w:val="FooterChar"/>
    <w:uiPriority w:val="99"/>
    <w:unhideWhenUsed/>
    <w:rsid w:val="0037375F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37375F"/>
  </w:style>
  <w:style w:type="paragraph" w:styleId="FootnoteText">
    <w:name w:val="footnote text"/>
    <w:basedOn w:val="Normal"/>
    <w:link w:val="FootnoteTextChar"/>
    <w:uiPriority w:val="99"/>
    <w:unhideWhenUsed/>
    <w:rsid w:val="002B0775"/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rsid w:val="002B0775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2B0775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56088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6088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007246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671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tt99.fitz.ms/index.html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tt99.fitz.ms/architecture/schematic.html" TargetMode="Externa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footnotes.xml.rels><?xml version="1.0" encoding="UTF-8" standalone="yes"?>
<Relationships xmlns="http://schemas.openxmlformats.org/package/2006/relationships"><Relationship Id="rId2" Type="http://schemas.openxmlformats.org/officeDocument/2006/relationships/hyperlink" Target="https://tt99.fitz.ms/architecture/schematic.html" TargetMode="External"/><Relationship Id="rId1" Type="http://schemas.openxmlformats.org/officeDocument/2006/relationships/hyperlink" Target="https://tt99.fitz.ms/index.html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159C5133-B7FC-C24C-85EA-3E0A230C66C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395</TotalTime>
  <Pages>6</Pages>
  <Words>2539</Words>
  <Characters>12599</Characters>
  <Application>Microsoft Office Word</Application>
  <DocSecurity>0</DocSecurity>
  <Lines>196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15118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Caradoc Ewing (2305893)</dc:creator>
  <cp:keywords/>
  <dc:description/>
  <cp:lastModifiedBy>Caradoc Ewing (2305893)</cp:lastModifiedBy>
  <cp:revision>336</cp:revision>
  <dcterms:created xsi:type="dcterms:W3CDTF">2026-03-13T10:23:00Z</dcterms:created>
  <dcterms:modified xsi:type="dcterms:W3CDTF">2026-03-13T23:49:00Z</dcterms:modified>
</cp:coreProperties>
</file>