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75554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75554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75554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31856DE5">
        <w:rPr>
          <w:rFonts w:eastAsia="Arial"/>
          <w:color w:val="000000" w:themeColor="text1"/>
          <w:sz w:val="24"/>
          <w:szCs w:val="24"/>
        </w:rPr>
        <w:t>book, that</w:t>
      </w:r>
      <w:proofErr w:type="gramEnd"/>
      <w:r w:rsidRPr="31856DE5">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71E154F" w14:textId="36ACF1A4" w:rsidR="31856DE5" w:rsidRDefault="00BA537F"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take</w:t>
      </w:r>
      <w:proofErr w:type="gramEnd"/>
      <w:r w:rsidRPr="1DD1DFEA">
        <w:rPr>
          <w:rFonts w:eastAsia="Arial"/>
          <w:color w:val="000000" w:themeColor="text1"/>
          <w:sz w:val="24"/>
          <w:szCs w:val="24"/>
        </w:rPr>
        <w:t xml:space="preserv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171A5D9" w14:textId="77777777" w:rsidR="008701C1" w:rsidRDefault="008701C1" w:rsidP="008701C1">
      <w:pPr>
        <w:jc w:val="both"/>
      </w:pPr>
      <w:r>
        <w:t>As I approach the end of my second probationary year as a police constable, I am continuing to recognise the importance of looking after my wellbeing and recognise the impact of outside influences especially with the added challenges the Coronavirus pandemic has brought. Covid-19 has made this year particularly challenging for everyone. The constant changes to legislation and the manner in which police have to work has had a physical and psychological impact on serving members of the police service. Policing in general can be tough however with the added pressures of a global pandemic it has never been so important to look after the frontline workers trying to protect the public. In a study conducted by the Police Federation in July 2020 it was found that 65% of the officers who participated in the study said that the pandemic had a negative impact on their morale (POLFED 2020).</w:t>
      </w:r>
    </w:p>
    <w:p w14:paraId="2FF47151" w14:textId="77777777" w:rsidR="008701C1" w:rsidRDefault="008701C1" w:rsidP="008701C1">
      <w:pPr>
        <w:jc w:val="both"/>
      </w:pPr>
    </w:p>
    <w:p w14:paraId="4FABF117" w14:textId="77777777" w:rsidR="008701C1" w:rsidRDefault="008701C1" w:rsidP="008701C1">
      <w:pPr>
        <w:jc w:val="both"/>
      </w:pPr>
      <w:r>
        <w:t>Organisational justice has been recognised as an “important determinant” of employee health and wellbeing (</w:t>
      </w:r>
      <w:proofErr w:type="spellStart"/>
      <w:r>
        <w:t>Tornroos</w:t>
      </w:r>
      <w:proofErr w:type="spellEnd"/>
      <w:r>
        <w:t xml:space="preserve"> et al, 2019). If an employee feels their employer is ‘fair’ then they are more likely to feel valued within the workplace which will have a positive influence on their performance, whereas if an employee feels there is an ‘injustice’ then this may have a negative impact on their performance. </w:t>
      </w:r>
    </w:p>
    <w:p w14:paraId="124CCFD5" w14:textId="77777777" w:rsidR="008701C1" w:rsidRDefault="008701C1" w:rsidP="008701C1">
      <w:pPr>
        <w:jc w:val="both"/>
      </w:pPr>
      <w:r>
        <w:t xml:space="preserve">A topical example of an ‘injustice’ would be men getting paid more than women for the same job (Baldwin, 2006). There are four aspects to Organisational Justice: Distributive, Procedural and Interpersonal and informational. Distributive justice refers to the equity principle, where the outcomes match the inputs (Adams, 1965). This could be in the form of wages, promotions or career opportunities. For myself, distributive justice would be achieving the ‘outcome’ of being confirmed in role after working hard for three years to complete the university programme and the on the job occupational portfolios. </w:t>
      </w:r>
    </w:p>
    <w:p w14:paraId="27CDD501" w14:textId="77777777" w:rsidR="008701C1" w:rsidRDefault="008701C1" w:rsidP="008701C1">
      <w:pPr>
        <w:jc w:val="both"/>
      </w:pPr>
    </w:p>
    <w:p w14:paraId="1E714ACD" w14:textId="77777777" w:rsidR="008701C1" w:rsidRDefault="008701C1" w:rsidP="008701C1">
      <w:pPr>
        <w:jc w:val="both"/>
      </w:pPr>
      <w:r>
        <w:t>Procedural Justice refers to the fairness of decision making made within an organisation and can assist with negative distributive justice, an employer can make a decision not to give someone a promotion however, if it is backed up with appropriate feedback and justification then it is more likely to be accepted by the employee (Baldwin, 2006). It has been found that procedural justice has more of a positive impact on the attitudes and behaviours of employees than that of distributive justice (Greenburg, 2011). Her Majesty’s Inspectorate Constabulary and Fire &amp; Rescue Service defines organisational justice as the “degree to which police officers and staff perceive the decisions that affect them as fair” (HMICFRS, 2019).. Interpersonal justice refers to the fairness of interactions by management and supervisors, namely being treated with dignity and respect, whilst feeling they are able voice their opinions and suggestions in a safe space. Informational justice refers to the quality of information provided to employees in order to justify a particular decision (Roberts &amp; Herrington, 2013).</w:t>
      </w:r>
    </w:p>
    <w:p w14:paraId="7B4F603A" w14:textId="77777777" w:rsidR="008701C1" w:rsidRDefault="008701C1" w:rsidP="008701C1">
      <w:pPr>
        <w:jc w:val="both"/>
      </w:pPr>
    </w:p>
    <w:p w14:paraId="2F2B9565" w14:textId="77777777" w:rsidR="008701C1" w:rsidRDefault="008701C1" w:rsidP="008701C1">
      <w:pPr>
        <w:jc w:val="both"/>
      </w:pPr>
      <w:r>
        <w:t xml:space="preserve">When an employer recognises organisational justice and works to promote fairness and equality within the workplace this will be reflective in the quality and quantity of work the employee puts out, as well as the attrition rates within the organisation. Sheppard et al (1992) stated ‘equitable pay improves individual performance, equal treatment raises group spirit, voice creates commitment to a decision, </w:t>
      </w:r>
      <w:r>
        <w:lastRenderedPageBreak/>
        <w:t>and access creates a loyal ally’ (Sheppard et al, 1992). From a policing perspective this is particularly important, as officers usually go above and beyond in their day to day role, many officers work on past the end of their shift to complete tasks and safeguard victims, most of which is unclaimed. In my short time in South Wales Police, I have often found myself working on to ensure victims are safeguarded and appropriate referrals are made or to follow up with the Crown Prosecution Service for charging decisions, all of which I choose to do myself rather than hand on to the next shift. Like many officers I did not join the police service for the money, I joined to help others and serve my community. However, despite this it is still important to have the support and backing of your employer and feel valued in the workplace. Studies have shown organisational justice can help employees to identify within the organisation (</w:t>
      </w:r>
      <w:proofErr w:type="spellStart"/>
      <w:r>
        <w:t>Blader</w:t>
      </w:r>
      <w:proofErr w:type="spellEnd"/>
      <w:r>
        <w:t xml:space="preserve"> and Tyler 2003), giving them “a greater sense of inclusion and pride” (Quinton et al, 2015). If they are treated fairly and with respect they are more likely to act in the interest of their employer and people it serves, which in a policing context is the public. </w:t>
      </w:r>
    </w:p>
    <w:p w14:paraId="360F1524" w14:textId="77777777" w:rsidR="008701C1" w:rsidRDefault="008701C1" w:rsidP="008701C1">
      <w:pPr>
        <w:jc w:val="both"/>
      </w:pPr>
    </w:p>
    <w:p w14:paraId="7BAACA8F" w14:textId="77777777" w:rsidR="008701C1" w:rsidRDefault="008701C1" w:rsidP="008701C1">
      <w:pPr>
        <w:jc w:val="both"/>
      </w:pPr>
      <w:r>
        <w:t xml:space="preserve">The concepts of ‘fairness’ and ‘respect’ are built into the Code of Ethics </w:t>
      </w:r>
      <w:r w:rsidRPr="003D6431">
        <w:t>(</w:t>
      </w:r>
      <w:proofErr w:type="spellStart"/>
      <w:r w:rsidRPr="003D6431">
        <w:t>CoP</w:t>
      </w:r>
      <w:proofErr w:type="spellEnd"/>
      <w:r w:rsidRPr="003D6431">
        <w:t>, 2014)</w:t>
      </w:r>
      <w:r>
        <w:t xml:space="preserve">, and underpin everything we do as serving members of the police. Evidence suggests that if officers feel they have been treated unfairly or without respect this could lead to a reduced quality in service to the public and potentially lead to unethical policing (Quinton et al, 2015). </w:t>
      </w:r>
    </w:p>
    <w:p w14:paraId="6229D0E6" w14:textId="77777777" w:rsidR="008701C1" w:rsidRDefault="008701C1" w:rsidP="008701C1">
      <w:pPr>
        <w:jc w:val="both"/>
      </w:pPr>
    </w:p>
    <w:p w14:paraId="793FF89E" w14:textId="77777777" w:rsidR="008701C1" w:rsidRDefault="008701C1" w:rsidP="008701C1">
      <w:pPr>
        <w:jc w:val="both"/>
      </w:pPr>
      <w:r>
        <w:t xml:space="preserve">Upon reflection of my personal experience working for South Wales Police so far, I have seen organisational justice in its simplest form, through regular performance reviews, internal recruitment drives and training opportunities. During these unprecedented times, communication regarding changes to procedure, police and legislation have been clear and efficient. This is reflected in the Pay and Welfare Survey 2020, with 83% saying the force had kept them up to date with Covid-19 guidance. Despite this, the survey also highlighted a number of ‘injustices’ with 86% of participants said they felt they had been unfairly paid in relation to stress and strains of the job. 53% said they felt undervalued and 33% felt there were treated unfairly (POLFED, 2020). It is clear from these figures SWP has some improvements to make to reduce the risk of a poor public service or unethical policing. </w:t>
      </w:r>
    </w:p>
    <w:p w14:paraId="2631C946" w14:textId="77777777" w:rsidR="008701C1" w:rsidRDefault="008701C1" w:rsidP="008701C1"/>
    <w:p w14:paraId="5F035047" w14:textId="77777777" w:rsidR="008701C1" w:rsidRDefault="008701C1" w:rsidP="008701C1">
      <w:r>
        <w:t>(Word Count: 951)</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8BE1FDF" w14:textId="77777777" w:rsidR="00045962" w:rsidRPr="006252B1" w:rsidRDefault="00045962" w:rsidP="00045962">
      <w:pPr>
        <w:jc w:val="both"/>
        <w:rPr>
          <w:b/>
        </w:rPr>
      </w:pPr>
      <w:r>
        <w:t xml:space="preserve">I attended a domestic related incident where the victim had called the police to say her partner had assaulted her. I attended the address for the victim and found her with significant injuries to her face, as well as bruising to her arms and chest. The victim and suspect were well known to me as I had attended the address on a number of occasions for similar incidents. The suspect had been charged and sentenced for previous offences and there was a restraining order in place which stated he could not have any contact with the victim or be at the address. As a result, not only was I looking at the offence of Actual Bodily Harm under </w:t>
      </w:r>
      <w:r w:rsidRPr="008C5FCA">
        <w:t xml:space="preserve">Section 47 of the Offences </w:t>
      </w:r>
      <w:proofErr w:type="gramStart"/>
      <w:r w:rsidRPr="008C5FCA">
        <w:t>Against</w:t>
      </w:r>
      <w:proofErr w:type="gramEnd"/>
      <w:r w:rsidRPr="008C5FCA">
        <w:t xml:space="preserve"> the Person Act 1861 but</w:t>
      </w:r>
      <w:r>
        <w:t xml:space="preserve"> I was also going to be arresting the suspect for breach of the restraining order as well. </w:t>
      </w:r>
    </w:p>
    <w:p w14:paraId="00D95A73" w14:textId="77777777" w:rsidR="00045962" w:rsidRDefault="00045962" w:rsidP="00045962">
      <w:pPr>
        <w:jc w:val="both"/>
      </w:pPr>
    </w:p>
    <w:p w14:paraId="2D6F963D" w14:textId="77777777" w:rsidR="00045962" w:rsidRDefault="00045962" w:rsidP="00045962">
      <w:pPr>
        <w:ind w:right="237"/>
        <w:jc w:val="both"/>
      </w:pPr>
      <w:r>
        <w:t xml:space="preserve">Despite the victim calling the police for help, she would not engage with officers and refused to provide a statement or allow officers to take pictures of her injuries. This is quite a common occurrence when dealing with victims of domestic abuse even with police and partnership agency intervention. </w:t>
      </w:r>
      <w:r w:rsidRPr="003D08B8">
        <w:t>According to the Crime Survey of England and Wales (CSEW) for the year 2018, It was thought only 18% of women who had experienced partner abuse in the last 12 months had actually reported it (Office of National Statistics, 2018).</w:t>
      </w:r>
      <w:r>
        <w:t xml:space="preserve"> There are a number of reasons why domestic abuse victims do not leave their partners and these can include fear, isolation, shame or denial, trauma and low confidence, financial and sadly due to lack of support when they do leave (Women’s aid, </w:t>
      </w:r>
      <w:proofErr w:type="spellStart"/>
      <w:r>
        <w:t>nd</w:t>
      </w:r>
      <w:proofErr w:type="spellEnd"/>
      <w:r>
        <w:t>). Fear is a big contributor as to why victims do not leave their abusers. When victims leave there is a huge increase in the likelihood of their partner becoming violent. In a recent survey it was found that 41% of domestic abuse victims who had left their abuser or taken steps to leave, were killed by their abusers within 12 months (</w:t>
      </w:r>
      <w:proofErr w:type="spellStart"/>
      <w:r>
        <w:t>Femicide</w:t>
      </w:r>
      <w:proofErr w:type="spellEnd"/>
      <w:r>
        <w:t xml:space="preserve"> Census 2018). This was seen in the case of Molly </w:t>
      </w:r>
      <w:proofErr w:type="spellStart"/>
      <w:r>
        <w:t>McClaren</w:t>
      </w:r>
      <w:proofErr w:type="spellEnd"/>
      <w:r>
        <w:t xml:space="preserve"> who was murdered by her ex-partner Joshua </w:t>
      </w:r>
      <w:proofErr w:type="spellStart"/>
      <w:r>
        <w:t>Stimpson</w:t>
      </w:r>
      <w:proofErr w:type="spellEnd"/>
      <w:r>
        <w:t xml:space="preserve"> in the carpark of their local gym in 2017. Molly had ended the relationship just 12 days before he killed her in a brutal attack. </w:t>
      </w:r>
    </w:p>
    <w:p w14:paraId="2CE37F4C" w14:textId="77777777" w:rsidR="00045962" w:rsidRDefault="00045962" w:rsidP="00045962">
      <w:pPr>
        <w:jc w:val="both"/>
      </w:pPr>
    </w:p>
    <w:p w14:paraId="2E97637C" w14:textId="77777777" w:rsidR="00045962" w:rsidRDefault="00045962" w:rsidP="00045962">
      <w:pPr>
        <w:jc w:val="both"/>
      </w:pPr>
      <w:r w:rsidRPr="00AE15D9">
        <w:t>The Home Office (2013) defines domestic violence as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w:t>
      </w:r>
      <w:r>
        <w:t xml:space="preserve"> (Home Office, </w:t>
      </w:r>
      <w:r>
        <w:lastRenderedPageBreak/>
        <w:t xml:space="preserve">2013). Due to the complex nature of domestic abuse incidents, a multi-agency approach is paramount to tackling the issue and ensuring the victim is appropriately safeguarded. Through effective partnership working domestic abuse can potentially be prevented or stopped at an early stage (COP, 2018). Although this was not the first time police had been called to attend a domestic related incident at this address, it was still necessary for a referral to be made to the public protection unit (PPU) in the form of a public protection notice (PPN), to make them aware of the latest incident. In the referral I expressed my concerns regarding the injuries she had sustained as well as the blatant disregard by the perpetrator of the restraining order that was in place. It was clear the victim needed to be taken to a place of safety, as a result, I consulted with Women’s Aid to make enquiries regarding a refuge. However despite my best efforts to persuade the victim to go, she refused. Despite this, refusal I ensured it was included in my referral that they potentially look at the possibility of re-housing her, ideally away from the area she currently lived in. However, even if the council had been able to re-house her, this does not take away the risk that she would divulge her new address to her abuser. </w:t>
      </w:r>
    </w:p>
    <w:p w14:paraId="00D05837" w14:textId="77777777" w:rsidR="00045962" w:rsidRDefault="00045962" w:rsidP="00045962">
      <w:pPr>
        <w:jc w:val="both"/>
      </w:pPr>
    </w:p>
    <w:p w14:paraId="53D4EEBD" w14:textId="77777777" w:rsidR="00045962" w:rsidRDefault="00045962" w:rsidP="00045962">
      <w:pPr>
        <w:jc w:val="both"/>
      </w:pPr>
      <w:r>
        <w:t xml:space="preserve">It was evident from the latest incident that the perpetrator was not deterred by the restraining order that was in place. The purpose of the restraining order is to try and safeguard the victim further by giving the police the power to arrest should this be breached. This allows officers to take positive action before it progresses to something more serious, like an assault. Section 12 of the Domestic Violence, Crime and Victims Act 2004, gives the courts the power to impose this order as part of the sentencing proceedings. As there was a restraining order in place already, there was very little in terms of additional measures we could have taken that evening. However, had this not been the case, in an attempt to protect the victim from herself, I would have applied for a Domestic Victim Protection Notice as outlined under </w:t>
      </w:r>
      <w:r w:rsidRPr="009E5651">
        <w:t>Section 24 Crime and Security Act 2010.</w:t>
      </w:r>
      <w:r>
        <w:rPr>
          <w:b/>
        </w:rPr>
        <w:t xml:space="preserve"> </w:t>
      </w:r>
      <w:r>
        <w:t xml:space="preserve">This would have stipulated to the perpetrator that he could not come to the home address and if he had breached the notice he would be arrested (COP 2015). This would have provided the victim with temporary safeguarding whilst a more permanent solution could be sought. </w:t>
      </w:r>
    </w:p>
    <w:p w14:paraId="2AD7A610" w14:textId="77777777" w:rsidR="00045962" w:rsidRDefault="00045962" w:rsidP="00045962">
      <w:pPr>
        <w:jc w:val="both"/>
      </w:pPr>
    </w:p>
    <w:p w14:paraId="2E0A6F88" w14:textId="77777777" w:rsidR="00045962" w:rsidRDefault="00045962" w:rsidP="00045962">
      <w:pPr>
        <w:jc w:val="both"/>
      </w:pPr>
      <w:r>
        <w:t xml:space="preserve">As the victim was not willing to engage with officers, I considered the use of an Independent Domestic Violence Advisor (IDVA) to try and establish a relationship with the victim. From my experience I have found victims of domestic abuse find speaking to the police to be quite overwhelming and may not feel comfortable discussing ‘next steps’ so soon after the incident. From previous incidents the victim had been willing to engage with an IDVA which resulted in a conviction of her abuser as she provided a full statement detailing the incident. As a result, I felt this was the best approach when dealing with this victim. Independent Domestic Violence Advisors play a huge part in supporting victims of domestic abuse, not just through the criminal proceedings but also through day to day, putting them in contact with a number of partnership agencies and support networks (Robinson, 2009). </w:t>
      </w:r>
    </w:p>
    <w:p w14:paraId="61658554" w14:textId="77777777" w:rsidR="00045962" w:rsidRDefault="00045962" w:rsidP="00045962">
      <w:pPr>
        <w:jc w:val="both"/>
      </w:pPr>
    </w:p>
    <w:p w14:paraId="0EB8C7F4" w14:textId="77777777" w:rsidR="00045962" w:rsidRDefault="00045962" w:rsidP="00045962">
      <w:pPr>
        <w:jc w:val="both"/>
      </w:pPr>
      <w:r>
        <w:t xml:space="preserve">Another multi-agency approach in which high risk domestic abuse victims can be managed and supported is through the use of Multi-Agency Risk Assessment Conferences (MARACs). These were introduced as a way for partnership agencies to communicate and discuss individual high risk domestic abuse cases. These conferences have been proven to produce positive results of a multi-agency response to victims of domestic abuse (Robinson, 2006). Although MARAC do not currently hold any statutory basis as it would for child protection or managing serious and violent offenders, it does provide the opportunity for multiple agencies ‘to come together in a way that can actually create meaningful difference in people’s lives’ (Robinson, 2004). For example, housing options, health (including mental health support) and if children are involved, child protection services. </w:t>
      </w:r>
    </w:p>
    <w:p w14:paraId="61DB8659" w14:textId="77777777" w:rsidR="00045962" w:rsidRDefault="00045962" w:rsidP="00045962">
      <w:pPr>
        <w:jc w:val="both"/>
      </w:pPr>
    </w:p>
    <w:p w14:paraId="3DBDF2B4" w14:textId="77777777" w:rsidR="00045962" w:rsidRDefault="00045962" w:rsidP="00045962">
      <w:pPr>
        <w:jc w:val="both"/>
      </w:pPr>
      <w:r>
        <w:t xml:space="preserve">After reflecting on this incident, it is clear a multi-agency approach is likely to be the most effective way to support and protect the victim from further abuse. In this situation, the suspect had been arrested multiple times for similar domestic related offences on the victim and a restraining order had been put in place, however this was not enough to prevent further abuse. From a legal standing the only other available step is to remand the perpetrator whilst an investigation is conducted into the assault. However, if the victim is not supported through the investigation process she may return to her abuser, which could have catastrophic consequences. </w:t>
      </w:r>
    </w:p>
    <w:p w14:paraId="3B14AC39" w14:textId="77777777" w:rsidR="00045962" w:rsidRDefault="00045962" w:rsidP="00045962">
      <w:pPr>
        <w:jc w:val="both"/>
      </w:pPr>
    </w:p>
    <w:p w14:paraId="231FCF77" w14:textId="77777777" w:rsidR="00045962" w:rsidRDefault="00045962" w:rsidP="00045962"/>
    <w:p w14:paraId="1666CA05" w14:textId="77777777" w:rsidR="00045962" w:rsidRDefault="00045962" w:rsidP="00045962">
      <w:r>
        <w:t>(Word Count: 1250)</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45375260" w14:textId="77777777" w:rsidR="003D73B7" w:rsidRDefault="003D73B7" w:rsidP="003D73B7">
      <w:pPr>
        <w:ind w:right="237"/>
        <w:jc w:val="both"/>
        <w:rPr>
          <w:bCs/>
        </w:rPr>
      </w:pPr>
      <w:r w:rsidRPr="001D67E3">
        <w:rPr>
          <w:bCs/>
        </w:rPr>
        <w:t xml:space="preserve">I attended an incident where a male had made threats to kill his neighbour whilst brandishing a knife. Upon further investigation it transpired the parties involved had a long history of neighbour disputes with each other which had resulted in the police being called on several occasions. However, the latest incident was a significant escalation and made it clear more needed to be done. A study conducted in August 2020 found that 64% of Britons have had a dispute with their neighbour. Surprisingly, in this study it also found that Wales is the most likely place you will have a dispute with your neighbour, with 72% of the population claiming they have had a dispute (Good Move August 2020). For the most part neighbour disputes can start over trivial things like hedges, parking or even loud noise, however they can quickly progress into something much more serious, as was the case in this instance. As the victim and the suspect were next door neighbours this made them particularly vulnerable, in particular for further offences. As a result, safeguarding of all of those involved was paramount and the suspect was subsequently arrested for the offence, as an immediate safeguarding measure. </w:t>
      </w:r>
    </w:p>
    <w:p w14:paraId="76600A15" w14:textId="77777777" w:rsidR="003D73B7" w:rsidRDefault="003D73B7" w:rsidP="003D73B7">
      <w:pPr>
        <w:ind w:right="237"/>
        <w:jc w:val="both"/>
        <w:rPr>
          <w:bCs/>
        </w:rPr>
      </w:pPr>
    </w:p>
    <w:p w14:paraId="5D6FC655" w14:textId="77777777" w:rsidR="003D73B7" w:rsidRPr="0025139B" w:rsidRDefault="003D73B7" w:rsidP="003D73B7">
      <w:pPr>
        <w:ind w:right="237"/>
        <w:jc w:val="both"/>
        <w:rPr>
          <w:bCs/>
        </w:rPr>
      </w:pPr>
      <w:r w:rsidRPr="001D67E3">
        <w:rPr>
          <w:bCs/>
        </w:rPr>
        <w:t>The college of policing states “a person is vulnerable, as a result of their situation or circumstances, they are unable to protect themselves or others from harm or exploitation” (COP April 2017). Over the years the policing landscape has changed with there being more of a focus on vulnerable members of our society and public protection rather than crime prevention. 89% of policing today relates to public safety and welfare issues which include mental health, missing persons and domestic violence (COP 2015).</w:t>
      </w:r>
      <w:r w:rsidRPr="001D67E3">
        <w:rPr>
          <w:b/>
          <w:bCs/>
        </w:rPr>
        <w:t xml:space="preserve"> </w:t>
      </w:r>
      <w:r w:rsidRPr="001D67E3">
        <w:rPr>
          <w:bCs/>
        </w:rPr>
        <w:t xml:space="preserve">The role of the police constable has had to adapt to these changes and as a result are expected to be experts in not only enforcing the law but they are now psychiatrists, parents, medics, teachers and mediators. It can be argued, that this change to the way in which we police is down to Austerity in the UK which has resulted in significant cuts to public expenditure. Between 2010 and 2015 the government at the time, made cuts to public services that equated to approximately £17 Billion (Gunter, 2017). When public funding is cut it is usually the most vulnerable in society that are the most effected as resources and services they have relied upon start to disappear. As a consequence to the cuts the police, who were being subjected to their own cuts, were expected to take on these new roles but weren’t necessarily equipped to do so. Following a report conducted by Her Majesty’s Inspectorate Constabulary (HMIC) in 2015, it was recognised that more needed to be done across all services, including the police, in order to protect the vulnerable people in our society. The report highlighted the majority of police forces across England and Wales were not meeting the needs of the vulnerable and more training was required to “create a deeper understanding of and commitment to addressing the often complex needs of vulnerable people” (HMIC, 2015). </w:t>
      </w:r>
      <w:r w:rsidRPr="007100AD">
        <w:rPr>
          <w:bCs/>
        </w:rPr>
        <w:t xml:space="preserve">In the same year The Victims Code was published which defined a victim of crime as </w:t>
      </w:r>
      <w:r w:rsidRPr="007100AD">
        <w:rPr>
          <w:bCs/>
        </w:rPr>
        <w:lastRenderedPageBreak/>
        <w:t>a person who has “suffered harm, including physical, mental or emotional harm or economic loss which was directly caused by a criminal offence”. It also stated that if you are “a persistently targeted victim or a vulnerable or intimated victim”, you are entitled to an enhanced service</w:t>
      </w:r>
      <w:r>
        <w:rPr>
          <w:b/>
          <w:bCs/>
        </w:rPr>
        <w:t xml:space="preserve"> </w:t>
      </w:r>
      <w:r>
        <w:rPr>
          <w:bCs/>
        </w:rPr>
        <w:t>(Ministry of Justice, 2015)</w:t>
      </w:r>
      <w:r>
        <w:rPr>
          <w:b/>
          <w:bCs/>
        </w:rPr>
        <w:t>.</w:t>
      </w:r>
      <w:r w:rsidRPr="00885CE4">
        <w:rPr>
          <w:b/>
          <w:bCs/>
        </w:rPr>
        <w:t xml:space="preserve"> </w:t>
      </w:r>
      <w:r w:rsidRPr="007100AD">
        <w:rPr>
          <w:bCs/>
        </w:rPr>
        <w:t xml:space="preserve">This </w:t>
      </w:r>
      <w:r>
        <w:rPr>
          <w:bCs/>
        </w:rPr>
        <w:t xml:space="preserve">only strengthened </w:t>
      </w:r>
      <w:r w:rsidRPr="007100AD">
        <w:rPr>
          <w:bCs/>
        </w:rPr>
        <w:t>the police service’s commitment to dealing with vulnerable people.</w:t>
      </w:r>
    </w:p>
    <w:p w14:paraId="24188AB7" w14:textId="77777777" w:rsidR="003D73B7" w:rsidRPr="001D67E3" w:rsidRDefault="003D73B7" w:rsidP="003D73B7">
      <w:pPr>
        <w:ind w:right="237"/>
        <w:jc w:val="both"/>
        <w:rPr>
          <w:bCs/>
        </w:rPr>
      </w:pPr>
    </w:p>
    <w:p w14:paraId="5C8E4E2B" w14:textId="77777777" w:rsidR="003D73B7" w:rsidRPr="001D67E3" w:rsidRDefault="003D73B7" w:rsidP="003D73B7">
      <w:pPr>
        <w:ind w:right="237"/>
        <w:jc w:val="both"/>
        <w:rPr>
          <w:bCs/>
        </w:rPr>
      </w:pPr>
      <w:r w:rsidRPr="001D67E3">
        <w:rPr>
          <w:bCs/>
        </w:rPr>
        <w:t>One approach taken to safeguard those who are classed as vulnerable is the Multi-Agency Approach. The police are often at the forefront of this approach and are the “front end actors” (Asquith et al 2016). In policing today there are a number of steps police officers take to assist with safeguarding, the most obvious is having the power to arrest which was implemented in the policing incident I attended, however this is not always possible in every circumstance. As a result, referrals are made to the specialist departments, usually referred to as Public Protection Units (PPU) by the way of Public Protection Notices (PPN’s). These notices allow for the officers to submit their concerns, observations and recommendations which are th</w:t>
      </w:r>
      <w:r>
        <w:rPr>
          <w:bCs/>
        </w:rPr>
        <w:t>en reviewed and evaluated by the Public Protection Unit</w:t>
      </w:r>
      <w:r w:rsidRPr="001D67E3">
        <w:rPr>
          <w:bCs/>
        </w:rPr>
        <w:t>, who in turn forward onto to t</w:t>
      </w:r>
      <w:r>
        <w:rPr>
          <w:bCs/>
        </w:rPr>
        <w:t>he relevant partner agencies. F</w:t>
      </w:r>
      <w:r w:rsidRPr="001D67E3">
        <w:rPr>
          <w:bCs/>
        </w:rPr>
        <w:t>or example</w:t>
      </w:r>
      <w:r>
        <w:rPr>
          <w:bCs/>
        </w:rPr>
        <w:t>,</w:t>
      </w:r>
      <w:r w:rsidRPr="001D67E3">
        <w:rPr>
          <w:bCs/>
        </w:rPr>
        <w:t xml:space="preserve"> social services, housing and community mental health teams. This allows them to conduct further assessments and consider interventions, care and or support plans. Although the police play a pinnacle part in protecting the vulnerable members of society, it is important to remember this is not their only role, as a result the multi-agency approach ensures those who have been identified as vulnerable are given the opportunity for further interventions.</w:t>
      </w:r>
    </w:p>
    <w:p w14:paraId="5A59B098" w14:textId="77777777" w:rsidR="003D73B7" w:rsidRPr="001D67E3" w:rsidRDefault="003D73B7" w:rsidP="003D73B7">
      <w:pPr>
        <w:ind w:right="237"/>
        <w:jc w:val="both"/>
        <w:rPr>
          <w:bCs/>
        </w:rPr>
      </w:pPr>
    </w:p>
    <w:p w14:paraId="3DD8A36A" w14:textId="77777777" w:rsidR="003D73B7" w:rsidRPr="001D67E3" w:rsidRDefault="003D73B7" w:rsidP="003D73B7">
      <w:pPr>
        <w:ind w:right="237"/>
        <w:jc w:val="both"/>
        <w:rPr>
          <w:bCs/>
        </w:rPr>
      </w:pPr>
      <w:r w:rsidRPr="001D67E3">
        <w:rPr>
          <w:bCs/>
        </w:rPr>
        <w:t xml:space="preserve">Despite this seemingly full proof approach there are some discrepancies between the police and other partner agencies in the way in which vulnerability is measured. In a study conducted by Ford et al it was found that during 2016 only 57.5% of safeguarding referrals being submitted by police where being forwarded to partner agencies, and out of those only 4.8% of those resulted in direct action by social services (Ford et al 2020). These findings highlight a possible discrepancy across the services regarding what constitutes vulnerability. Is it a case of other services not doing enough or are the police being overzealous as to who they deem to be vulnerable? It is important to note when it comes to establishing who is vulnerable </w:t>
      </w:r>
      <w:r>
        <w:rPr>
          <w:bCs/>
        </w:rPr>
        <w:t xml:space="preserve">that </w:t>
      </w:r>
      <w:r w:rsidRPr="001D67E3">
        <w:rPr>
          <w:bCs/>
        </w:rPr>
        <w:t xml:space="preserve">it is subjective. It can also be argued the police are more risk adverse compared to other agencies, particularly after high profile cases such as Fiona Pilkington and </w:t>
      </w:r>
      <w:proofErr w:type="spellStart"/>
      <w:r w:rsidRPr="001D67E3">
        <w:rPr>
          <w:bCs/>
        </w:rPr>
        <w:t>Bijan</w:t>
      </w:r>
      <w:proofErr w:type="spellEnd"/>
      <w:r w:rsidRPr="001D67E3">
        <w:rPr>
          <w:bCs/>
        </w:rPr>
        <w:t xml:space="preserve"> </w:t>
      </w:r>
      <w:proofErr w:type="spellStart"/>
      <w:r w:rsidRPr="001D67E3">
        <w:rPr>
          <w:bCs/>
        </w:rPr>
        <w:t>Ebrahimi</w:t>
      </w:r>
      <w:proofErr w:type="spellEnd"/>
      <w:r w:rsidRPr="001D67E3">
        <w:rPr>
          <w:bCs/>
        </w:rPr>
        <w:t xml:space="preserve"> where it was found not enough was done to protect them which ultimately resulted in their deaths (Paterson and Best, 2016). </w:t>
      </w:r>
    </w:p>
    <w:p w14:paraId="3B01FE70" w14:textId="77777777" w:rsidR="003D73B7" w:rsidRPr="001D67E3" w:rsidRDefault="003D73B7" w:rsidP="003D73B7">
      <w:pPr>
        <w:ind w:right="237"/>
        <w:jc w:val="both"/>
        <w:rPr>
          <w:bCs/>
        </w:rPr>
      </w:pPr>
    </w:p>
    <w:p w14:paraId="568ADBDD" w14:textId="77777777" w:rsidR="003D73B7" w:rsidRDefault="003D73B7" w:rsidP="003D73B7">
      <w:pPr>
        <w:ind w:right="237"/>
        <w:jc w:val="both"/>
        <w:rPr>
          <w:bCs/>
        </w:rPr>
      </w:pPr>
      <w:r w:rsidRPr="001D67E3">
        <w:rPr>
          <w:bCs/>
        </w:rPr>
        <w:t xml:space="preserve">As well as taking the relevant steps to protect the vulnerable, from a policing perspective it is also important to understand what makes these victims more susceptible to crime than others. Farrell and Pease stated “Crime is never random and is always concentrated on certain places, people or other targets” (Farrell and Pease 2017). The Home Office defines a repeat victim as “the same person or place suffers from more than one incident over a specified period of time </w:t>
      </w:r>
      <w:r w:rsidRPr="00DF0147">
        <w:rPr>
          <w:bCs/>
        </w:rPr>
        <w:t>(Home Office</w:t>
      </w:r>
      <w:r>
        <w:rPr>
          <w:bCs/>
        </w:rPr>
        <w:t>,</w:t>
      </w:r>
      <w:r w:rsidRPr="00DF0147">
        <w:rPr>
          <w:bCs/>
        </w:rPr>
        <w:t xml:space="preserve"> 2013).</w:t>
      </w:r>
      <w:r w:rsidRPr="001D67E3">
        <w:rPr>
          <w:b/>
          <w:bCs/>
        </w:rPr>
        <w:t xml:space="preserve"> </w:t>
      </w:r>
      <w:r w:rsidRPr="001D67E3">
        <w:rPr>
          <w:bCs/>
        </w:rPr>
        <w:t xml:space="preserve">In a study conducted by Von </w:t>
      </w:r>
      <w:proofErr w:type="spellStart"/>
      <w:r w:rsidRPr="001D67E3">
        <w:rPr>
          <w:bCs/>
        </w:rPr>
        <w:t>Hentig</w:t>
      </w:r>
      <w:proofErr w:type="spellEnd"/>
      <w:r w:rsidRPr="001D67E3">
        <w:rPr>
          <w:bCs/>
        </w:rPr>
        <w:t xml:space="preserve"> (1948) it was found there were a number of elements that could increase the likelihood of a person being victimised which included ‘</w:t>
      </w:r>
      <w:r w:rsidRPr="001D67E3">
        <w:t>the young, the old, female, and the mentally defective’</w:t>
      </w:r>
      <w:r>
        <w:rPr>
          <w:bCs/>
        </w:rPr>
        <w:t>. Studies have found that offenders would target previously victimised people and places. Ericsson (1995) found when interviewing prolific burglars, that offenders would tend to burgle the same place two to five times. The reasons they gave were “the house was associated with low risk…they were familiar with the features of the house…the target was easily accessible” (Ericsson, 1995)</w:t>
      </w:r>
    </w:p>
    <w:p w14:paraId="28218A93" w14:textId="77777777" w:rsidR="003D73B7" w:rsidRDefault="003D73B7" w:rsidP="003D73B7">
      <w:pPr>
        <w:ind w:right="237"/>
        <w:jc w:val="both"/>
        <w:rPr>
          <w:bCs/>
        </w:rPr>
      </w:pPr>
    </w:p>
    <w:p w14:paraId="29CDE259" w14:textId="77777777" w:rsidR="003D73B7" w:rsidRDefault="003D73B7" w:rsidP="003D73B7">
      <w:pPr>
        <w:ind w:right="237"/>
        <w:jc w:val="both"/>
        <w:rPr>
          <w:bCs/>
        </w:rPr>
      </w:pPr>
      <w:r>
        <w:rPr>
          <w:bCs/>
        </w:rPr>
        <w:t xml:space="preserve">Community policing has been found to play an important part in tackling </w:t>
      </w:r>
      <w:r w:rsidRPr="001D67E3">
        <w:rPr>
          <w:bCs/>
        </w:rPr>
        <w:t>repeat vic</w:t>
      </w:r>
      <w:r>
        <w:rPr>
          <w:bCs/>
        </w:rPr>
        <w:t>timisation and repeat offending. One approach is ‘Hot Spot’ policing or ‘situational crime prevention’ An example of this type of policing would be installing better locks on doors and windows, CCTV cameras as well as environmental improvements like better street lighting and removal of graffiti (</w:t>
      </w:r>
      <w:proofErr w:type="spellStart"/>
      <w:r>
        <w:rPr>
          <w:bCs/>
        </w:rPr>
        <w:t>Longstaff</w:t>
      </w:r>
      <w:proofErr w:type="spellEnd"/>
      <w:r>
        <w:rPr>
          <w:bCs/>
        </w:rPr>
        <w:t xml:space="preserve"> et al, 2015). These target hardening strategies, make</w:t>
      </w:r>
      <w:r w:rsidRPr="001D67E3">
        <w:rPr>
          <w:bCs/>
        </w:rPr>
        <w:t xml:space="preserve"> it less desirable for someone to commit an offence</w:t>
      </w:r>
      <w:r>
        <w:rPr>
          <w:bCs/>
        </w:rPr>
        <w:t xml:space="preserve"> (CO</w:t>
      </w:r>
      <w:r w:rsidRPr="001D67E3">
        <w:rPr>
          <w:bCs/>
        </w:rPr>
        <w:t xml:space="preserve">P </w:t>
      </w:r>
      <w:proofErr w:type="spellStart"/>
      <w:r w:rsidRPr="001D67E3">
        <w:rPr>
          <w:bCs/>
        </w:rPr>
        <w:t>nd</w:t>
      </w:r>
      <w:proofErr w:type="spellEnd"/>
      <w:r w:rsidRPr="001D67E3">
        <w:rPr>
          <w:bCs/>
        </w:rPr>
        <w:t>)</w:t>
      </w:r>
      <w:r>
        <w:rPr>
          <w:bCs/>
        </w:rPr>
        <w:t>. Another approach to tackle repeat victimisation and an evolution of hot spot policing is problem-orientated policing. Problem-orientated policing has been found to have ‘an overwhelmingly positive impact on crime rates (</w:t>
      </w:r>
      <w:proofErr w:type="spellStart"/>
      <w:r>
        <w:rPr>
          <w:bCs/>
        </w:rPr>
        <w:t>Weisbard</w:t>
      </w:r>
      <w:proofErr w:type="spellEnd"/>
      <w:r>
        <w:rPr>
          <w:bCs/>
        </w:rPr>
        <w:t xml:space="preserve"> et al, 2010). It</w:t>
      </w:r>
      <w:r w:rsidRPr="001D67E3">
        <w:rPr>
          <w:bCs/>
        </w:rPr>
        <w:t xml:space="preserve"> allows for a more effective approach and forces the police to address the underlying conditions that have led to crime and disorder (Goldstein</w:t>
      </w:r>
      <w:r>
        <w:rPr>
          <w:bCs/>
        </w:rPr>
        <w:t>, 1990</w:t>
      </w:r>
      <w:r w:rsidRPr="001D67E3">
        <w:rPr>
          <w:bCs/>
        </w:rPr>
        <w:t>)</w:t>
      </w:r>
      <w:r>
        <w:rPr>
          <w:bCs/>
        </w:rPr>
        <w:t xml:space="preserve">, which in turn can reduce the likelihood of repeat victimisation. </w:t>
      </w:r>
    </w:p>
    <w:p w14:paraId="5A714BF8" w14:textId="77777777" w:rsidR="003D73B7" w:rsidRDefault="003D73B7" w:rsidP="003D73B7">
      <w:pPr>
        <w:ind w:right="237"/>
        <w:jc w:val="both"/>
        <w:rPr>
          <w:bCs/>
        </w:rPr>
      </w:pPr>
    </w:p>
    <w:p w14:paraId="477C488D" w14:textId="77777777" w:rsidR="003D73B7" w:rsidRDefault="003D73B7" w:rsidP="003D73B7">
      <w:pPr>
        <w:ind w:right="237"/>
        <w:jc w:val="both"/>
        <w:rPr>
          <w:bCs/>
        </w:rPr>
      </w:pPr>
      <w:r>
        <w:rPr>
          <w:bCs/>
        </w:rPr>
        <w:t xml:space="preserve">These policing approaches could prove to be effective in the case of the on-going neighbour issues. By focusing resources on the problem area and working collaboratively with partnership agencies, to solve the issues, this could reduce the likelihood of further offences being committed. </w:t>
      </w:r>
    </w:p>
    <w:p w14:paraId="05F832CD" w14:textId="77777777" w:rsidR="003D73B7" w:rsidRDefault="003D73B7" w:rsidP="003D73B7">
      <w:pPr>
        <w:ind w:right="237"/>
        <w:jc w:val="both"/>
        <w:rPr>
          <w:bCs/>
        </w:rPr>
      </w:pPr>
    </w:p>
    <w:p w14:paraId="1DC19354" w14:textId="77777777" w:rsidR="003D73B7" w:rsidRDefault="003D73B7" w:rsidP="003D73B7">
      <w:pPr>
        <w:ind w:right="237"/>
        <w:jc w:val="both"/>
        <w:rPr>
          <w:bCs/>
        </w:rPr>
      </w:pPr>
      <w:r>
        <w:rPr>
          <w:bCs/>
        </w:rPr>
        <w:lastRenderedPageBreak/>
        <w:t>(Word Count: 1343)</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264E020B" w14:textId="77777777" w:rsidR="00D11563" w:rsidRDefault="00D11563" w:rsidP="00D11563">
      <w:pPr>
        <w:ind w:right="237"/>
        <w:jc w:val="both"/>
      </w:pPr>
      <w:r w:rsidRPr="00746418">
        <w:t>I attended an incident where a young male had been assaulted by a group of males outside a supermarket. When I arrived at the scene there were a number of people still present, including the victim who appeared to have a cut above his eye. I quickly ascertained from the victim and witnesses</w:t>
      </w:r>
      <w:r>
        <w:t>,</w:t>
      </w:r>
      <w:r w:rsidRPr="00746418">
        <w:t xml:space="preserve"> who were still present</w:t>
      </w:r>
      <w:r>
        <w:t>,</w:t>
      </w:r>
      <w:r w:rsidRPr="00746418">
        <w:t xml:space="preserve"> that the suspects were no longer at the scene and had left in a car prior to officers arriving. From the extent of the victim’s injuries, I believed at the time I was looking </w:t>
      </w:r>
      <w:r>
        <w:t xml:space="preserve">at </w:t>
      </w:r>
      <w:r w:rsidRPr="00746418">
        <w:t>the offence of Actual Bodily Harm (ABH) Section 29 Offences</w:t>
      </w:r>
      <w:r>
        <w:t xml:space="preserve"> </w:t>
      </w:r>
      <w:proofErr w:type="gramStart"/>
      <w:r>
        <w:t>Against</w:t>
      </w:r>
      <w:proofErr w:type="gramEnd"/>
      <w:r>
        <w:t xml:space="preserve"> the Persons Act 1861. As the suspects were no longer present, to ensure the investigation had the best chance of succeeding, </w:t>
      </w:r>
      <w:r w:rsidRPr="00746418">
        <w:t xml:space="preserve">I followed the Golden Hour Principles and gathered as much evidence as I could, including obtaining details of the victim and potential witnesses, CCTV from the supermarket, as well as photographing the injuries. Positive action taken in the period immediately after the offence can reduce the amount of evidence </w:t>
      </w:r>
      <w:r>
        <w:t>lost and can “maximise the chanc</w:t>
      </w:r>
      <w:r w:rsidRPr="00746418">
        <w:t>e of securing the material that will be admissible in court” (COP, 2019).</w:t>
      </w:r>
      <w:r>
        <w:t xml:space="preserve"> From the initial accounts taken from the victim and the witnesses it became apparent that no-one knew who the perpetrators were, or at least that is what they led me to believe at the time. The only information I had to go on was the registration number of the vehicle they were seen leaving in, CCTV footage from outside the supermarket and the descriptions of the males involved. </w:t>
      </w:r>
    </w:p>
    <w:p w14:paraId="19B13844" w14:textId="77777777" w:rsidR="00D11563" w:rsidRDefault="00D11563" w:rsidP="00D11563">
      <w:pPr>
        <w:ind w:right="237"/>
        <w:jc w:val="both"/>
      </w:pPr>
    </w:p>
    <w:p w14:paraId="3EC83B21" w14:textId="77777777" w:rsidR="00D11563" w:rsidRPr="00B13450" w:rsidRDefault="00D11563" w:rsidP="00D11563">
      <w:pPr>
        <w:ind w:right="237"/>
        <w:jc w:val="both"/>
      </w:pPr>
      <w:r>
        <w:t xml:space="preserve">Information and intelligence has been used to progress investigations for centuries, however the way in which it is acquired and managed has evolved with society. Since its introduction into Britain in the 1970’s closed circuit television (CCTV) has proved to be effective in the process of gathering evidence of criminal activity. The technology available today is seeing higher quality movie type images being captured with systems that can be accessed remotely and images are stored in online databases. This is a long way from the grainy, black and white imagery that was produced from the </w:t>
      </w:r>
      <w:r>
        <w:lastRenderedPageBreak/>
        <w:t>earliest versions of CCTV. Despite this there are still some concerns regarding the accuracy of identifying suspects from the footage, in particular suspects who are not known. In an experiment conducted by Bruce et al it found that despite participants being shown high quality imagery of an unknown suspect, when they were asked to identify them from an array of imagery of people with similar features there was a high error rate (Bruce et al, 2001). In another experiment Bruce et al asked participants to view CCTV imagery of people known to them which returned a 90% success rate, however if the images were of a poor quality then the error rate was still high. Despite this, these results highlight the identification of suspects is more successful when they are known to the person making the ID.</w:t>
      </w:r>
      <w:r>
        <w:rPr>
          <w:sz w:val="22"/>
          <w:szCs w:val="22"/>
        </w:rPr>
        <w:t xml:space="preserve"> </w:t>
      </w:r>
      <w:r>
        <w:t>The quality of the CCTV that was obtained in my investigation was of a high quality, however due to the clothing worn by the suspects, it made it difficult to identify any faces that could be used for identification procedures, as there hoods were up and they were either facing away from the camera or their heads were down. As a result, although the CCTV captured the incident and clearly showed the assault, it would not be able to help me with identifying the suspects involved. Had the footage been useable in the identification process I would have ensured I adhered to Code D of the Police and Criminal Evidence Act 1984 which outlines the powers and procedures police have with regards to identifying persons involved in an offence (Home Office, 2017).</w:t>
      </w:r>
    </w:p>
    <w:p w14:paraId="22914432" w14:textId="77777777" w:rsidR="00D11563" w:rsidRDefault="00D11563" w:rsidP="00D11563">
      <w:pPr>
        <w:ind w:right="237"/>
        <w:jc w:val="both"/>
      </w:pPr>
    </w:p>
    <w:p w14:paraId="39F1F886" w14:textId="77777777" w:rsidR="00D11563" w:rsidRDefault="00D11563" w:rsidP="00D11563">
      <w:pPr>
        <w:ind w:right="237"/>
        <w:jc w:val="both"/>
      </w:pPr>
      <w:r>
        <w:t xml:space="preserve">As I did not have any names or visual evidence to use to identify the suspects, I had to rely on information I had obtained from speaking to witnesses present at the scene and use that as a starting point for my investigation to build up intelligence I could act on in order to apprehend the suspects. </w:t>
      </w:r>
      <w:r w:rsidRPr="00F01E56">
        <w:t>Intelligence is ‘collected information that has been dev</w:t>
      </w:r>
      <w:r>
        <w:t xml:space="preserve">eloped for action’ (COP, 2019) and can be gathered through a number of </w:t>
      </w:r>
      <w:r w:rsidRPr="004A1D57">
        <w:t>different sources, whether it be through general conversations and interactions with members of the public, or through more covert methods like surveillance (Bryant et al, 2019).</w:t>
      </w:r>
      <w:r>
        <w:t xml:space="preserve"> The information I had, although limited, gave me a starting block for my investigation. The vehicle registration number captured by one of the witnesses was a significant part of this. I utilised the databases available to me in order develop the information I had been given and ran the details through the Police National Computer, this allowed me to identify the registered owner and who it was insured to. After running the information through the system I identified the vehicle was registered to a female, which initially presented as a dead end lead. The descriptions of the males provided by the witnesses were three to four Asian males between the ages of 17 to 25, there was no mention of a female involved. However, as was with the case of R v Turnbull (1977) it was possible there may have been a mistake made regarding the identities of the persons involved. In an experiment conducted by Valentine and </w:t>
      </w:r>
      <w:proofErr w:type="spellStart"/>
      <w:r>
        <w:t>Mesout</w:t>
      </w:r>
      <w:proofErr w:type="spellEnd"/>
      <w:r>
        <w:t xml:space="preserve"> it was reported that witnesses who experienced high anxiety or stress during an incident were less likely to recall accurate details (Valentine &amp; </w:t>
      </w:r>
      <w:proofErr w:type="spellStart"/>
      <w:r>
        <w:t>Mesout</w:t>
      </w:r>
      <w:proofErr w:type="spellEnd"/>
      <w:r>
        <w:t xml:space="preserve">, 2009). After further investigation into the address the vehicle was registered and insured at, I found there were a number of young Asian males associated with the address, some of which had criminal records for similar offences. </w:t>
      </w:r>
    </w:p>
    <w:p w14:paraId="12D7F5AA" w14:textId="77777777" w:rsidR="00D11563" w:rsidRDefault="00D11563" w:rsidP="00D11563">
      <w:pPr>
        <w:ind w:right="237"/>
        <w:jc w:val="both"/>
      </w:pPr>
    </w:p>
    <w:p w14:paraId="01F82B17" w14:textId="77777777" w:rsidR="00D11563" w:rsidRDefault="00D11563" w:rsidP="00D11563">
      <w:pPr>
        <w:ind w:right="237"/>
        <w:jc w:val="both"/>
      </w:pPr>
      <w:r>
        <w:t xml:space="preserve">I contacted the female to ask her about the incident to which she confirmed the identity of one of the males, however from speaking with her it was clear she was worried about her family finding out she had spoken to the police and requested her name was not mentioned to any of the suspects. Although in this instance the female could not be classified as an official Covert Human Intelligence Source (CHIS), due to her position within the family and her willingness to engage with officers, she could have been considered as a potential CHIS, had this investigation been for a much more serious offence or part of a much wider network. For example, an Organised Crime Gang (OCG). As she had a potential relationship with a person for which she could covertly obtain information which could assist with the investigation (Home Office, 2010). </w:t>
      </w:r>
    </w:p>
    <w:p w14:paraId="2899CAE7" w14:textId="77777777" w:rsidR="00D11563" w:rsidRDefault="00D11563" w:rsidP="00D11563">
      <w:pPr>
        <w:ind w:right="237"/>
        <w:jc w:val="both"/>
      </w:pPr>
    </w:p>
    <w:p w14:paraId="2F09C694" w14:textId="77777777" w:rsidR="00D11563" w:rsidRDefault="00D11563" w:rsidP="00D11563">
      <w:pPr>
        <w:ind w:right="237"/>
        <w:jc w:val="both"/>
      </w:pPr>
      <w:r>
        <w:t xml:space="preserve">I also utilised the local PCSO’s and their community knowledge to try and identify the suspects involved. The victim and some of the witnesses were students at one of the local schools, and thanks to the assistance of the school liaisons officer, it was established one of their pupils may have been one of the suspects. This intelligence, combined with the information obtained from the female driver and the police national databases allowed me to identify one of the suspects and make arrangements for them to attend on a voluntary interview basis. </w:t>
      </w:r>
    </w:p>
    <w:p w14:paraId="2513F143" w14:textId="77777777" w:rsidR="00D11563" w:rsidRDefault="00D11563" w:rsidP="00D11563">
      <w:pPr>
        <w:ind w:right="237"/>
        <w:jc w:val="both"/>
      </w:pPr>
    </w:p>
    <w:p w14:paraId="091B547C" w14:textId="77777777" w:rsidR="00D11563" w:rsidRDefault="00D11563" w:rsidP="00D11563">
      <w:pPr>
        <w:ind w:right="237"/>
        <w:jc w:val="both"/>
      </w:pPr>
      <w:r>
        <w:t xml:space="preserve">Throughout my investigation, when I was gathering information and intelligence on the suspects, I was following the National Intelligence Model (NIM) and using the 3x5x2 evaluation process. This allowed me to ascertain how reliable a piece of information is and help guide my investigation. As discussed above the CCTV was great piece of evidence to support the assault occurring, however due to the angle of the camera and the clothing worn by the suspects it could not be used to identify </w:t>
      </w:r>
      <w:r>
        <w:lastRenderedPageBreak/>
        <w:t xml:space="preserve">all of those involved. However, the use of police databases and community intelligence allowed me to identify at least one of the suspects and interview them regarding the incident. Sadly, in this instance, I was not able to identify all of those involved or charge the individual who was identified due to evidential difficulties. Despite this, I found the investigation showed me the importance of information and intelligence gathering when conducting investigations. </w:t>
      </w:r>
    </w:p>
    <w:p w14:paraId="7884D4E9" w14:textId="77777777" w:rsidR="00D11563" w:rsidRDefault="00D11563" w:rsidP="00D11563">
      <w:pPr>
        <w:ind w:right="237"/>
        <w:jc w:val="both"/>
      </w:pPr>
    </w:p>
    <w:p w14:paraId="1AE8F3DF" w14:textId="77777777" w:rsidR="00D11563" w:rsidRDefault="00D11563" w:rsidP="00D11563">
      <w:pPr>
        <w:ind w:right="237"/>
        <w:jc w:val="both"/>
      </w:pPr>
      <w:r>
        <w:t xml:space="preserve"> </w:t>
      </w:r>
    </w:p>
    <w:p w14:paraId="75E063FC" w14:textId="77777777" w:rsidR="00D11563" w:rsidRDefault="00D11563" w:rsidP="00D11563">
      <w:pPr>
        <w:ind w:right="237"/>
        <w:jc w:val="both"/>
      </w:pPr>
      <w:r>
        <w:t>(Word Count: 1336)</w:t>
      </w:r>
    </w:p>
    <w:p w14:paraId="3C68C0AB" w14:textId="77777777" w:rsidR="00D11563" w:rsidRDefault="00D11563" w:rsidP="00D11563">
      <w:pPr>
        <w:ind w:right="237"/>
        <w:jc w:val="both"/>
      </w:pPr>
    </w:p>
    <w:p w14:paraId="416EFA95" w14:textId="29A4B1BA"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18D745B" w14:textId="77777777" w:rsidR="00F85018" w:rsidRDefault="00F85018" w:rsidP="00F85018">
      <w:pPr>
        <w:jc w:val="both"/>
      </w:pPr>
      <w:r>
        <w:t xml:space="preserve">I was tasked to review an incident where a mother had reported concerning messages on her nine year old son’s phone. In these messages a person her son had believed to be a friend from school had asked for pictures of her son’s body and had also sent messages containing sexual references. After an initial investigation it was found that the number did not belong to a girl from his school. Due to the nature of the messages, I immediately implemented safeguarding measures to prevent any further harm. The mother of the victim, had taken the phone away from her son and had also blocked the phone number that was being used. A safeguarding referral was made in the form of a Public Protection Notice (PPN) to the relevant public protection departments, including the school and social services. </w:t>
      </w:r>
    </w:p>
    <w:p w14:paraId="3AB59BCE" w14:textId="77777777" w:rsidR="00F85018" w:rsidRDefault="00F85018" w:rsidP="00F85018">
      <w:pPr>
        <w:jc w:val="both"/>
      </w:pPr>
    </w:p>
    <w:p w14:paraId="6426F205" w14:textId="77777777" w:rsidR="00F85018" w:rsidRDefault="00F85018" w:rsidP="00F85018">
      <w:pPr>
        <w:jc w:val="both"/>
      </w:pPr>
      <w:r>
        <w:t>From the initial report made by the mother</w:t>
      </w:r>
      <w:r w:rsidRPr="00570245">
        <w:t xml:space="preserve"> it appeared</w:t>
      </w:r>
      <w:r>
        <w:t xml:space="preserve"> as if this could be linked to Child G</w:t>
      </w:r>
      <w:r w:rsidRPr="00570245">
        <w:t>roomin</w:t>
      </w:r>
      <w:r>
        <w:t xml:space="preserve">g or Child Sexual Exploitation. </w:t>
      </w:r>
      <w:r w:rsidRPr="00570245">
        <w:t>The college of policing defines Child Sexual Exploitation as “a form of child abuse”. Children are targeted either by an individual or by a gang and forced or coerced to commit sexual acts. This can be either</w:t>
      </w:r>
      <w:r>
        <w:t xml:space="preserve"> be</w:t>
      </w:r>
      <w:r w:rsidRPr="00570245">
        <w:t xml:space="preserve"> through direct contact or through the use of technology (</w:t>
      </w:r>
      <w:proofErr w:type="spellStart"/>
      <w:r w:rsidRPr="00570245">
        <w:t>CoP</w:t>
      </w:r>
      <w:proofErr w:type="spellEnd"/>
      <w:r w:rsidRPr="00570245">
        <w:t xml:space="preserve"> 2019). Victims of Child Sexual Exploitation can come from all types of backgrounds, however some may be more vulnerable than others as they have ‘limited availability of choice resulting from their social/economic and/or emotional vulnerability’ </w:t>
      </w:r>
      <w:r w:rsidRPr="00050E7F">
        <w:t>(DCSF, 2009).</w:t>
      </w:r>
      <w:r w:rsidRPr="00570245">
        <w:t xml:space="preserve"> For example</w:t>
      </w:r>
      <w:r>
        <w:t>,</w:t>
      </w:r>
      <w:r w:rsidRPr="00570245">
        <w:t xml:space="preserve"> they may have come from a dysfunctional household (drug and alcohol dependant parents, domestic violence etc.), they may already be victims of abuse, have learning disabilities or even low self-esteem, all of which put them at risk of Child Sexual Exploitation. </w:t>
      </w:r>
      <w:r>
        <w:t>Due to the complex nature of child sexual exploitation, a multi-agency approach is imperative to assist with not only the investigation but also to prevent any further harm. For example a child may not be comfortable speaking with the police, as they may find the experience to be scary or intimidating. A level of trust building is required when speaking to children and in order to obtain the best evidence a number of meetings/interviews with the child may be necessary (</w:t>
      </w:r>
      <w:proofErr w:type="spellStart"/>
      <w:r>
        <w:t>Jago</w:t>
      </w:r>
      <w:proofErr w:type="spellEnd"/>
      <w:r>
        <w:t xml:space="preserve"> et al, 2011). However, this is not always practicable for the police service, particularly when resources are stretched, which is where the multi-agency approach can be beneficial.  Multi-agency Sexual Exploitation (MASE) meetings or Multi-agency Safeguarding Hubs (MASH) can be conducted to assist with this. All of those involved in these initiatives can provide their own unique contribution and help to assist the victim from different aspects of their day to day, whether that be through the school, health practitioners or social services (Sharp-</w:t>
      </w:r>
      <w:proofErr w:type="spellStart"/>
      <w:r>
        <w:t>Jeffs</w:t>
      </w:r>
      <w:proofErr w:type="spellEnd"/>
      <w:r>
        <w:t xml:space="preserve"> et al, 2017). </w:t>
      </w:r>
    </w:p>
    <w:p w14:paraId="451F8EE5" w14:textId="77777777" w:rsidR="00F85018" w:rsidRDefault="00F85018" w:rsidP="00F85018">
      <w:pPr>
        <w:jc w:val="both"/>
      </w:pPr>
    </w:p>
    <w:p w14:paraId="66B9C24D" w14:textId="77777777" w:rsidR="00F85018" w:rsidRDefault="00F85018" w:rsidP="00F85018">
      <w:pPr>
        <w:jc w:val="both"/>
      </w:pPr>
      <w:r>
        <w:t xml:space="preserve">As well as ensuring the victim is safeguarded, appropriate investigative actions are also required when dealing with this type of incident, due to the anonymity the internet provides to the suspect, in order to ascertain who they are. This can include downloading the data from the victim’s phone as well as considering a charter application on the phone number used by the suspect. Due to the increase in criminal activity being committed using technology, the need for having access to individual’s electronic devices and internet usage has become paramount to a successful investigation of this nature. However, as with everything the police do they are governed by legislation and policy. The Investigatory Powers Act 2016 granted intelligence and law enforcement agencies the power to obtain communications and the data about communications (Home Office 2017). Due to the invasive nature the power bestows, it is imperative there is enough evidence collated to justify submitting a charter application. The introduction of the Investigatory Powers Act 2016 brought about controversy with some </w:t>
      </w:r>
      <w:r>
        <w:lastRenderedPageBreak/>
        <w:t>referring to it as the “Snoopers Charter”. Many view the Investigatory Powers Act 2016 to be a breach of Human Rights, in particular Article 8 “Right to respect for private and family life” (Human Rights Act 1998). In this instance, unfortunately, I was not able to obtain enough evidence to support the justification of invoking the use of the Investigatory Powers Act 2016 and as a result the investigation was closed due to evidential difficulties. The investigation was not in vain, however, as I submitted intelligence relating to the phone number, in case there were any further reports of a similar nature relating to the same phone number.</w:t>
      </w:r>
    </w:p>
    <w:p w14:paraId="7F5FFF60" w14:textId="77777777" w:rsidR="00F85018" w:rsidRDefault="00F85018" w:rsidP="00F85018">
      <w:pPr>
        <w:jc w:val="both"/>
      </w:pPr>
    </w:p>
    <w:p w14:paraId="20D50C4C" w14:textId="77777777" w:rsidR="00F85018" w:rsidRDefault="00F85018" w:rsidP="00F85018">
      <w:pPr>
        <w:jc w:val="both"/>
      </w:pPr>
      <w:r>
        <w:t xml:space="preserve">The main priority of the police is to ‘Preserve Life’ and applies to all, victims and criminals alike. </w:t>
      </w:r>
    </w:p>
    <w:p w14:paraId="2845945B" w14:textId="77777777" w:rsidR="00F85018" w:rsidRDefault="00F85018" w:rsidP="00F85018">
      <w:pPr>
        <w:jc w:val="both"/>
      </w:pPr>
      <w:r>
        <w:t>Digital crimes such as child grooming or exploitation of children can draw attention from the public, in particular vigilante groups, or more commonly known as ‘Paedophile Hunters’. Their involvement in these types of cases can potentially jeopardise the investigation as the methods they use can “threaten the procedural rights of suspects and undermine the integrity of the Criminal Justice System” (</w:t>
      </w:r>
      <w:proofErr w:type="spellStart"/>
      <w:r>
        <w:t>Purshouse</w:t>
      </w:r>
      <w:proofErr w:type="spellEnd"/>
      <w:r>
        <w:t>, 2020). As a result another thing to consider is the safety of the suspect. There have been many instances where these types of groups have taken the law into their own hands and publicised the locations and identities of suspects linked to offences against children. In 2017 David Baker was confronted by a ‘Paedophile Hunter’ group which was filmed and uploaded to social media, three days later he was found to have committed suicide. In a review conducted by the coroner it was ruled the postings on social media after his arrest were a “causative factor which led to his death” (BBC News, 2018).</w:t>
      </w:r>
    </w:p>
    <w:p w14:paraId="10592B3F" w14:textId="77777777" w:rsidR="00F85018" w:rsidRDefault="00F85018" w:rsidP="00F85018">
      <w:pPr>
        <w:jc w:val="both"/>
      </w:pPr>
    </w:p>
    <w:p w14:paraId="47DCCE9A" w14:textId="77777777" w:rsidR="00F85018" w:rsidRDefault="00F85018" w:rsidP="00F85018">
      <w:pPr>
        <w:jc w:val="both"/>
      </w:pPr>
      <w:r>
        <w:t>The way in which crime is committed is changing; with the advancement of technology, criminals are finding new ways to enhance their ‘craft’. The concept of grooming children for sexual gains, is not a recent development for criminals however thanks to the evolution of technology and the introduction of social media platforms, it is now easier for perpetrators to sexually exploit children (</w:t>
      </w:r>
      <w:proofErr w:type="spellStart"/>
      <w:r>
        <w:t>Gillepsie</w:t>
      </w:r>
      <w:proofErr w:type="spellEnd"/>
      <w:r>
        <w:t>, 2002). The internet has provided offenders with a wider reach and has also provided them with the feeling of anonymity, with the assistance of the ‘</w:t>
      </w:r>
      <w:proofErr w:type="spellStart"/>
      <w:r>
        <w:t>Darknet</w:t>
      </w:r>
      <w:proofErr w:type="spellEnd"/>
      <w:r>
        <w:t xml:space="preserve">’ allowing them to engage in their criminal enterprises, whilst giving them the feeling of being protected from repercussions (Europol, 2017). </w:t>
      </w:r>
    </w:p>
    <w:p w14:paraId="7CEEC50E" w14:textId="77777777" w:rsidR="00F85018" w:rsidRDefault="00F85018" w:rsidP="00F85018">
      <w:pPr>
        <w:jc w:val="both"/>
      </w:pPr>
    </w:p>
    <w:p w14:paraId="6F0AA57E" w14:textId="77777777" w:rsidR="00F85018" w:rsidRDefault="00F85018" w:rsidP="00F85018">
      <w:pPr>
        <w:jc w:val="both"/>
      </w:pPr>
      <w:r>
        <w:t>When the notion of computers and the internet were first introduced in the 1980’s it was a fairly new concept and digital crime was minimal. However, as technology has advanced, so have the criminals who are using it to commit crimes and grow and develop their criminal enterprises. “Cyber-crime has become one of the most threatening and difficult problems for law enforcement, the judicial system and the public at large” (</w:t>
      </w:r>
      <w:proofErr w:type="spellStart"/>
      <w:r>
        <w:t>Norden</w:t>
      </w:r>
      <w:proofErr w:type="spellEnd"/>
      <w:r>
        <w:t>, 2013). In a report produced by the Office of National Statistics in 2019 it was found that 93% of households in Great Britain had access to the internet and of those 64% were using mobile broadband to access the internet (ONS, 2019). The introduction of smart phones and tablets combined with affordable data plans from mobile networks, has allowed more people, across all age groups, to access the internet from literally the palm of their hands, increasing their risk of being a victim of cyber-crime, particularly with young people. In a review by Winters et al they found that sexual exploitation of children is “one of the most frequently reported sexually inappropriate behaviours on the internet” (Winters et al, 2016).</w:t>
      </w:r>
    </w:p>
    <w:p w14:paraId="067BB2E9" w14:textId="77777777" w:rsidR="00F85018" w:rsidRDefault="00F85018" w:rsidP="00F85018">
      <w:pPr>
        <w:jc w:val="both"/>
      </w:pPr>
    </w:p>
    <w:p w14:paraId="528B49EB" w14:textId="77777777" w:rsidR="00F85018" w:rsidRDefault="00F85018" w:rsidP="00F85018">
      <w:pPr>
        <w:jc w:val="both"/>
      </w:pPr>
    </w:p>
    <w:p w14:paraId="449F9BD4" w14:textId="77777777" w:rsidR="00F85018" w:rsidRPr="00BC546E" w:rsidRDefault="00F85018" w:rsidP="00F85018">
      <w:pPr>
        <w:jc w:val="both"/>
      </w:pPr>
      <w:r>
        <w:t>(Word Count: 1216)</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21A103F" w14:textId="77777777" w:rsidR="003D73B7" w:rsidRDefault="003D73B7" w:rsidP="00BA537F">
      <w:pPr>
        <w:pStyle w:val="ListParagraph"/>
        <w:numPr>
          <w:ilvl w:val="0"/>
          <w:numId w:val="10"/>
        </w:numPr>
      </w:pPr>
      <w:r>
        <w:t>Adams J (1965) ‘Inequity in social exchange’, in Berkowitz L (</w:t>
      </w:r>
      <w:proofErr w:type="spellStart"/>
      <w:r>
        <w:t>ed</w:t>
      </w:r>
      <w:proofErr w:type="spellEnd"/>
      <w:r>
        <w:t xml:space="preserve">) </w:t>
      </w:r>
      <w:r>
        <w:rPr>
          <w:i/>
        </w:rPr>
        <w:t>Advances in Experimental Psychology</w:t>
      </w:r>
      <w:r>
        <w:t>, Vol 2, p267-299</w:t>
      </w:r>
    </w:p>
    <w:p w14:paraId="6CEE3B9E" w14:textId="77777777" w:rsidR="003D73B7" w:rsidRPr="00B97F94" w:rsidRDefault="003D73B7" w:rsidP="00BA537F">
      <w:pPr>
        <w:pStyle w:val="ListParagraph"/>
        <w:numPr>
          <w:ilvl w:val="0"/>
          <w:numId w:val="10"/>
        </w:numPr>
        <w:rPr>
          <w:b/>
        </w:rPr>
      </w:pPr>
      <w:r>
        <w:t>Article 8 Human Rights Act (1998) Available at &lt;</w:t>
      </w:r>
      <w:hyperlink r:id="rId15" w:history="1">
        <w:r>
          <w:rPr>
            <w:rStyle w:val="Hyperlink"/>
          </w:rPr>
          <w:t>https://www.legislation.gov.uk/ukpga/1998/42/schedule/1</w:t>
        </w:r>
      </w:hyperlink>
      <w:r>
        <w:t>&gt; (accessed 09/12/20)</w:t>
      </w:r>
    </w:p>
    <w:p w14:paraId="0A720A9F" w14:textId="77777777" w:rsidR="003D73B7" w:rsidRDefault="003D73B7" w:rsidP="003D73B7">
      <w:pPr>
        <w:pStyle w:val="ListParagraph"/>
        <w:numPr>
          <w:ilvl w:val="0"/>
          <w:numId w:val="12"/>
        </w:numPr>
      </w:pPr>
      <w:r>
        <w:t xml:space="preserve">Asquith N.L, </w:t>
      </w:r>
      <w:proofErr w:type="spellStart"/>
      <w:r>
        <w:t>Bartkowiak</w:t>
      </w:r>
      <w:proofErr w:type="spellEnd"/>
      <w:r>
        <w:t xml:space="preserve">-Theron I and Roberts K (2016) Vulnerability and the Criminal Justice System, </w:t>
      </w:r>
      <w:r>
        <w:rPr>
          <w:i/>
        </w:rPr>
        <w:t xml:space="preserve">Journal of Criminological Research, Police and Practice, </w:t>
      </w:r>
      <w:r>
        <w:t>Vol 2(3), p 161 – 163</w:t>
      </w:r>
    </w:p>
    <w:p w14:paraId="540E30BB" w14:textId="77777777" w:rsidR="003D73B7" w:rsidRDefault="003D73B7" w:rsidP="00BA537F">
      <w:pPr>
        <w:pStyle w:val="ListParagraph"/>
        <w:numPr>
          <w:ilvl w:val="0"/>
          <w:numId w:val="10"/>
        </w:numPr>
      </w:pPr>
      <w:r>
        <w:t>Baldwin, S (2006) ‘Organisational Justice’ Available at &lt;</w:t>
      </w:r>
      <w:hyperlink r:id="rId16" w:history="1">
        <w:r>
          <w:rPr>
            <w:rStyle w:val="Hyperlink"/>
          </w:rPr>
          <w:t>https://www.employment-studies.co.uk/system/files/resources/files/mp73.pdf</w:t>
        </w:r>
      </w:hyperlink>
      <w:r>
        <w:t>&gt; (accessed 07/12/20)</w:t>
      </w:r>
    </w:p>
    <w:p w14:paraId="3F704DE6" w14:textId="77777777" w:rsidR="003D73B7" w:rsidRPr="008701C1" w:rsidRDefault="003D73B7" w:rsidP="00BA537F">
      <w:pPr>
        <w:pStyle w:val="ListParagraph"/>
        <w:numPr>
          <w:ilvl w:val="0"/>
          <w:numId w:val="10"/>
        </w:numPr>
        <w:rPr>
          <w:b/>
        </w:rPr>
      </w:pPr>
      <w:r>
        <w:t>BBC News (February 2018) Man killed himself after Southampton ‘Paedophile sting’, Available at &lt;</w:t>
      </w:r>
      <w:hyperlink r:id="rId17" w:history="1">
        <w:r>
          <w:rPr>
            <w:rStyle w:val="Hyperlink"/>
          </w:rPr>
          <w:t>https://www.bbc.co.uk/news/uk-england-hampshire-43198275</w:t>
        </w:r>
      </w:hyperlink>
      <w:r>
        <w:t>&gt; (accessed 10/12/20)</w:t>
      </w:r>
    </w:p>
    <w:p w14:paraId="526953D5" w14:textId="77777777" w:rsidR="003D73B7" w:rsidRDefault="003D73B7" w:rsidP="00BA537F">
      <w:pPr>
        <w:pStyle w:val="ListParagraph"/>
        <w:numPr>
          <w:ilvl w:val="0"/>
          <w:numId w:val="10"/>
        </w:numPr>
      </w:pPr>
      <w:r>
        <w:t xml:space="preserve">Bruce V, Henderson Z, Newman C and Burton A M (2001) ‘Matching identities of familiar and unfamiliar faces caught on CCTV images’ </w:t>
      </w:r>
      <w:r w:rsidRPr="00E96FA1">
        <w:rPr>
          <w:i/>
        </w:rPr>
        <w:t>Journal of Experimental Psychology</w:t>
      </w:r>
      <w:r>
        <w:t>, Vol 7 (3), P. 207–218</w:t>
      </w:r>
    </w:p>
    <w:p w14:paraId="2DC20612" w14:textId="77777777" w:rsidR="003D73B7" w:rsidRDefault="003D73B7" w:rsidP="00BA537F">
      <w:pPr>
        <w:pStyle w:val="ListParagraph"/>
        <w:numPr>
          <w:ilvl w:val="0"/>
          <w:numId w:val="10"/>
        </w:numPr>
        <w:rPr>
          <w:rFonts w:cstheme="minorHAnsi"/>
        </w:rPr>
      </w:pPr>
      <w:r>
        <w:rPr>
          <w:rFonts w:cstheme="minorHAnsi"/>
        </w:rPr>
        <w:t>Bryant</w:t>
      </w:r>
      <w:r w:rsidRPr="00712523">
        <w:rPr>
          <w:rFonts w:cstheme="minorHAnsi"/>
        </w:rPr>
        <w:t xml:space="preserve"> R and Bryant S (2019) </w:t>
      </w:r>
      <w:r w:rsidRPr="00712523">
        <w:rPr>
          <w:rFonts w:cstheme="minorHAnsi"/>
          <w:i/>
        </w:rPr>
        <w:t>Blackstone’s Handbook for Policing Students</w:t>
      </w:r>
      <w:r w:rsidRPr="00712523">
        <w:rPr>
          <w:rFonts w:cstheme="minorHAnsi"/>
        </w:rPr>
        <w:t>, 13</w:t>
      </w:r>
      <w:r w:rsidRPr="00712523">
        <w:rPr>
          <w:rFonts w:cstheme="minorHAnsi"/>
          <w:vertAlign w:val="superscript"/>
        </w:rPr>
        <w:t>th</w:t>
      </w:r>
      <w:r w:rsidRPr="00712523">
        <w:rPr>
          <w:rFonts w:cstheme="minorHAnsi"/>
        </w:rPr>
        <w:t xml:space="preserve"> </w:t>
      </w:r>
      <w:proofErr w:type="spellStart"/>
      <w:r w:rsidRPr="00712523">
        <w:rPr>
          <w:rFonts w:cstheme="minorHAnsi"/>
        </w:rPr>
        <w:t>Edn</w:t>
      </w:r>
      <w:proofErr w:type="spellEnd"/>
      <w:r w:rsidRPr="00712523">
        <w:rPr>
          <w:rFonts w:cstheme="minorHAnsi"/>
        </w:rPr>
        <w:t xml:space="preserve">, Oxford University Press: Oxford </w:t>
      </w:r>
    </w:p>
    <w:p w14:paraId="076FA567" w14:textId="77777777" w:rsidR="003D73B7" w:rsidRDefault="003D73B7" w:rsidP="003D73B7">
      <w:pPr>
        <w:pStyle w:val="ListParagraph"/>
        <w:numPr>
          <w:ilvl w:val="0"/>
          <w:numId w:val="12"/>
        </w:numPr>
      </w:pPr>
      <w:r>
        <w:t>Care Act (2014) c.23. Available at https://www.legislation.gov.uk/ukpga/2014/23/section/23 (Accessed 03/12/2020)</w:t>
      </w:r>
    </w:p>
    <w:p w14:paraId="6129111F" w14:textId="77777777" w:rsidR="003D73B7" w:rsidRDefault="003D73B7" w:rsidP="00BA537F">
      <w:pPr>
        <w:numPr>
          <w:ilvl w:val="0"/>
          <w:numId w:val="10"/>
        </w:numPr>
      </w:pPr>
      <w:r>
        <w:t>College of Policing (2014) Code of ethics: A code of practice for the principles and standards of professional behaviour for the policing profession of England and Wales. Ryton-on-</w:t>
      </w:r>
      <w:proofErr w:type="spellStart"/>
      <w:r>
        <w:t>Dunsmore</w:t>
      </w:r>
      <w:proofErr w:type="spellEnd"/>
      <w:r>
        <w:t>: College of Policing.</w:t>
      </w:r>
    </w:p>
    <w:p w14:paraId="7F82AEA5" w14:textId="77777777" w:rsidR="003D73B7" w:rsidRDefault="003D73B7" w:rsidP="00045962">
      <w:pPr>
        <w:pStyle w:val="ListParagraph"/>
        <w:numPr>
          <w:ilvl w:val="0"/>
          <w:numId w:val="10"/>
        </w:numPr>
      </w:pPr>
      <w:r>
        <w:t>College of Policing (2015) ‘using domestic violence protection notices and domestic violence protection orders to make victims safer, Available at &lt;</w:t>
      </w:r>
      <w:r w:rsidRPr="00F736BC">
        <w:t xml:space="preserve"> </w:t>
      </w:r>
      <w:hyperlink r:id="rId18" w:history="1">
        <w:r>
          <w:rPr>
            <w:rStyle w:val="Hyperlink"/>
          </w:rPr>
          <w:t>Domestic violence protection notices and domestic violence protection orders (college.police.uk)</w:t>
        </w:r>
      </w:hyperlink>
      <w:r>
        <w:t>&gt; (accessed 13/12/20)</w:t>
      </w:r>
    </w:p>
    <w:p w14:paraId="5372EEB8" w14:textId="77777777" w:rsidR="003D73B7" w:rsidRDefault="003D73B7" w:rsidP="00045962">
      <w:pPr>
        <w:pStyle w:val="ListParagraph"/>
        <w:numPr>
          <w:ilvl w:val="0"/>
          <w:numId w:val="10"/>
        </w:numPr>
      </w:pPr>
      <w:r>
        <w:t>College of Policing (2018) ‘Major Investigation and public protection: Partnership working and multi-agency responses/mechanisms, Available at &lt;</w:t>
      </w:r>
      <w:r w:rsidRPr="006E1297">
        <w:t xml:space="preserve"> </w:t>
      </w:r>
      <w:hyperlink r:id="rId19" w:history="1">
        <w:r>
          <w:rPr>
            <w:rStyle w:val="Hyperlink"/>
          </w:rPr>
          <w:t>https://www.app.college.police.uk/app-content/major-investigation-and-public-protection/domestic-abuse/partnership-working-and-multi-agency-responses/</w:t>
        </w:r>
      </w:hyperlink>
      <w:r>
        <w:t>&gt; (accessed 13/12/20)</w:t>
      </w:r>
    </w:p>
    <w:p w14:paraId="7B3CEF91" w14:textId="77777777" w:rsidR="003D73B7" w:rsidRDefault="003D73B7" w:rsidP="00BA537F">
      <w:pPr>
        <w:pStyle w:val="ListParagraph"/>
        <w:numPr>
          <w:ilvl w:val="0"/>
          <w:numId w:val="10"/>
        </w:numPr>
      </w:pPr>
      <w:r>
        <w:t>College of Policing (2019) ‘Investigation: Investigation Process’, Available at &lt;</w:t>
      </w:r>
      <w:hyperlink r:id="rId20" w:anchor=":~:text=Golden%20hour,-The%20golden%20hour&amp;text=Positive%20action%20in%20the%20period,will%20be%20admissible%20in%20court." w:history="1">
        <w:r>
          <w:rPr>
            <w:rStyle w:val="Hyperlink"/>
          </w:rPr>
          <w:t>https://www.app.college.police.uk/app-content/investigations/investigation-process/#:~:text=Golden%20hour,-The%20golden%20hour&amp;text=Positive%20action%20in%20the%20period,will%20be%20admissible%20in%20court.</w:t>
        </w:r>
      </w:hyperlink>
      <w:r>
        <w:t>&gt; (accessed on 10/12/20)</w:t>
      </w:r>
    </w:p>
    <w:p w14:paraId="6BBF8F00" w14:textId="77777777" w:rsidR="003D73B7" w:rsidRDefault="003D73B7" w:rsidP="00BA537F">
      <w:pPr>
        <w:pStyle w:val="ListParagraph"/>
        <w:numPr>
          <w:ilvl w:val="0"/>
          <w:numId w:val="10"/>
        </w:numPr>
        <w:spacing w:before="240"/>
      </w:pPr>
      <w:r>
        <w:t>College of Policing (2019) Intelligence management, Available at &lt;</w:t>
      </w:r>
      <w:hyperlink r:id="rId21" w:history="1">
        <w:r>
          <w:rPr>
            <w:rStyle w:val="Hyperlink"/>
          </w:rPr>
          <w:t>https://www.app.college.police.uk/app-content/intelligence-management/?s=</w:t>
        </w:r>
      </w:hyperlink>
      <w:r>
        <w:t>&gt; (Accessed 19/09/20)</w:t>
      </w:r>
    </w:p>
    <w:p w14:paraId="2EDDE09F" w14:textId="77777777" w:rsidR="003D73B7" w:rsidRDefault="003D73B7" w:rsidP="00BA537F">
      <w:pPr>
        <w:pStyle w:val="ListParagraph"/>
        <w:numPr>
          <w:ilvl w:val="0"/>
          <w:numId w:val="10"/>
        </w:numPr>
      </w:pPr>
      <w:r>
        <w:t xml:space="preserve">College of Policing (2019) Major Investigation and Public Protection: Responding to child sexual exploitation, Available at &lt; </w:t>
      </w:r>
      <w:hyperlink r:id="rId22" w:history="1">
        <w:r>
          <w:rPr>
            <w:rStyle w:val="Hyperlink"/>
          </w:rPr>
          <w:t>https://www.app.college.police.uk/app-content/major-investigation-and-public-protection/child-sexual-exploitation/</w:t>
        </w:r>
      </w:hyperlink>
      <w:r>
        <w:t>&gt; (accessed 09/12/20)</w:t>
      </w:r>
    </w:p>
    <w:p w14:paraId="10FF03B7" w14:textId="77777777" w:rsidR="003D73B7" w:rsidRDefault="003D73B7" w:rsidP="003D73B7">
      <w:pPr>
        <w:pStyle w:val="ListParagraph"/>
        <w:numPr>
          <w:ilvl w:val="0"/>
          <w:numId w:val="12"/>
        </w:numPr>
      </w:pPr>
      <w:r>
        <w:t>College of Policing (April 2017) ‘How do you respond to the needs of vulnerable people?’ available at &lt;</w:t>
      </w:r>
      <w:hyperlink r:id="rId23" w:anchor=":~:text=A%20person%20is%20vulnerable%20if,others%20from%20harm%20or%20exploitation.&amp;text=Police%20officers%20are%20not%20alone,this%20work%20with%20vulnerable%20people." w:history="1">
        <w:r>
          <w:rPr>
            <w:rStyle w:val="Hyperlink"/>
          </w:rPr>
          <w:t>https://www.college.police.uk/News/College-news/Pages/police_transformation_fund.aspx#:~:text=A%20person%20is%20vulnerable%20if,others%20from%20harm%20or%20exploitation.&amp;text=Police%20officers%20are%20not%20alone,this%20work%20with%20vulnerable%20people.</w:t>
        </w:r>
      </w:hyperlink>
      <w:r>
        <w:t>&gt; (accessed 02/12/2020)</w:t>
      </w:r>
    </w:p>
    <w:p w14:paraId="223E2FB1" w14:textId="0AF867D6" w:rsidR="003D73B7" w:rsidRDefault="003D73B7" w:rsidP="003D73B7">
      <w:pPr>
        <w:pStyle w:val="ListParagraph"/>
        <w:numPr>
          <w:ilvl w:val="0"/>
          <w:numId w:val="12"/>
        </w:numPr>
      </w:pPr>
      <w:r>
        <w:t>College of Policing (</w:t>
      </w:r>
      <w:proofErr w:type="spellStart"/>
      <w:r>
        <w:t>nd</w:t>
      </w:r>
      <w:proofErr w:type="spellEnd"/>
      <w:r>
        <w:t xml:space="preserve">) </w:t>
      </w:r>
      <w:proofErr w:type="gramStart"/>
      <w:r w:rsidRPr="003553F8">
        <w:rPr>
          <w:i/>
        </w:rPr>
        <w:t>What</w:t>
      </w:r>
      <w:proofErr w:type="gramEnd"/>
      <w:r w:rsidRPr="003553F8">
        <w:rPr>
          <w:i/>
        </w:rPr>
        <w:t xml:space="preserve"> is the best thing police can do to reduce crime?</w:t>
      </w:r>
      <w:r>
        <w:t xml:space="preserve"> Available at &lt;</w:t>
      </w:r>
      <w:r w:rsidRPr="003553F8">
        <w:t xml:space="preserve"> </w:t>
      </w:r>
      <w:hyperlink r:id="rId24" w:history="1">
        <w:r>
          <w:rPr>
            <w:rStyle w:val="Hyperlink"/>
          </w:rPr>
          <w:t>https://whatworks.college.police.uk/Research/overview/Pages/best.aspx</w:t>
        </w:r>
      </w:hyperlink>
      <w:r>
        <w:t>&gt; (accessed 03/12/2020)</w:t>
      </w:r>
    </w:p>
    <w:p w14:paraId="46B85338" w14:textId="77777777" w:rsidR="003D73B7" w:rsidRPr="008701C1" w:rsidRDefault="003D73B7" w:rsidP="00BA537F">
      <w:pPr>
        <w:pStyle w:val="ListParagraph"/>
        <w:numPr>
          <w:ilvl w:val="0"/>
          <w:numId w:val="10"/>
        </w:numPr>
      </w:pPr>
      <w:r w:rsidRPr="008701C1">
        <w:lastRenderedPageBreak/>
        <w:t xml:space="preserve">Department for Children, Schools and Families (2009) Safeguarding Children and Young People from Sexual Exploitation, Available at &lt; </w:t>
      </w:r>
      <w:hyperlink r:id="rId25" w:history="1">
        <w:r w:rsidRPr="008701C1">
          <w:rPr>
            <w:rStyle w:val="Hyperlink"/>
          </w:rPr>
          <w:t>https://www.basw.co.uk/system/files/resources/basw_112154-2_0.pdf</w:t>
        </w:r>
      </w:hyperlink>
      <w:r w:rsidRPr="008701C1">
        <w:t xml:space="preserve"> &gt; (accessed 09/12/20)</w:t>
      </w:r>
    </w:p>
    <w:p w14:paraId="285D74D8" w14:textId="77777777" w:rsidR="003D73B7" w:rsidRDefault="003D73B7" w:rsidP="003D73B7">
      <w:pPr>
        <w:pStyle w:val="ListParagraph"/>
        <w:numPr>
          <w:ilvl w:val="0"/>
          <w:numId w:val="12"/>
        </w:numPr>
      </w:pPr>
      <w:r>
        <w:t xml:space="preserve">Ericsson, U (1995) ‘Straight from the Horse’s Mouth’, </w:t>
      </w:r>
      <w:r>
        <w:rPr>
          <w:i/>
        </w:rPr>
        <w:t xml:space="preserve">Forensic Update, </w:t>
      </w:r>
      <w:r>
        <w:t>Vol 43, P.23-25</w:t>
      </w:r>
    </w:p>
    <w:p w14:paraId="245852B8" w14:textId="77777777" w:rsidR="003D73B7" w:rsidRDefault="003D73B7" w:rsidP="00BA537F">
      <w:pPr>
        <w:pStyle w:val="ListParagraph"/>
        <w:numPr>
          <w:ilvl w:val="0"/>
          <w:numId w:val="10"/>
        </w:numPr>
      </w:pPr>
      <w:r>
        <w:t xml:space="preserve">Europol (2017) </w:t>
      </w:r>
      <w:r>
        <w:rPr>
          <w:i/>
        </w:rPr>
        <w:t xml:space="preserve">Crime in the age of technology, </w:t>
      </w:r>
      <w:r>
        <w:t>Available at &lt;</w:t>
      </w:r>
      <w:r w:rsidRPr="00787700">
        <w:t xml:space="preserve"> </w:t>
      </w:r>
      <w:hyperlink r:id="rId26" w:history="1">
        <w:r>
          <w:rPr>
            <w:rStyle w:val="Hyperlink"/>
          </w:rPr>
          <w:t>https://www.cepol.europa.eu/sites/default/files/924156-v7-Crime_in_the_age_of_technology_.pdf</w:t>
        </w:r>
      </w:hyperlink>
      <w:r>
        <w:t>&gt; (accessed 09/12/20)</w:t>
      </w:r>
    </w:p>
    <w:p w14:paraId="6B6A24EC" w14:textId="77777777" w:rsidR="003D73B7" w:rsidRDefault="003D73B7" w:rsidP="003D73B7">
      <w:pPr>
        <w:pStyle w:val="ListParagraph"/>
        <w:numPr>
          <w:ilvl w:val="0"/>
          <w:numId w:val="12"/>
        </w:numPr>
      </w:pPr>
      <w:r w:rsidRPr="000750B1">
        <w:t xml:space="preserve">Farrell, G. &amp; Pease, K (2017) Preventing repeat and near repeat crime concentrations. In: Tilley, N and Sidebottom, A, (eds.) </w:t>
      </w:r>
      <w:proofErr w:type="gramStart"/>
      <w:r w:rsidRPr="000750B1">
        <w:t>The</w:t>
      </w:r>
      <w:proofErr w:type="gramEnd"/>
      <w:r w:rsidRPr="000750B1">
        <w:t xml:space="preserve"> Handbook of Crime Prevention and Community Safety, 2nd Edition. Routledge</w:t>
      </w:r>
    </w:p>
    <w:p w14:paraId="621767E5" w14:textId="77777777" w:rsidR="003D73B7" w:rsidRDefault="003D73B7" w:rsidP="00045962">
      <w:pPr>
        <w:pStyle w:val="ListParagraph"/>
        <w:numPr>
          <w:ilvl w:val="0"/>
          <w:numId w:val="10"/>
        </w:numPr>
      </w:pPr>
      <w:proofErr w:type="spellStart"/>
      <w:r>
        <w:t>Femicide</w:t>
      </w:r>
      <w:proofErr w:type="spellEnd"/>
      <w:r>
        <w:t xml:space="preserve"> Census (2018) Annual Report on UK </w:t>
      </w:r>
      <w:proofErr w:type="spellStart"/>
      <w:r>
        <w:t>Femicides</w:t>
      </w:r>
      <w:proofErr w:type="spellEnd"/>
      <w:r>
        <w:t xml:space="preserve"> 2018, Available at &lt;</w:t>
      </w:r>
      <w:r w:rsidRPr="0015483D">
        <w:t xml:space="preserve"> </w:t>
      </w:r>
      <w:hyperlink r:id="rId27" w:history="1">
        <w:r>
          <w:rPr>
            <w:rStyle w:val="Hyperlink"/>
          </w:rPr>
          <w:t>https://www.femicidecensus.org/wp-content/uploads/2020/02/Femicide-Census-Report-on-2018-Femicides-.pdf</w:t>
        </w:r>
      </w:hyperlink>
      <w:r>
        <w:t>&gt; (accessed 13/12/20)</w:t>
      </w:r>
    </w:p>
    <w:p w14:paraId="36F9A744" w14:textId="77777777" w:rsidR="003D73B7" w:rsidRDefault="003D73B7" w:rsidP="003D73B7">
      <w:pPr>
        <w:pStyle w:val="ListParagraph"/>
        <w:numPr>
          <w:ilvl w:val="0"/>
          <w:numId w:val="12"/>
        </w:numPr>
      </w:pPr>
      <w:r>
        <w:t xml:space="preserve">Ford K, Newbury A, Meredith Z, Evans J, Hughes K, Roderick J, Davies A R, Bellis M A (2020) Understanding of the outcome of police safeguarding notifications to social services in South Wales, </w:t>
      </w:r>
      <w:r>
        <w:rPr>
          <w:i/>
        </w:rPr>
        <w:t>Police Journal: Theory, Practice and Principles</w:t>
      </w:r>
      <w:r>
        <w:t>, Vol 93(2), p 87 – 108</w:t>
      </w:r>
    </w:p>
    <w:p w14:paraId="2292A4D6" w14:textId="77777777" w:rsidR="003D73B7" w:rsidRDefault="003D73B7" w:rsidP="00BA537F">
      <w:pPr>
        <w:pStyle w:val="ListParagraph"/>
        <w:numPr>
          <w:ilvl w:val="0"/>
          <w:numId w:val="10"/>
        </w:numPr>
      </w:pPr>
      <w:r>
        <w:t xml:space="preserve">Gillespie, A. (2002). Child protection on the internet: Challenges for criminal law. </w:t>
      </w:r>
      <w:r w:rsidRPr="007A307D">
        <w:rPr>
          <w:i/>
        </w:rPr>
        <w:t>Child and Family Law Quarterly</w:t>
      </w:r>
      <w:r>
        <w:t xml:space="preserve"> Vol 14, P. 411–426.</w:t>
      </w:r>
    </w:p>
    <w:p w14:paraId="6ECA6401" w14:textId="77777777" w:rsidR="003D73B7" w:rsidRDefault="003D73B7" w:rsidP="003D73B7">
      <w:pPr>
        <w:pStyle w:val="ListParagraph"/>
        <w:numPr>
          <w:ilvl w:val="0"/>
          <w:numId w:val="12"/>
        </w:numPr>
      </w:pPr>
      <w:r>
        <w:t xml:space="preserve">Goldstein H (1990) </w:t>
      </w:r>
      <w:r>
        <w:rPr>
          <w:i/>
        </w:rPr>
        <w:t xml:space="preserve">Problem-orientated policing, </w:t>
      </w:r>
      <w:r>
        <w:t>New York: McGraw Hill</w:t>
      </w:r>
    </w:p>
    <w:p w14:paraId="656B7864" w14:textId="77777777" w:rsidR="003D73B7" w:rsidRDefault="003D73B7" w:rsidP="003D73B7">
      <w:pPr>
        <w:pStyle w:val="ListParagraph"/>
        <w:numPr>
          <w:ilvl w:val="0"/>
          <w:numId w:val="12"/>
        </w:numPr>
      </w:pPr>
      <w:r>
        <w:t>Good Move (August 2020) ‘These are the UK’s Biggest Neighbour disputes and the Worst Regions for it’ Available at&lt;</w:t>
      </w:r>
      <w:hyperlink r:id="rId28" w:history="1">
        <w:r>
          <w:rPr>
            <w:rStyle w:val="Hyperlink"/>
          </w:rPr>
          <w:t>https://goodmove.co.uk/blog/these-are-the-uks-biggest-neighbour-disputes-and-the-worst-regions-for-it/</w:t>
        </w:r>
      </w:hyperlink>
      <w:r>
        <w:t xml:space="preserve"> &gt; (Accessed 29/11/2020)</w:t>
      </w:r>
    </w:p>
    <w:p w14:paraId="66F6823F" w14:textId="77777777" w:rsidR="003D73B7" w:rsidRDefault="003D73B7" w:rsidP="00BA537F">
      <w:pPr>
        <w:pStyle w:val="ListParagraph"/>
        <w:numPr>
          <w:ilvl w:val="0"/>
          <w:numId w:val="10"/>
        </w:numPr>
      </w:pPr>
      <w:r>
        <w:t>Greenberg, J. (2011) Organizational justice: The dynamics of fairness in the workplace, in: Sheldon, Z. (</w:t>
      </w:r>
      <w:proofErr w:type="spellStart"/>
      <w:proofErr w:type="gramStart"/>
      <w:r>
        <w:t>ed</w:t>
      </w:r>
      <w:proofErr w:type="spellEnd"/>
      <w:proofErr w:type="gramEnd"/>
      <w:r>
        <w:t>) APA handbook of industrial and organizational psychology, vol. 3: Maintaining, expanding, and contracting the organization. Washington, DC: American Psychological Association.</w:t>
      </w:r>
    </w:p>
    <w:p w14:paraId="19EF96A3" w14:textId="77777777" w:rsidR="003D73B7" w:rsidRPr="00712523" w:rsidRDefault="003D73B7" w:rsidP="003D73B7">
      <w:pPr>
        <w:pStyle w:val="ListParagraph"/>
        <w:numPr>
          <w:ilvl w:val="0"/>
          <w:numId w:val="13"/>
        </w:numPr>
        <w:overflowPunct/>
        <w:autoSpaceDE/>
        <w:autoSpaceDN/>
        <w:adjustRightInd/>
        <w:spacing w:after="160" w:line="259" w:lineRule="auto"/>
        <w:textAlignment w:val="auto"/>
        <w:rPr>
          <w:rFonts w:cstheme="minorHAnsi"/>
        </w:rPr>
      </w:pPr>
      <w:r w:rsidRPr="00712523">
        <w:rPr>
          <w:rFonts w:cstheme="minorHAnsi"/>
        </w:rPr>
        <w:t xml:space="preserve">Gunter, A. (2017) </w:t>
      </w:r>
      <w:r w:rsidRPr="00712523">
        <w:rPr>
          <w:rFonts w:cstheme="minorHAnsi"/>
          <w:i/>
        </w:rPr>
        <w:t>Race, Gangs and youth violence: Policy, prevention and policing</w:t>
      </w:r>
      <w:r w:rsidRPr="00712523">
        <w:rPr>
          <w:rFonts w:cstheme="minorHAnsi"/>
        </w:rPr>
        <w:t>, 1</w:t>
      </w:r>
      <w:r w:rsidRPr="00712523">
        <w:rPr>
          <w:rFonts w:cstheme="minorHAnsi"/>
          <w:vertAlign w:val="superscript"/>
        </w:rPr>
        <w:t>st</w:t>
      </w:r>
      <w:r w:rsidRPr="00712523">
        <w:rPr>
          <w:rFonts w:cstheme="minorHAnsi"/>
        </w:rPr>
        <w:t xml:space="preserve"> Ed, Bristol University Press: Bristol</w:t>
      </w:r>
    </w:p>
    <w:p w14:paraId="1772A656" w14:textId="77777777" w:rsidR="003D73B7" w:rsidRDefault="003D73B7" w:rsidP="003D73B7">
      <w:pPr>
        <w:pStyle w:val="ListParagraph"/>
        <w:numPr>
          <w:ilvl w:val="0"/>
          <w:numId w:val="12"/>
        </w:numPr>
      </w:pPr>
      <w:r>
        <w:t xml:space="preserve">HMIC (2015) </w:t>
      </w:r>
      <w:r>
        <w:rPr>
          <w:i/>
        </w:rPr>
        <w:t>PEEL: Police effectiveness 2015 (vulnerability): A National Overview</w:t>
      </w:r>
      <w:r>
        <w:t>, available at &lt;</w:t>
      </w:r>
      <w:r w:rsidRPr="00BB5E41">
        <w:t xml:space="preserve"> </w:t>
      </w:r>
      <w:hyperlink r:id="rId29" w:history="1">
        <w:r>
          <w:rPr>
            <w:rStyle w:val="Hyperlink"/>
          </w:rPr>
          <w:t>https://www.justiceinspectorates.gov.uk/hmicfrs/wp-content/uploads/police-effectiveness-vulnerability-2015.pdf</w:t>
        </w:r>
      </w:hyperlink>
      <w:r>
        <w:t>&gt; (accessed 03/12/2020)</w:t>
      </w:r>
    </w:p>
    <w:p w14:paraId="2463F0C9" w14:textId="77777777" w:rsidR="003D73B7" w:rsidRDefault="003D73B7" w:rsidP="00BA537F">
      <w:pPr>
        <w:pStyle w:val="ListParagraph"/>
        <w:numPr>
          <w:ilvl w:val="0"/>
          <w:numId w:val="10"/>
        </w:numPr>
      </w:pPr>
      <w:r>
        <w:t>HMICFRS (April 2019) ‘Organisational Justice’ Available at &lt;</w:t>
      </w:r>
      <w:hyperlink r:id="rId30" w:anchor=":~:text=Degree%20to%20which%20police%20officers,particularly%20by%20their%20own%20force." w:history="1">
        <w:r>
          <w:rPr>
            <w:rStyle w:val="Hyperlink"/>
          </w:rPr>
          <w:t>https://www.justiceinspectorates.gov.uk/hmicfrs/glossary/organisational-justice/#:~:text=Degree%20to%20which%20police%20officers,particularly%20by%20their%20own%20force.</w:t>
        </w:r>
      </w:hyperlink>
      <w:r>
        <w:t>&gt; (accessed 07/12/20)</w:t>
      </w:r>
    </w:p>
    <w:p w14:paraId="291903B2" w14:textId="77777777" w:rsidR="003D73B7" w:rsidRPr="009D3689" w:rsidRDefault="003D73B7" w:rsidP="00045962">
      <w:pPr>
        <w:pStyle w:val="ListParagraph"/>
        <w:numPr>
          <w:ilvl w:val="0"/>
          <w:numId w:val="10"/>
        </w:numPr>
        <w:rPr>
          <w:rStyle w:val="Emphasis"/>
          <w:i w:val="0"/>
          <w:color w:val="333333"/>
        </w:rPr>
      </w:pPr>
      <w:r>
        <w:rPr>
          <w:rStyle w:val="Emphasis"/>
          <w:i w:val="0"/>
          <w:color w:val="333333"/>
        </w:rPr>
        <w:t>Home</w:t>
      </w:r>
      <w:r w:rsidRPr="003D08B8">
        <w:rPr>
          <w:rStyle w:val="Emphasis"/>
          <w:i w:val="0"/>
          <w:color w:val="333333"/>
        </w:rPr>
        <w:t xml:space="preserve"> Office (2013)</w:t>
      </w:r>
      <w:r w:rsidRPr="009D3689">
        <w:rPr>
          <w:rStyle w:val="Emphasis"/>
          <w:color w:val="333333"/>
        </w:rPr>
        <w:t xml:space="preserve"> Information for Local Areas on the change to the Definition of Domestic Violence and Abuse, </w:t>
      </w:r>
      <w:r w:rsidRPr="003D08B8">
        <w:rPr>
          <w:rStyle w:val="Emphasis"/>
          <w:i w:val="0"/>
          <w:color w:val="333333"/>
        </w:rPr>
        <w:t>Available at &lt;</w:t>
      </w:r>
      <w:r w:rsidRPr="009D3689">
        <w:rPr>
          <w:rStyle w:val="Emphasis"/>
          <w:color w:val="333333"/>
        </w:rPr>
        <w:t xml:space="preserve"> </w:t>
      </w:r>
      <w:hyperlink r:id="rId31" w:history="1">
        <w:r w:rsidRPr="00F808A7">
          <w:rPr>
            <w:rStyle w:val="Hyperlink"/>
          </w:rPr>
          <w:t>https://assets.publishing.service.gov.uk/government/uploads/system/uploads/attachment_data/file/142701/guide-on-definition-of-dv.pdf</w:t>
        </w:r>
      </w:hyperlink>
      <w:r>
        <w:rPr>
          <w:rStyle w:val="Emphasis"/>
          <w:color w:val="333333"/>
        </w:rPr>
        <w:t xml:space="preserve"> &gt; </w:t>
      </w:r>
      <w:r>
        <w:rPr>
          <w:rStyle w:val="Emphasis"/>
          <w:i w:val="0"/>
          <w:color w:val="333333"/>
        </w:rPr>
        <w:t>(Accessed 13/12/20)</w:t>
      </w:r>
    </w:p>
    <w:p w14:paraId="3FAF91BD" w14:textId="77777777" w:rsidR="003D73B7" w:rsidRDefault="003D73B7" w:rsidP="00BA537F">
      <w:pPr>
        <w:pStyle w:val="ListParagraph"/>
        <w:numPr>
          <w:ilvl w:val="0"/>
          <w:numId w:val="10"/>
        </w:numPr>
      </w:pPr>
      <w:r>
        <w:t>Home Office (2017) ‘Police and Criminal Evidence Act 1984 (PACE): Code D Revised, Code of practice for the identification of persons by police officers’, Available at &lt;</w:t>
      </w:r>
      <w:r w:rsidRPr="004F0D12">
        <w:t xml:space="preserve"> </w:t>
      </w:r>
      <w:hyperlink r:id="rId32" w:history="1">
        <w:r>
          <w:rPr>
            <w:rStyle w:val="Hyperlink"/>
          </w:rPr>
          <w:t>https://assets.publishing.service.gov.uk/government/uploads/system/uploads/attachment_data/file/903812/pace-code-d-2017.pdf</w:t>
        </w:r>
      </w:hyperlink>
      <w:r>
        <w:t>&gt; (accessed 11/12/20)</w:t>
      </w:r>
    </w:p>
    <w:p w14:paraId="4D76E3D7" w14:textId="77777777" w:rsidR="003D73B7" w:rsidRPr="00C16B0E" w:rsidRDefault="003D73B7" w:rsidP="00BA537F">
      <w:pPr>
        <w:pStyle w:val="ListParagraph"/>
        <w:numPr>
          <w:ilvl w:val="0"/>
          <w:numId w:val="10"/>
        </w:numPr>
        <w:rPr>
          <w:b/>
        </w:rPr>
      </w:pPr>
      <w:r>
        <w:t>Home Office (2017) Investigatory Powers Act, Available at &lt;</w:t>
      </w:r>
      <w:r w:rsidRPr="00B235DC">
        <w:t xml:space="preserve"> </w:t>
      </w:r>
      <w:hyperlink r:id="rId33" w:history="1">
        <w:r>
          <w:rPr>
            <w:rStyle w:val="Hyperlink"/>
          </w:rPr>
          <w:t>https://www.gov.uk/government/collections/investigatory-powers-bill</w:t>
        </w:r>
      </w:hyperlink>
      <w:r>
        <w:t>&gt; (accessed 09/12/20)</w:t>
      </w:r>
    </w:p>
    <w:p w14:paraId="650F8353" w14:textId="77777777" w:rsidR="003D73B7" w:rsidRPr="00712523" w:rsidRDefault="003D73B7" w:rsidP="00BA537F">
      <w:pPr>
        <w:pStyle w:val="ListParagraph"/>
        <w:numPr>
          <w:ilvl w:val="0"/>
          <w:numId w:val="10"/>
        </w:numPr>
        <w:rPr>
          <w:rFonts w:cstheme="minorHAnsi"/>
        </w:rPr>
      </w:pPr>
      <w:r>
        <w:rPr>
          <w:rFonts w:cstheme="minorHAnsi"/>
        </w:rPr>
        <w:t>Home Officer (2010) Covert Human Intelligence Sources: Code of Practice, Available at &lt;</w:t>
      </w:r>
      <w:r w:rsidRPr="000C2CEE">
        <w:t xml:space="preserve"> </w:t>
      </w:r>
      <w:hyperlink r:id="rId34" w:anchor="page=7" w:history="1">
        <w:r>
          <w:rPr>
            <w:rStyle w:val="Hyperlink"/>
          </w:rPr>
          <w:t>https://assets.publishing.service.gov.uk/government/uploads/system/uploads/attachment_data/file/514059/code-practice-human-intel.pdf#page=7</w:t>
        </w:r>
      </w:hyperlink>
      <w:r>
        <w:t>&gt; (accessed 12/12/20)</w:t>
      </w:r>
    </w:p>
    <w:p w14:paraId="1F2DE74A" w14:textId="77777777" w:rsidR="003D73B7" w:rsidRPr="009D3689" w:rsidRDefault="003D73B7" w:rsidP="003D73B7">
      <w:pPr>
        <w:pStyle w:val="ListParagraph"/>
        <w:numPr>
          <w:ilvl w:val="0"/>
          <w:numId w:val="12"/>
        </w:numPr>
        <w:rPr>
          <w:rStyle w:val="Emphasis"/>
          <w:i w:val="0"/>
          <w:color w:val="333333"/>
        </w:rPr>
      </w:pPr>
      <w:r w:rsidRPr="00FF1A70">
        <w:rPr>
          <w:rStyle w:val="Emphasis"/>
          <w:i w:val="0"/>
          <w:color w:val="333333"/>
        </w:rPr>
        <w:t xml:space="preserve">Homes Office (2013) Information for Local Areas on the change to the Definition of Domestic Violence and Abuse, Available at &lt; </w:t>
      </w:r>
      <w:hyperlink r:id="rId35" w:history="1">
        <w:r w:rsidRPr="00F808A7">
          <w:rPr>
            <w:rStyle w:val="Hyperlink"/>
          </w:rPr>
          <w:t>https://assets.publishing.service.gov.uk/government/uploads/system/uploads/attachment_data/file/142701/guide-on-definition-of-dv.pdf</w:t>
        </w:r>
      </w:hyperlink>
      <w:r>
        <w:rPr>
          <w:rStyle w:val="Emphasis"/>
          <w:color w:val="333333"/>
        </w:rPr>
        <w:t xml:space="preserve"> &gt; </w:t>
      </w:r>
      <w:r>
        <w:rPr>
          <w:rStyle w:val="Emphasis"/>
          <w:i w:val="0"/>
          <w:color w:val="333333"/>
        </w:rPr>
        <w:t>(accessed 13/12/20)</w:t>
      </w:r>
    </w:p>
    <w:p w14:paraId="3F0EB715" w14:textId="77777777" w:rsidR="003D73B7" w:rsidRPr="00213716" w:rsidRDefault="003D73B7" w:rsidP="00BA537F">
      <w:pPr>
        <w:pStyle w:val="ListParagraph"/>
        <w:numPr>
          <w:ilvl w:val="0"/>
          <w:numId w:val="10"/>
        </w:numPr>
        <w:rPr>
          <w:b/>
        </w:rPr>
      </w:pPr>
      <w:proofErr w:type="spellStart"/>
      <w:r>
        <w:t>Jago</w:t>
      </w:r>
      <w:proofErr w:type="spellEnd"/>
      <w:r>
        <w:t xml:space="preserve"> S, </w:t>
      </w:r>
      <w:proofErr w:type="spellStart"/>
      <w:r>
        <w:t>Arocha</w:t>
      </w:r>
      <w:proofErr w:type="spellEnd"/>
      <w:r>
        <w:t xml:space="preserve"> L, Brodie I, Melrose M, Pearce J, Warrington C (2011) What’s going on to safeguard children and young people from sexual exploitation. Available at &lt;</w:t>
      </w:r>
      <w:r w:rsidRPr="00C95DD6">
        <w:t xml:space="preserve"> </w:t>
      </w:r>
      <w:hyperlink r:id="rId36" w:history="1">
        <w:r>
          <w:rPr>
            <w:rStyle w:val="Hyperlink"/>
          </w:rPr>
          <w:t>https://uobrep.openrepository.com/bitstream/handle/10547/315159/wgoreport2011-121011.pdf?sequence=1&amp;isAllowed=y</w:t>
        </w:r>
      </w:hyperlink>
      <w:r>
        <w:t>&gt; (accessed 09/12/20)</w:t>
      </w:r>
    </w:p>
    <w:p w14:paraId="3292791F" w14:textId="77777777" w:rsidR="003D73B7" w:rsidRDefault="003D73B7" w:rsidP="003D73B7">
      <w:pPr>
        <w:pStyle w:val="ListParagraph"/>
        <w:numPr>
          <w:ilvl w:val="0"/>
          <w:numId w:val="12"/>
        </w:numPr>
      </w:pPr>
      <w:proofErr w:type="spellStart"/>
      <w:r>
        <w:t>Longstaff</w:t>
      </w:r>
      <w:proofErr w:type="spellEnd"/>
      <w:r>
        <w:t xml:space="preserve"> A, </w:t>
      </w:r>
      <w:proofErr w:type="spellStart"/>
      <w:r>
        <w:t>Willer</w:t>
      </w:r>
      <w:proofErr w:type="spellEnd"/>
      <w:r>
        <w:t xml:space="preserve"> J, Chapman S C and Graham J (2015) Neighbourhood Policing: Past, Present and Future, Available at &lt;</w:t>
      </w:r>
      <w:r w:rsidRPr="00590952">
        <w:t xml:space="preserve"> </w:t>
      </w:r>
      <w:hyperlink r:id="rId37" w:history="1">
        <w:r>
          <w:rPr>
            <w:rStyle w:val="Hyperlink"/>
          </w:rPr>
          <w:t>http://www.police-foundation.org.uk/2017/wp-content/uploads/2017/06/neighbourhood_policing_past_present_future.pdf</w:t>
        </w:r>
      </w:hyperlink>
      <w:r>
        <w:t>&gt; (accessed 12/12/20)</w:t>
      </w:r>
    </w:p>
    <w:p w14:paraId="383D6198" w14:textId="77777777" w:rsidR="003D73B7" w:rsidRDefault="003D73B7" w:rsidP="003D73B7">
      <w:pPr>
        <w:pStyle w:val="ListParagraph"/>
        <w:numPr>
          <w:ilvl w:val="0"/>
          <w:numId w:val="12"/>
        </w:numPr>
      </w:pPr>
      <w:r>
        <w:lastRenderedPageBreak/>
        <w:t>Ministry of Justice (2015) ‘Code of Practice for Victims of Crime’, Available at &lt;</w:t>
      </w:r>
      <w:r w:rsidRPr="007100AD">
        <w:t xml:space="preserve"> </w:t>
      </w:r>
      <w:hyperlink r:id="rId38" w:history="1">
        <w:r>
          <w:rPr>
            <w:rStyle w:val="Hyperlink"/>
          </w:rPr>
          <w:t>https://assets.publishing.service.gov.uk/government/uploads/system/uploads/attachment_data/file/476900/code-of-practice-for-victims-of-crime.PDF</w:t>
        </w:r>
      </w:hyperlink>
      <w:r>
        <w:t>&gt; (accessed 13/12/20)</w:t>
      </w:r>
    </w:p>
    <w:p w14:paraId="25D5DB10" w14:textId="77777777" w:rsidR="003D73B7" w:rsidRDefault="003D73B7" w:rsidP="003D73B7">
      <w:pPr>
        <w:pStyle w:val="ListParagraph"/>
        <w:numPr>
          <w:ilvl w:val="0"/>
          <w:numId w:val="12"/>
        </w:numPr>
      </w:pPr>
      <w:r>
        <w:t>Ministry of Justice (2015) Code of Practice for Victims of Crime, Available at &lt;</w:t>
      </w:r>
      <w:hyperlink r:id="rId39" w:history="1">
        <w:r>
          <w:rPr>
            <w:rStyle w:val="Hyperlink"/>
          </w:rPr>
          <w:t>https://assets.publishing.service.gov.uk/government/uploads/system/uploads/attachment_data/file/476900/code-of-practice-for-victims-of-crime.PDF</w:t>
        </w:r>
      </w:hyperlink>
      <w:r>
        <w:t>&gt; (accessed 03/12/2020)</w:t>
      </w:r>
    </w:p>
    <w:p w14:paraId="1841BC4C" w14:textId="77777777" w:rsidR="003D73B7" w:rsidRDefault="003D73B7" w:rsidP="00BA537F">
      <w:pPr>
        <w:pStyle w:val="ListParagraph"/>
        <w:numPr>
          <w:ilvl w:val="0"/>
          <w:numId w:val="10"/>
        </w:numPr>
      </w:pPr>
      <w:proofErr w:type="spellStart"/>
      <w:r>
        <w:t>Norden</w:t>
      </w:r>
      <w:proofErr w:type="spellEnd"/>
      <w:r>
        <w:t xml:space="preserve"> S (2013) How the internet has changed the face of crime, Available at &lt;</w:t>
      </w:r>
    </w:p>
    <w:p w14:paraId="2CE16E07" w14:textId="77777777" w:rsidR="003D73B7" w:rsidRPr="009D3689" w:rsidRDefault="003D73B7" w:rsidP="00045962">
      <w:pPr>
        <w:pStyle w:val="ListParagraph"/>
        <w:numPr>
          <w:ilvl w:val="0"/>
          <w:numId w:val="10"/>
        </w:numPr>
        <w:rPr>
          <w:rStyle w:val="Emphasis"/>
          <w:i w:val="0"/>
          <w:color w:val="333333"/>
        </w:rPr>
      </w:pPr>
      <w:r w:rsidRPr="009D3689">
        <w:rPr>
          <w:color w:val="333333"/>
        </w:rPr>
        <w:t xml:space="preserve">Office for National Statistics (2018) </w:t>
      </w:r>
      <w:r w:rsidRPr="009D3689">
        <w:rPr>
          <w:rStyle w:val="Emphasis"/>
          <w:color w:val="333333"/>
        </w:rPr>
        <w:t xml:space="preserve">Domestic abuse in England and Wales: year ending March 2018. </w:t>
      </w:r>
      <w:r w:rsidRPr="003D08B8">
        <w:rPr>
          <w:rStyle w:val="Emphasis"/>
          <w:i w:val="0"/>
          <w:color w:val="333333"/>
        </w:rPr>
        <w:t xml:space="preserve">Available at &lt; </w:t>
      </w:r>
      <w:hyperlink r:id="rId40" w:history="1">
        <w:r w:rsidRPr="00F808A7">
          <w:rPr>
            <w:rStyle w:val="Hyperlink"/>
          </w:rPr>
          <w:t>https://www.ons.gov.uk/peoplepopulationandcommunity/crimeandjustice/bulletins/crimeinenglandandwales/yearendingmarch2018</w:t>
        </w:r>
      </w:hyperlink>
      <w:r>
        <w:rPr>
          <w:rStyle w:val="Emphasis"/>
          <w:color w:val="333333"/>
        </w:rPr>
        <w:t xml:space="preserve"> &gt; </w:t>
      </w:r>
      <w:r>
        <w:rPr>
          <w:rStyle w:val="Emphasis"/>
          <w:i w:val="0"/>
          <w:color w:val="333333"/>
        </w:rPr>
        <w:t>(Accessed 13/12/20)</w:t>
      </w:r>
    </w:p>
    <w:p w14:paraId="5F46C1C8" w14:textId="77777777" w:rsidR="003D73B7" w:rsidRDefault="003D73B7" w:rsidP="00BA537F">
      <w:pPr>
        <w:pStyle w:val="ListParagraph"/>
        <w:numPr>
          <w:ilvl w:val="0"/>
          <w:numId w:val="10"/>
        </w:numPr>
      </w:pPr>
      <w:r>
        <w:t>Officer of National Statistics (2019) Internet Access – Households and Individuals, Great Britain 2019, Available at &lt;</w:t>
      </w:r>
      <w:r w:rsidRPr="00201754">
        <w:t xml:space="preserve"> </w:t>
      </w:r>
      <w:hyperlink r:id="rId41" w:history="1">
        <w:r>
          <w:rPr>
            <w:rStyle w:val="Hyperlink"/>
          </w:rPr>
          <w:t>https://www.ons.gov.uk/peoplepopulationandcommunity/householdcharacteristics/homeinternetandsocialmediausage/bulletins/internetaccesshouseholdsandindividuals/2019</w:t>
        </w:r>
      </w:hyperlink>
      <w:r>
        <w:t>&gt; (accessed 09/12/20)</w:t>
      </w:r>
    </w:p>
    <w:p w14:paraId="3884FB2F" w14:textId="77777777" w:rsidR="003D73B7" w:rsidRDefault="003D73B7" w:rsidP="003D73B7">
      <w:pPr>
        <w:pStyle w:val="ListParagraph"/>
        <w:numPr>
          <w:ilvl w:val="0"/>
          <w:numId w:val="12"/>
        </w:numPr>
      </w:pPr>
      <w:r>
        <w:t xml:space="preserve">Paterson N and Best D (2016) Policing vulnerability through building connections, </w:t>
      </w:r>
      <w:r>
        <w:rPr>
          <w:i/>
        </w:rPr>
        <w:t xml:space="preserve">Policing: A Journal of policy and practice, </w:t>
      </w:r>
      <w:r>
        <w:t>Vol 10 (2), p150-157</w:t>
      </w:r>
    </w:p>
    <w:p w14:paraId="60A518A2" w14:textId="77777777" w:rsidR="003D73B7" w:rsidRDefault="003D73B7" w:rsidP="00BA537F">
      <w:pPr>
        <w:pStyle w:val="ListParagraph"/>
        <w:numPr>
          <w:ilvl w:val="0"/>
          <w:numId w:val="10"/>
        </w:numPr>
      </w:pPr>
      <w:r>
        <w:t>Police Federation (2020) ‘Pay and Morale’, Available at &lt;</w:t>
      </w:r>
      <w:r w:rsidRPr="00B44E6B">
        <w:t xml:space="preserve"> </w:t>
      </w:r>
      <w:hyperlink r:id="rId42" w:history="1">
        <w:r>
          <w:rPr>
            <w:rStyle w:val="Hyperlink"/>
          </w:rPr>
          <w:t>https://www.polfed.org/our-work/pay-and-morale/</w:t>
        </w:r>
      </w:hyperlink>
      <w:r>
        <w:t>&gt; (accessed 07/12/20)</w:t>
      </w:r>
    </w:p>
    <w:p w14:paraId="38AEE188" w14:textId="77777777" w:rsidR="003D73B7" w:rsidRPr="0038651C" w:rsidRDefault="003D73B7" w:rsidP="00BA537F">
      <w:pPr>
        <w:pStyle w:val="ListParagraph"/>
        <w:numPr>
          <w:ilvl w:val="0"/>
          <w:numId w:val="10"/>
        </w:numPr>
        <w:rPr>
          <w:b/>
        </w:rPr>
      </w:pPr>
      <w:proofErr w:type="spellStart"/>
      <w:r>
        <w:t>Purshouse</w:t>
      </w:r>
      <w:proofErr w:type="spellEnd"/>
      <w:r>
        <w:t xml:space="preserve"> J (2020) ‘Paedophile Hunters’, Criminal Procedure and Fundamental Human Rights, </w:t>
      </w:r>
      <w:r>
        <w:rPr>
          <w:i/>
        </w:rPr>
        <w:t xml:space="preserve">Journal of Law Society, </w:t>
      </w:r>
      <w:r>
        <w:t>Vol 47(3), P.384-411</w:t>
      </w:r>
    </w:p>
    <w:p w14:paraId="280F00B7" w14:textId="77777777" w:rsidR="003D73B7" w:rsidRDefault="003D73B7" w:rsidP="00BA537F">
      <w:pPr>
        <w:numPr>
          <w:ilvl w:val="0"/>
          <w:numId w:val="10"/>
        </w:numPr>
      </w:pPr>
      <w:r w:rsidRPr="003D6431">
        <w:t xml:space="preserve">Quinton, Paul &amp; </w:t>
      </w:r>
      <w:proofErr w:type="spellStart"/>
      <w:r w:rsidRPr="003D6431">
        <w:t>Myhill</w:t>
      </w:r>
      <w:proofErr w:type="spellEnd"/>
      <w:r w:rsidRPr="003D6431">
        <w:t>, Andy &amp; Bradford, Ben &amp; Porter, Gillian. (2015). Fair Cop 2: Organisational Justice, Behaviour and Ethical Policing. An Inte</w:t>
      </w:r>
      <w:r>
        <w:t>rpretative Evidence Commentary</w:t>
      </w:r>
    </w:p>
    <w:p w14:paraId="629B2BF1" w14:textId="77777777" w:rsidR="003D73B7" w:rsidRDefault="003D73B7" w:rsidP="00BA537F">
      <w:pPr>
        <w:numPr>
          <w:ilvl w:val="0"/>
          <w:numId w:val="10"/>
        </w:numPr>
      </w:pPr>
      <w:r w:rsidRPr="00910246">
        <w:t xml:space="preserve">Robert, K &amp; Herrington, V. 2013 ‘Organisational and procedural justice: a review of the literature and its implications for policing’ </w:t>
      </w:r>
      <w:r>
        <w:rPr>
          <w:i/>
        </w:rPr>
        <w:t>Journal of Policing, Intelligence and Counter Terrorism</w:t>
      </w:r>
      <w:r>
        <w:t>, Vol 8(2), P.115 - 130</w:t>
      </w:r>
    </w:p>
    <w:p w14:paraId="75F1B6FB" w14:textId="77777777" w:rsidR="003D73B7" w:rsidRDefault="003D73B7" w:rsidP="00045962">
      <w:pPr>
        <w:pStyle w:val="ListParagraph"/>
        <w:numPr>
          <w:ilvl w:val="0"/>
          <w:numId w:val="10"/>
        </w:numPr>
      </w:pPr>
      <w:r>
        <w:t xml:space="preserve">Robinson, A (2006) ‘Reducing Repeat Victimisation among High-Risk Victims of Domestic Violence: The Benefits of a co-ordinated community response in Cardiff, Wales, </w:t>
      </w:r>
      <w:r>
        <w:rPr>
          <w:i/>
        </w:rPr>
        <w:t xml:space="preserve">Violence Against Women: An international and interdisciplinary Journal, </w:t>
      </w:r>
      <w:r>
        <w:t>Vol 12(8), p.761 – 788</w:t>
      </w:r>
    </w:p>
    <w:p w14:paraId="5505B3BE" w14:textId="77777777" w:rsidR="003D73B7" w:rsidRDefault="003D73B7" w:rsidP="00045962">
      <w:pPr>
        <w:pStyle w:val="ListParagraph"/>
        <w:numPr>
          <w:ilvl w:val="0"/>
          <w:numId w:val="10"/>
        </w:numPr>
      </w:pPr>
      <w:r>
        <w:t xml:space="preserve">Robinson, A (2009) </w:t>
      </w:r>
      <w:r>
        <w:rPr>
          <w:i/>
        </w:rPr>
        <w:t>Independent Domestic Violence Advisors: A multi-site process evaluation</w:t>
      </w:r>
      <w:r>
        <w:t>,</w:t>
      </w:r>
    </w:p>
    <w:p w14:paraId="56CD63E7" w14:textId="77777777" w:rsidR="003D73B7" w:rsidRPr="009D3689" w:rsidRDefault="003D73B7" w:rsidP="00045962">
      <w:pPr>
        <w:pStyle w:val="ListParagraph"/>
        <w:numPr>
          <w:ilvl w:val="0"/>
          <w:numId w:val="10"/>
        </w:numPr>
        <w:rPr>
          <w:rStyle w:val="Emphasis"/>
          <w:i w:val="0"/>
          <w:color w:val="333333"/>
        </w:rPr>
      </w:pPr>
      <w:r>
        <w:rPr>
          <w:rStyle w:val="Emphasis"/>
          <w:i w:val="0"/>
          <w:color w:val="333333"/>
        </w:rPr>
        <w:t xml:space="preserve">Section 24 Crime and Security Act (2010), Available at &lt; </w:t>
      </w:r>
      <w:hyperlink r:id="rId43" w:history="1">
        <w:r>
          <w:rPr>
            <w:rStyle w:val="Hyperlink"/>
          </w:rPr>
          <w:t>https://www.legislation.gov.uk/ukpga/2010/17/crossheading/domestic-violence</w:t>
        </w:r>
      </w:hyperlink>
      <w:r>
        <w:t>&gt; (accessed 13/12/20)</w:t>
      </w:r>
    </w:p>
    <w:p w14:paraId="207E73A1" w14:textId="77777777" w:rsidR="003D73B7" w:rsidRDefault="003D73B7" w:rsidP="00045962">
      <w:pPr>
        <w:pStyle w:val="ListParagraph"/>
        <w:numPr>
          <w:ilvl w:val="0"/>
          <w:numId w:val="10"/>
        </w:numPr>
        <w:rPr>
          <w:rStyle w:val="Emphasis"/>
          <w:i w:val="0"/>
          <w:color w:val="333333"/>
        </w:rPr>
      </w:pPr>
      <w:r w:rsidRPr="008C5FCA">
        <w:rPr>
          <w:rStyle w:val="Emphasis"/>
          <w:i w:val="0"/>
          <w:color w:val="333333"/>
        </w:rPr>
        <w:t>Section 47 Offences Against the Persons Act (1861) Available at &lt;</w:t>
      </w:r>
      <w:r w:rsidRPr="009D3689">
        <w:rPr>
          <w:rStyle w:val="Emphasis"/>
          <w:color w:val="333333"/>
        </w:rPr>
        <w:t xml:space="preserve"> </w:t>
      </w:r>
      <w:hyperlink r:id="rId44" w:history="1">
        <w:r w:rsidRPr="00F808A7">
          <w:rPr>
            <w:rStyle w:val="Hyperlink"/>
          </w:rPr>
          <w:t>http://www.legislation.gov.uk/ukpga/Vict/24-25/100/section/47</w:t>
        </w:r>
      </w:hyperlink>
      <w:r w:rsidRPr="009D3689">
        <w:rPr>
          <w:rStyle w:val="Emphasis"/>
          <w:color w:val="333333"/>
        </w:rPr>
        <w:t xml:space="preserve"> &gt; </w:t>
      </w:r>
      <w:r>
        <w:rPr>
          <w:rStyle w:val="Emphasis"/>
          <w:i w:val="0"/>
          <w:color w:val="333333"/>
        </w:rPr>
        <w:t>(accessed 13/12/20)</w:t>
      </w:r>
    </w:p>
    <w:p w14:paraId="2E26B1BE" w14:textId="77777777" w:rsidR="003D73B7" w:rsidRDefault="003D73B7" w:rsidP="00BA537F">
      <w:pPr>
        <w:pStyle w:val="ListParagraph"/>
        <w:numPr>
          <w:ilvl w:val="0"/>
          <w:numId w:val="10"/>
        </w:numPr>
      </w:pPr>
      <w:r>
        <w:t>Sharp-</w:t>
      </w:r>
      <w:proofErr w:type="spellStart"/>
      <w:r>
        <w:t>Jeffs</w:t>
      </w:r>
      <w:proofErr w:type="spellEnd"/>
      <w:r>
        <w:t>, N, Coy M, Kelly L (2017) Key messages from research on child sexual exploitation: Multi-agency working, Available at &lt;</w:t>
      </w:r>
      <w:r w:rsidRPr="003179F1">
        <w:t xml:space="preserve"> </w:t>
      </w:r>
      <w:hyperlink r:id="rId45" w:history="1">
        <w:r w:rsidRPr="003D6E39">
          <w:rPr>
            <w:rStyle w:val="Hyperlink"/>
          </w:rPr>
          <w:t>https://www.csacentre.org.uk/index.cfm/_api/render/file/?method=inline&amp;fileID=C11545FA-D455-43B0-93280CD3C40972E7</w:t>
        </w:r>
      </w:hyperlink>
      <w:r>
        <w:t xml:space="preserve"> &gt; (accessed 09/12/20)</w:t>
      </w:r>
    </w:p>
    <w:p w14:paraId="1D7DA017" w14:textId="77777777" w:rsidR="003D73B7" w:rsidRDefault="003D73B7" w:rsidP="00BA537F">
      <w:pPr>
        <w:pStyle w:val="ListParagraph"/>
        <w:numPr>
          <w:ilvl w:val="0"/>
          <w:numId w:val="10"/>
        </w:numPr>
      </w:pPr>
      <w:r>
        <w:t xml:space="preserve">Sheppard B, </w:t>
      </w:r>
      <w:proofErr w:type="spellStart"/>
      <w:r>
        <w:t>Lewicki</w:t>
      </w:r>
      <w:proofErr w:type="spellEnd"/>
      <w:r>
        <w:t xml:space="preserve"> R and Minton J (1992) </w:t>
      </w:r>
      <w:r>
        <w:rPr>
          <w:i/>
        </w:rPr>
        <w:t>Organisational Justice: The Search for Fairness in the Workforce,</w:t>
      </w:r>
      <w:r>
        <w:t xml:space="preserve"> Lexington, New York</w:t>
      </w:r>
    </w:p>
    <w:p w14:paraId="77735291" w14:textId="77777777" w:rsidR="003D73B7" w:rsidRDefault="003D73B7" w:rsidP="00BA537F">
      <w:pPr>
        <w:pStyle w:val="ListParagraph"/>
        <w:numPr>
          <w:ilvl w:val="0"/>
          <w:numId w:val="10"/>
        </w:numPr>
      </w:pPr>
      <w:proofErr w:type="spellStart"/>
      <w:r>
        <w:t>Tornroos</w:t>
      </w:r>
      <w:proofErr w:type="spellEnd"/>
      <w:r>
        <w:t xml:space="preserve"> M, </w:t>
      </w:r>
      <w:proofErr w:type="spellStart"/>
      <w:r>
        <w:t>Elovainio</w:t>
      </w:r>
      <w:proofErr w:type="spellEnd"/>
      <w:r>
        <w:t xml:space="preserve"> M, </w:t>
      </w:r>
      <w:proofErr w:type="spellStart"/>
      <w:r>
        <w:t>Hintsa</w:t>
      </w:r>
      <w:proofErr w:type="spellEnd"/>
      <w:r>
        <w:t xml:space="preserve"> T, </w:t>
      </w:r>
      <w:proofErr w:type="spellStart"/>
      <w:r>
        <w:t>Hinsanen</w:t>
      </w:r>
      <w:proofErr w:type="spellEnd"/>
      <w:r>
        <w:t xml:space="preserve"> M, </w:t>
      </w:r>
      <w:proofErr w:type="spellStart"/>
      <w:r>
        <w:t>Pulkki-Raback</w:t>
      </w:r>
      <w:proofErr w:type="spellEnd"/>
      <w:r>
        <w:t xml:space="preserve"> L, </w:t>
      </w:r>
      <w:proofErr w:type="spellStart"/>
      <w:r>
        <w:t>Jokela</w:t>
      </w:r>
      <w:proofErr w:type="spellEnd"/>
      <w:r>
        <w:t xml:space="preserve"> M, </w:t>
      </w:r>
      <w:proofErr w:type="spellStart"/>
      <w:r>
        <w:t>Lehtimaki</w:t>
      </w:r>
      <w:proofErr w:type="spellEnd"/>
      <w:r>
        <w:t xml:space="preserve"> T, </w:t>
      </w:r>
      <w:proofErr w:type="spellStart"/>
      <w:r>
        <w:t>Raitakari</w:t>
      </w:r>
      <w:proofErr w:type="spellEnd"/>
      <w:r>
        <w:t xml:space="preserve"> O T, </w:t>
      </w:r>
      <w:proofErr w:type="spellStart"/>
      <w:r>
        <w:t>Keltikangas-Jarvinen</w:t>
      </w:r>
      <w:proofErr w:type="spellEnd"/>
      <w:r>
        <w:t xml:space="preserve"> L (2019) ‘Personality Traits and Perceptions of Organisational Justice’, </w:t>
      </w:r>
      <w:proofErr w:type="spellStart"/>
      <w:r w:rsidRPr="00C45293">
        <w:rPr>
          <w:i/>
        </w:rPr>
        <w:t>Internaltion</w:t>
      </w:r>
      <w:proofErr w:type="spellEnd"/>
      <w:r w:rsidRPr="00C45293">
        <w:rPr>
          <w:i/>
        </w:rPr>
        <w:t xml:space="preserve"> Journal of Psychology, </w:t>
      </w:r>
      <w:r>
        <w:t>Vol.54 (3), P.414-422</w:t>
      </w:r>
    </w:p>
    <w:p w14:paraId="1E337811" w14:textId="77777777" w:rsidR="003D73B7" w:rsidRDefault="003D73B7" w:rsidP="00BA537F">
      <w:pPr>
        <w:pStyle w:val="ListParagraph"/>
        <w:numPr>
          <w:ilvl w:val="0"/>
          <w:numId w:val="10"/>
        </w:numPr>
        <w:rPr>
          <w:rFonts w:cstheme="minorHAnsi"/>
        </w:rPr>
      </w:pPr>
      <w:r>
        <w:rPr>
          <w:rFonts w:cstheme="minorHAnsi"/>
        </w:rPr>
        <w:t xml:space="preserve">Valentine T and </w:t>
      </w:r>
      <w:proofErr w:type="spellStart"/>
      <w:r>
        <w:rPr>
          <w:rFonts w:cstheme="minorHAnsi"/>
        </w:rPr>
        <w:t>Mesout</w:t>
      </w:r>
      <w:proofErr w:type="spellEnd"/>
      <w:r>
        <w:rPr>
          <w:rFonts w:cstheme="minorHAnsi"/>
        </w:rPr>
        <w:t xml:space="preserve"> J (2009) Eyewitness Identification Under Stress in the London Dungeon, </w:t>
      </w:r>
      <w:r>
        <w:rPr>
          <w:rFonts w:cstheme="minorHAnsi"/>
          <w:i/>
        </w:rPr>
        <w:t>Applied Cognitive Psychology</w:t>
      </w:r>
      <w:r>
        <w:rPr>
          <w:rFonts w:cstheme="minorHAnsi"/>
        </w:rPr>
        <w:t>, Vol 23, p.151 – 161</w:t>
      </w:r>
    </w:p>
    <w:p w14:paraId="3791F387" w14:textId="77777777" w:rsidR="003D73B7" w:rsidRDefault="003D73B7" w:rsidP="003D73B7">
      <w:pPr>
        <w:pStyle w:val="ListParagraph"/>
        <w:numPr>
          <w:ilvl w:val="0"/>
          <w:numId w:val="12"/>
        </w:numPr>
      </w:pPr>
      <w:proofErr w:type="spellStart"/>
      <w:r>
        <w:t>Weisbard</w:t>
      </w:r>
      <w:proofErr w:type="spellEnd"/>
      <w:r>
        <w:t xml:space="preserve"> D, </w:t>
      </w:r>
      <w:proofErr w:type="spellStart"/>
      <w:r>
        <w:t>Telep</w:t>
      </w:r>
      <w:proofErr w:type="spellEnd"/>
      <w:r>
        <w:t xml:space="preserve"> C W, Hinkle J C and Eck J E (2010) Is problem-orientated policing effective in reducing crime and disorder?, </w:t>
      </w:r>
      <w:r>
        <w:rPr>
          <w:i/>
        </w:rPr>
        <w:t>Criminology &amp; Public Policy</w:t>
      </w:r>
      <w:r>
        <w:t>, Vol 9(1), P.139-172</w:t>
      </w:r>
    </w:p>
    <w:p w14:paraId="7538433A" w14:textId="77777777" w:rsidR="003D73B7" w:rsidRPr="00045962" w:rsidRDefault="003D73B7" w:rsidP="00BA537F">
      <w:pPr>
        <w:pStyle w:val="ListParagraph"/>
        <w:numPr>
          <w:ilvl w:val="0"/>
          <w:numId w:val="10"/>
        </w:numPr>
        <w:rPr>
          <w:b/>
        </w:rPr>
      </w:pPr>
      <w:r>
        <w:t xml:space="preserve">Winters G M, </w:t>
      </w:r>
      <w:proofErr w:type="spellStart"/>
      <w:r>
        <w:t>Kaylor</w:t>
      </w:r>
      <w:proofErr w:type="spellEnd"/>
      <w:r>
        <w:t xml:space="preserve"> L E, </w:t>
      </w:r>
      <w:proofErr w:type="spellStart"/>
      <w:r>
        <w:t>Jeglic</w:t>
      </w:r>
      <w:proofErr w:type="spellEnd"/>
      <w:r>
        <w:t xml:space="preserve">, E (2016) ‘Sexual Offenders contacting children online: an examination of transcripts of sexual grooming’ </w:t>
      </w:r>
      <w:r>
        <w:rPr>
          <w:i/>
        </w:rPr>
        <w:t xml:space="preserve">Journal of Sexual Aggression, </w:t>
      </w:r>
      <w:r>
        <w:t>Vol 23(1), P.62-76</w:t>
      </w:r>
    </w:p>
    <w:p w14:paraId="0A780953" w14:textId="77777777" w:rsidR="003D73B7" w:rsidRDefault="003D73B7" w:rsidP="00045962">
      <w:pPr>
        <w:pStyle w:val="ListParagraph"/>
        <w:numPr>
          <w:ilvl w:val="0"/>
          <w:numId w:val="10"/>
        </w:numPr>
      </w:pPr>
      <w:r>
        <w:t>Women’s Aid (</w:t>
      </w:r>
      <w:proofErr w:type="spellStart"/>
      <w:r>
        <w:t>nd</w:t>
      </w:r>
      <w:proofErr w:type="spellEnd"/>
      <w:r>
        <w:t>) ‘Why don’t women leave abusive relationships’, Available at &lt;</w:t>
      </w:r>
      <w:r w:rsidRPr="008C47B4">
        <w:t xml:space="preserve"> </w:t>
      </w:r>
      <w:hyperlink r:id="rId46" w:history="1">
        <w:r>
          <w:rPr>
            <w:rStyle w:val="Hyperlink"/>
          </w:rPr>
          <w:t>https://www.womensaid.org.uk/information-support/what-is-domestic-abuse/women-leave/</w:t>
        </w:r>
      </w:hyperlink>
      <w:r>
        <w:t>&gt; (accessed 13/12/20)</w:t>
      </w:r>
    </w:p>
    <w:p w14:paraId="232A7DB0" w14:textId="73BDDCC6" w:rsidR="003D73B7" w:rsidRDefault="003D73B7" w:rsidP="003D73B7">
      <w:pPr>
        <w:pStyle w:val="ListParagraph"/>
      </w:pPr>
      <w:bookmarkStart w:id="0" w:name="_GoBack"/>
      <w:bookmarkEnd w:id="0"/>
    </w:p>
    <w:p w14:paraId="54702CA7" w14:textId="77777777" w:rsidR="00045962" w:rsidRPr="00C95DD6" w:rsidRDefault="00045962" w:rsidP="00045962">
      <w:pPr>
        <w:pStyle w:val="ListParagraph"/>
        <w:rPr>
          <w:b/>
        </w:rPr>
      </w:pPr>
    </w:p>
    <w:p w14:paraId="3A5D4D20" w14:textId="77777777" w:rsidR="008701C1" w:rsidRPr="008701C1" w:rsidRDefault="008701C1" w:rsidP="008701C1">
      <w:pPr>
        <w:ind w:left="360"/>
        <w:rPr>
          <w:b/>
        </w:rPr>
      </w:pPr>
    </w:p>
    <w:sectPr w:rsidR="008701C1" w:rsidRPr="008701C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BA537F" w:rsidRDefault="00BA537F">
      <w:r>
        <w:separator/>
      </w:r>
    </w:p>
  </w:endnote>
  <w:endnote w:type="continuationSeparator" w:id="0">
    <w:p w14:paraId="3C56B659" w14:textId="77777777" w:rsidR="00BA537F" w:rsidRDefault="00BA5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205CA08" w:rsidR="00BA537F" w:rsidRDefault="00BA537F">
    <w:pPr>
      <w:pStyle w:val="Footer"/>
      <w:jc w:val="right"/>
    </w:pPr>
    <w:r>
      <w:fldChar w:fldCharType="begin"/>
    </w:r>
    <w:r>
      <w:instrText xml:space="preserve"> PAGE   \* MERGEFORMAT </w:instrText>
    </w:r>
    <w:r>
      <w:fldChar w:fldCharType="separate"/>
    </w:r>
    <w:r w:rsidR="003D73B7">
      <w:rPr>
        <w:noProof/>
      </w:rPr>
      <w:t>20</w:t>
    </w:r>
    <w:r>
      <w:rPr>
        <w:noProof/>
      </w:rPr>
      <w:fldChar w:fldCharType="end"/>
    </w:r>
  </w:p>
  <w:p w14:paraId="790812FF" w14:textId="77777777" w:rsidR="00BA537F" w:rsidRPr="00BB5EAA" w:rsidRDefault="00BA537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BA537F" w:rsidRDefault="00BA537F">
      <w:r>
        <w:separator/>
      </w:r>
    </w:p>
  </w:footnote>
  <w:footnote w:type="continuationSeparator" w:id="0">
    <w:p w14:paraId="58F5E15C" w14:textId="77777777" w:rsidR="00BA537F" w:rsidRDefault="00BA53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B000F"/>
    <w:multiLevelType w:val="hybridMultilevel"/>
    <w:tmpl w:val="090C90BA"/>
    <w:lvl w:ilvl="0" w:tplc="B0CE5FFE">
      <w:start w:val="1336"/>
      <w:numFmt w:val="bullet"/>
      <w:lvlText w:val="-"/>
      <w:lvlJc w:val="left"/>
      <w:pPr>
        <w:ind w:left="720" w:hanging="360"/>
      </w:pPr>
      <w:rPr>
        <w:rFonts w:ascii="Arial" w:eastAsia="Times New Roman"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1F4E2059"/>
    <w:multiLevelType w:val="hybridMultilevel"/>
    <w:tmpl w:val="706094F6"/>
    <w:lvl w:ilvl="0" w:tplc="612A18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B5DE5"/>
    <w:multiLevelType w:val="hybridMultilevel"/>
    <w:tmpl w:val="B8D68316"/>
    <w:lvl w:ilvl="0" w:tplc="0BE478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77248"/>
    <w:multiLevelType w:val="hybridMultilevel"/>
    <w:tmpl w:val="92AC394C"/>
    <w:lvl w:ilvl="0" w:tplc="2C58B8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4D4D2C"/>
    <w:multiLevelType w:val="hybridMultilevel"/>
    <w:tmpl w:val="DDFEE8C2"/>
    <w:lvl w:ilvl="0" w:tplc="D95051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36FA9"/>
    <w:multiLevelType w:val="hybridMultilevel"/>
    <w:tmpl w:val="120CA44A"/>
    <w:lvl w:ilvl="0" w:tplc="AB5A3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8" w15:restartNumberingAfterBreak="0">
    <w:nsid w:val="47067CFC"/>
    <w:multiLevelType w:val="hybridMultilevel"/>
    <w:tmpl w:val="263C16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10" w15:restartNumberingAfterBreak="0">
    <w:nsid w:val="5C074CE4"/>
    <w:multiLevelType w:val="hybridMultilevel"/>
    <w:tmpl w:val="5352C514"/>
    <w:lvl w:ilvl="0" w:tplc="612A18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9"/>
  </w:num>
  <w:num w:numId="4">
    <w:abstractNumId w:val="7"/>
  </w:num>
  <w:num w:numId="5">
    <w:abstractNumId w:val="12"/>
  </w:num>
  <w:num w:numId="6">
    <w:abstractNumId w:val="4"/>
  </w:num>
  <w:num w:numId="7">
    <w:abstractNumId w:val="6"/>
  </w:num>
  <w:num w:numId="8">
    <w:abstractNumId w:val="5"/>
  </w:num>
  <w:num w:numId="9">
    <w:abstractNumId w:val="8"/>
  </w:num>
  <w:num w:numId="10">
    <w:abstractNumId w:val="2"/>
  </w:num>
  <w:num w:numId="11">
    <w:abstractNumId w:val="0"/>
  </w:num>
  <w:num w:numId="12">
    <w:abstractNumId w:val="10"/>
  </w:num>
  <w:num w:numId="1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962"/>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889"/>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D73B7"/>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A32"/>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5544"/>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1C1"/>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537F"/>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563"/>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0DE4"/>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85018"/>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0459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major-investigation-and-public-protection/domestic-abuse/arrest-and-other-positive-approaches/domestic-violence-protection-notices-and-domestic-violence-protection-orders/" TargetMode="External"/><Relationship Id="rId26" Type="http://schemas.openxmlformats.org/officeDocument/2006/relationships/hyperlink" Target="https://www.cepol.europa.eu/sites/default/files/924156-v7-Crime_in_the_age_of_technology_.pdf" TargetMode="External"/><Relationship Id="rId39" Type="http://schemas.openxmlformats.org/officeDocument/2006/relationships/hyperlink" Target="https://assets.publishing.service.gov.uk/government/uploads/system/uploads/attachment_data/file/476900/code-of-practice-for-victims-of-crime.PDF" TargetMode="External"/><Relationship Id="rId3" Type="http://schemas.openxmlformats.org/officeDocument/2006/relationships/customXml" Target="../customXml/item3.xml"/><Relationship Id="rId21" Type="http://schemas.openxmlformats.org/officeDocument/2006/relationships/hyperlink" Target="https://www.app.college.police.uk/app-content/intelligence-management/?s=" TargetMode="External"/><Relationship Id="rId34" Type="http://schemas.openxmlformats.org/officeDocument/2006/relationships/hyperlink" Target="https://assets.publishing.service.gov.uk/government/uploads/system/uploads/attachment_data/file/514059/code-practice-human-intel.pdf" TargetMode="External"/><Relationship Id="rId42" Type="http://schemas.openxmlformats.org/officeDocument/2006/relationships/hyperlink" Target="https://www.polfed.org/our-work/pay-and-morale/"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uk-england-hampshire-43198275" TargetMode="External"/><Relationship Id="rId25" Type="http://schemas.openxmlformats.org/officeDocument/2006/relationships/hyperlink" Target="https://www.basw.co.uk/system/files/resources/basw_112154-2_0.pdf" TargetMode="External"/><Relationship Id="rId33" Type="http://schemas.openxmlformats.org/officeDocument/2006/relationships/hyperlink" Target="https://www.gov.uk/government/collections/investigatory-powers-bill" TargetMode="External"/><Relationship Id="rId38" Type="http://schemas.openxmlformats.org/officeDocument/2006/relationships/hyperlink" Target="https://assets.publishing.service.gov.uk/government/uploads/system/uploads/attachment_data/file/476900/code-of-practice-for-victims-of-crime.PDF" TargetMode="External"/><Relationship Id="rId46" Type="http://schemas.openxmlformats.org/officeDocument/2006/relationships/hyperlink" Target="https://www.womensaid.org.uk/information-support/what-is-domestic-abuse/women-leave/" TargetMode="External"/><Relationship Id="rId2" Type="http://schemas.openxmlformats.org/officeDocument/2006/relationships/customXml" Target="../customXml/item2.xml"/><Relationship Id="rId16" Type="http://schemas.openxmlformats.org/officeDocument/2006/relationships/hyperlink" Target="https://www.employment-studies.co.uk/system/files/resources/files/mp73.pdf" TargetMode="External"/><Relationship Id="rId20" Type="http://schemas.openxmlformats.org/officeDocument/2006/relationships/hyperlink" Target="https://www.app.college.police.uk/app-content/investigations/investigation-process/" TargetMode="External"/><Relationship Id="rId29" Type="http://schemas.openxmlformats.org/officeDocument/2006/relationships/hyperlink" Target="https://www.justiceinspectorates.gov.uk/hmicfrs/wp-content/uploads/police-effectiveness-vulnerability-2015.pdf" TargetMode="External"/><Relationship Id="rId41" Type="http://schemas.openxmlformats.org/officeDocument/2006/relationships/hyperlink" Target="https://www.ons.gov.uk/peoplepopulationandcommunity/householdcharacteristics/homeinternetandsocialmediausage/bulletins/internetaccesshouseholdsandindividuals/20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hatworks.college.police.uk/Research/overview/Pages/best.aspx" TargetMode="External"/><Relationship Id="rId32" Type="http://schemas.openxmlformats.org/officeDocument/2006/relationships/hyperlink" Target="https://assets.publishing.service.gov.uk/government/uploads/system/uploads/attachment_data/file/903812/pace-code-d-2017.pdf" TargetMode="External"/><Relationship Id="rId37" Type="http://schemas.openxmlformats.org/officeDocument/2006/relationships/hyperlink" Target="http://www.police-foundation.org.uk/2017/wp-content/uploads/2017/06/neighbourhood_policing_past_present_future.pdf" TargetMode="External"/><Relationship Id="rId40" Type="http://schemas.openxmlformats.org/officeDocument/2006/relationships/hyperlink" Target="https://www.ons.gov.uk/peoplepopulationandcommunity/crimeandjustice/bulletins/crimeinenglandandwales/yearendingmarch2018" TargetMode="External"/><Relationship Id="rId45" Type="http://schemas.openxmlformats.org/officeDocument/2006/relationships/hyperlink" Target="https://www.csacentre.org.uk/index.cfm/_api/render/file/?method=inline&amp;fileID=C11545FA-D455-43B0-93280CD3C40972E7" TargetMode="External"/><Relationship Id="rId5" Type="http://schemas.openxmlformats.org/officeDocument/2006/relationships/numbering" Target="numbering.xml"/><Relationship Id="rId15" Type="http://schemas.openxmlformats.org/officeDocument/2006/relationships/hyperlink" Target="https://www.legislation.gov.uk/ukpga/1998/42/schedule/1" TargetMode="External"/><Relationship Id="rId23" Type="http://schemas.openxmlformats.org/officeDocument/2006/relationships/hyperlink" Target="https://www.college.police.uk/News/College-news/Pages/police_transformation_fund.aspx" TargetMode="External"/><Relationship Id="rId28" Type="http://schemas.openxmlformats.org/officeDocument/2006/relationships/hyperlink" Target="https://goodmove.co.uk/blog/these-are-the-uks-biggest-neighbour-disputes-and-the-worst-regions-for-it/" TargetMode="External"/><Relationship Id="rId36" Type="http://schemas.openxmlformats.org/officeDocument/2006/relationships/hyperlink" Target="https://uobrep.openrepository.com/bitstream/handle/10547/315159/wgoreport2011-121011.pdf?sequence=1&amp;isAllowed=y" TargetMode="External"/><Relationship Id="rId10" Type="http://schemas.openxmlformats.org/officeDocument/2006/relationships/endnotes" Target="endnotes.xml"/><Relationship Id="rId19" Type="http://schemas.openxmlformats.org/officeDocument/2006/relationships/hyperlink" Target="https://www.app.college.police.uk/app-content/major-investigation-and-public-protection/domestic-abuse/partnership-working-and-multi-agency-responses/" TargetMode="External"/><Relationship Id="rId31" Type="http://schemas.openxmlformats.org/officeDocument/2006/relationships/hyperlink" Target="https://assets.publishing.service.gov.uk/government/uploads/system/uploads/attachment_data/file/142701/guide-on-definition-of-dv.pdf" TargetMode="External"/><Relationship Id="rId44" Type="http://schemas.openxmlformats.org/officeDocument/2006/relationships/hyperlink" Target="http://www.legislation.gov.uk/ukpga/Vict/24-25/100/section/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pp.college.police.uk/app-content/major-investigation-and-public-protection/child-sexual-exploitation/" TargetMode="External"/><Relationship Id="rId27" Type="http://schemas.openxmlformats.org/officeDocument/2006/relationships/hyperlink" Target="https://www.femicidecensus.org/wp-content/uploads/2020/02/Femicide-Census-Report-on-2018-Femicides-.pdf" TargetMode="External"/><Relationship Id="rId30" Type="http://schemas.openxmlformats.org/officeDocument/2006/relationships/hyperlink" Target="https://www.justiceinspectorates.gov.uk/hmicfrs/glossary/organisational-justice/" TargetMode="External"/><Relationship Id="rId35" Type="http://schemas.openxmlformats.org/officeDocument/2006/relationships/hyperlink" Target="https://assets.publishing.service.gov.uk/government/uploads/system/uploads/attachment_data/file/142701/guide-on-definition-of-dv.pdf" TargetMode="External"/><Relationship Id="rId43" Type="http://schemas.openxmlformats.org/officeDocument/2006/relationships/hyperlink" Target="https://www.legislation.gov.uk/ukpga/2010/17/crossheading/domestic-violence"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schemas.microsoft.com/office/infopath/2007/PartnerControl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0FFF3B-2A0B-48E0-8F2B-0CD5DDBB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8688</Words>
  <Characters>54140</Characters>
  <Application>Microsoft Office Word</Application>
  <DocSecurity>0</DocSecurity>
  <Lines>451</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Sharp,Amy swp6442</cp:lastModifiedBy>
  <cp:revision>9</cp:revision>
  <cp:lastPrinted>2014-08-26T08:55:00Z</cp:lastPrinted>
  <dcterms:created xsi:type="dcterms:W3CDTF">2020-09-01T07:18:00Z</dcterms:created>
  <dcterms:modified xsi:type="dcterms:W3CDTF">2020-12-14T00:25:00Z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dba0e878-0c17-437f-8178-692fe837316a</vt:lpwstr>
  </property>
</Properties>
</file>