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2703A" w14:textId="77777777" w:rsidR="00001A19" w:rsidRPr="00C4270E" w:rsidRDefault="00000000">
      <w:pPr>
        <w:spacing w:line="360" w:lineRule="auto"/>
        <w:rPr>
          <w:rFonts w:ascii="Arial" w:eastAsia="Arial" w:hAnsi="Arial" w:cs="Arial"/>
          <w:sz w:val="32"/>
          <w:szCs w:val="32"/>
        </w:rPr>
      </w:pPr>
      <w:bookmarkStart w:id="0" w:name="_oujll19nyecf" w:colFirst="0" w:colLast="0"/>
      <w:bookmarkEnd w:id="0"/>
      <w:r w:rsidRPr="00C4270E">
        <w:rPr>
          <w:rFonts w:ascii="Arial" w:hAnsi="Arial" w:cs="Arial"/>
          <w:noProof/>
          <w:sz w:val="32"/>
          <w:szCs w:val="32"/>
        </w:rPr>
        <w:drawing>
          <wp:anchor distT="0" distB="0" distL="114300" distR="114300" simplePos="0" relativeHeight="251658240" behindDoc="0" locked="0" layoutInCell="1" hidden="0" allowOverlap="1" wp14:anchorId="2B24D273" wp14:editId="3EAA5547">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7"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080857AF" w14:textId="77777777" w:rsidR="00001A19" w:rsidRPr="00C4270E" w:rsidRDefault="00001A19">
      <w:pPr>
        <w:spacing w:line="360" w:lineRule="auto"/>
        <w:rPr>
          <w:rFonts w:ascii="Arial" w:eastAsia="Arial" w:hAnsi="Arial" w:cs="Arial"/>
          <w:sz w:val="32"/>
          <w:szCs w:val="32"/>
        </w:rPr>
      </w:pPr>
    </w:p>
    <w:p w14:paraId="43189CBB" w14:textId="77777777" w:rsidR="00001A19" w:rsidRPr="00C4270E" w:rsidRDefault="00001A19">
      <w:pPr>
        <w:spacing w:line="360" w:lineRule="auto"/>
        <w:rPr>
          <w:rFonts w:ascii="Arial" w:eastAsia="Arial" w:hAnsi="Arial" w:cs="Arial"/>
          <w:sz w:val="32"/>
          <w:szCs w:val="32"/>
        </w:rPr>
      </w:pPr>
    </w:p>
    <w:p w14:paraId="224188B4" w14:textId="77777777" w:rsidR="00001A19" w:rsidRPr="00C4270E" w:rsidRDefault="00001A19">
      <w:pPr>
        <w:spacing w:line="360" w:lineRule="auto"/>
        <w:rPr>
          <w:rFonts w:ascii="Arial" w:eastAsia="Arial" w:hAnsi="Arial" w:cs="Arial"/>
          <w:sz w:val="32"/>
          <w:szCs w:val="32"/>
        </w:rPr>
      </w:pPr>
    </w:p>
    <w:p w14:paraId="472621E7" w14:textId="77777777" w:rsidR="00001A19" w:rsidRPr="00C4270E" w:rsidRDefault="00001A19">
      <w:pPr>
        <w:tabs>
          <w:tab w:val="left" w:pos="6540"/>
        </w:tabs>
        <w:spacing w:line="360" w:lineRule="auto"/>
        <w:rPr>
          <w:rFonts w:ascii="Arial" w:eastAsia="Arial" w:hAnsi="Arial" w:cs="Arial"/>
          <w:sz w:val="32"/>
          <w:szCs w:val="32"/>
        </w:rPr>
      </w:pPr>
    </w:p>
    <w:p w14:paraId="1CEF83D2" w14:textId="77777777" w:rsidR="00001A19" w:rsidRPr="00C4270E" w:rsidRDefault="00000000">
      <w:pPr>
        <w:tabs>
          <w:tab w:val="left" w:pos="6540"/>
        </w:tabs>
        <w:spacing w:line="360" w:lineRule="auto"/>
        <w:rPr>
          <w:rFonts w:ascii="Arial" w:eastAsia="Arial" w:hAnsi="Arial" w:cs="Arial"/>
          <w:sz w:val="32"/>
          <w:szCs w:val="32"/>
        </w:rPr>
      </w:pPr>
      <w:bookmarkStart w:id="1" w:name="_tlpisphpy4wu" w:colFirst="0" w:colLast="0"/>
      <w:bookmarkEnd w:id="1"/>
      <w:r w:rsidRPr="00C4270E">
        <w:rPr>
          <w:rFonts w:ascii="Arial" w:eastAsia="Arial" w:hAnsi="Arial" w:cs="Arial"/>
          <w:b/>
          <w:bCs/>
          <w:sz w:val="32"/>
          <w:szCs w:val="32"/>
        </w:rPr>
        <w:t>Student name</w:t>
      </w:r>
      <w:r w:rsidRPr="00C4270E">
        <w:rPr>
          <w:rFonts w:ascii="Arial" w:eastAsia="Arial" w:hAnsi="Arial" w:cs="Arial"/>
          <w:sz w:val="32"/>
          <w:szCs w:val="32"/>
        </w:rPr>
        <w:t xml:space="preserve">: Elisha Hakizumwami </w:t>
      </w:r>
    </w:p>
    <w:p w14:paraId="2BA0CE28" w14:textId="77777777" w:rsidR="00001A19" w:rsidRPr="00C4270E" w:rsidRDefault="00000000">
      <w:pPr>
        <w:tabs>
          <w:tab w:val="left" w:pos="6540"/>
        </w:tabs>
        <w:spacing w:line="360" w:lineRule="auto"/>
        <w:rPr>
          <w:rFonts w:ascii="Arial" w:eastAsia="Arial" w:hAnsi="Arial" w:cs="Arial"/>
          <w:sz w:val="32"/>
          <w:szCs w:val="32"/>
        </w:rPr>
      </w:pPr>
      <w:r w:rsidRPr="00C4270E">
        <w:rPr>
          <w:rFonts w:ascii="Arial" w:eastAsia="Arial" w:hAnsi="Arial" w:cs="Arial"/>
          <w:b/>
          <w:bCs/>
          <w:sz w:val="32"/>
          <w:szCs w:val="32"/>
        </w:rPr>
        <w:t>Student ID</w:t>
      </w:r>
      <w:r w:rsidRPr="00C4270E">
        <w:rPr>
          <w:rFonts w:ascii="Arial" w:eastAsia="Arial" w:hAnsi="Arial" w:cs="Arial"/>
          <w:sz w:val="32"/>
          <w:szCs w:val="32"/>
        </w:rPr>
        <w:t>: 2438662</w:t>
      </w:r>
    </w:p>
    <w:p w14:paraId="53119737" w14:textId="77777777" w:rsidR="00001A19" w:rsidRPr="00C4270E" w:rsidRDefault="00000000">
      <w:pPr>
        <w:tabs>
          <w:tab w:val="left" w:pos="6540"/>
        </w:tabs>
        <w:spacing w:line="360" w:lineRule="auto"/>
        <w:rPr>
          <w:rFonts w:ascii="Arial" w:eastAsia="Arial" w:hAnsi="Arial" w:cs="Arial"/>
          <w:sz w:val="32"/>
          <w:szCs w:val="32"/>
        </w:rPr>
      </w:pPr>
      <w:r w:rsidRPr="00C4270E">
        <w:rPr>
          <w:rFonts w:ascii="Arial" w:eastAsia="Arial" w:hAnsi="Arial" w:cs="Arial"/>
          <w:b/>
          <w:bCs/>
          <w:sz w:val="32"/>
          <w:szCs w:val="32"/>
        </w:rPr>
        <w:t>Module name</w:t>
      </w:r>
      <w:r w:rsidRPr="00C4270E">
        <w:rPr>
          <w:rFonts w:ascii="Arial" w:eastAsia="Arial" w:hAnsi="Arial" w:cs="Arial"/>
          <w:sz w:val="32"/>
          <w:szCs w:val="32"/>
        </w:rPr>
        <w:t xml:space="preserve">: Introduction to health and social care </w:t>
      </w:r>
    </w:p>
    <w:p w14:paraId="64E30C25" w14:textId="77777777" w:rsidR="00001A19" w:rsidRPr="00C4270E" w:rsidRDefault="00000000">
      <w:pPr>
        <w:tabs>
          <w:tab w:val="left" w:pos="6540"/>
        </w:tabs>
        <w:spacing w:line="360" w:lineRule="auto"/>
        <w:rPr>
          <w:rFonts w:ascii="Arial" w:eastAsia="Arial" w:hAnsi="Arial" w:cs="Arial"/>
          <w:sz w:val="32"/>
          <w:szCs w:val="32"/>
        </w:rPr>
      </w:pPr>
      <w:r w:rsidRPr="00C4270E">
        <w:rPr>
          <w:rFonts w:ascii="Arial" w:eastAsia="Arial" w:hAnsi="Arial" w:cs="Arial"/>
          <w:b/>
          <w:bCs/>
          <w:sz w:val="32"/>
          <w:szCs w:val="32"/>
        </w:rPr>
        <w:t>Module code</w:t>
      </w:r>
      <w:r w:rsidRPr="00C4270E">
        <w:rPr>
          <w:rFonts w:ascii="Arial" w:eastAsia="Arial" w:hAnsi="Arial" w:cs="Arial"/>
          <w:sz w:val="32"/>
          <w:szCs w:val="32"/>
        </w:rPr>
        <w:t>: LCHS4003_LONDON</w:t>
      </w:r>
    </w:p>
    <w:p w14:paraId="7555C83F" w14:textId="5FB5BD14" w:rsidR="00001A19" w:rsidRPr="00C4270E" w:rsidRDefault="00000000">
      <w:pPr>
        <w:rPr>
          <w:rFonts w:ascii="Arial" w:hAnsi="Arial" w:cs="Arial"/>
          <w:sz w:val="32"/>
          <w:szCs w:val="32"/>
        </w:rPr>
        <w:sectPr w:rsidR="00001A19" w:rsidRPr="00C4270E">
          <w:headerReference w:type="default" r:id="rId7"/>
          <w:footerReference w:type="default" r:id="rId8"/>
          <w:pgSz w:w="11906" w:h="16838"/>
          <w:pgMar w:top="1440" w:right="1440" w:bottom="1440" w:left="1440" w:header="708" w:footer="708" w:gutter="0"/>
          <w:pgNumType w:start="1"/>
          <w:cols w:space="720"/>
        </w:sectPr>
      </w:pPr>
      <w:r w:rsidRPr="00C4270E">
        <w:rPr>
          <w:rFonts w:ascii="Arial" w:eastAsia="Arial" w:hAnsi="Arial" w:cs="Arial"/>
          <w:b/>
          <w:bCs/>
          <w:sz w:val="32"/>
          <w:szCs w:val="32"/>
        </w:rPr>
        <w:t>Lecturer name</w:t>
      </w:r>
      <w:r w:rsidR="00ED5277" w:rsidRPr="00C4270E">
        <w:rPr>
          <w:rFonts w:ascii="Arial" w:eastAsia="Arial" w:hAnsi="Arial" w:cs="Arial"/>
          <w:b/>
          <w:bCs/>
          <w:sz w:val="32"/>
          <w:szCs w:val="32"/>
        </w:rPr>
        <w:t>:</w:t>
      </w:r>
      <w:r w:rsidRPr="00C4270E">
        <w:rPr>
          <w:rFonts w:ascii="Arial" w:hAnsi="Arial" w:cs="Arial"/>
          <w:sz w:val="32"/>
          <w:szCs w:val="32"/>
        </w:rPr>
        <w:t xml:space="preserve"> Mark </w:t>
      </w:r>
      <w:proofErr w:type="spellStart"/>
      <w:r w:rsidRPr="00C4270E">
        <w:rPr>
          <w:rFonts w:ascii="Arial" w:hAnsi="Arial" w:cs="Arial"/>
          <w:sz w:val="32"/>
          <w:szCs w:val="32"/>
        </w:rPr>
        <w:t>kane</w:t>
      </w:r>
      <w:proofErr w:type="spellEnd"/>
    </w:p>
    <w:p w14:paraId="76F00CCC" w14:textId="77777777" w:rsidR="00001A19" w:rsidRPr="00ED5277" w:rsidRDefault="00000000">
      <w:pPr>
        <w:rPr>
          <w:rFonts w:ascii="Arial" w:eastAsia="Arial" w:hAnsi="Arial" w:cs="Arial"/>
          <w:b/>
          <w:bCs/>
        </w:rPr>
      </w:pPr>
      <w:r w:rsidRPr="00ED5277">
        <w:rPr>
          <w:rFonts w:ascii="Arial" w:eastAsia="Arial" w:hAnsi="Arial" w:cs="Arial"/>
          <w:b/>
          <w:bCs/>
        </w:rPr>
        <w:lastRenderedPageBreak/>
        <w:t xml:space="preserve">Content page </w:t>
      </w:r>
    </w:p>
    <w:p w14:paraId="7227EE4F" w14:textId="77777777" w:rsidR="00001A19" w:rsidRPr="00ED5277" w:rsidRDefault="00001A19">
      <w:pPr>
        <w:rPr>
          <w:rFonts w:ascii="Arial" w:eastAsia="Arial" w:hAnsi="Arial" w:cs="Arial"/>
          <w:b/>
          <w:bCs/>
        </w:rPr>
      </w:pPr>
    </w:p>
    <w:p w14:paraId="00EE44D0" w14:textId="77777777" w:rsidR="00001A19" w:rsidRPr="00ED5277" w:rsidRDefault="00000000">
      <w:pPr>
        <w:rPr>
          <w:rFonts w:ascii="Arial" w:hAnsi="Arial" w:cs="Arial"/>
        </w:rPr>
        <w:sectPr w:rsidR="00001A19" w:rsidRPr="00ED5277">
          <w:pgSz w:w="11906" w:h="16838"/>
          <w:pgMar w:top="1440" w:right="1440" w:bottom="1440" w:left="1440" w:header="708" w:footer="708" w:gutter="0"/>
          <w:cols w:space="720"/>
        </w:sectPr>
      </w:pPr>
      <w:r w:rsidRPr="00ED5277">
        <w:rPr>
          <w:rFonts w:ascii="Arial" w:eastAsia="Arial" w:hAnsi="Arial" w:cs="Arial"/>
          <w:b/>
          <w:bCs/>
        </w:rPr>
        <w:t>Element 1 …………………………………………………………</w:t>
      </w:r>
      <w:proofErr w:type="gramStart"/>
      <w:r w:rsidRPr="00ED5277">
        <w:rPr>
          <w:rFonts w:ascii="Arial" w:eastAsia="Arial" w:hAnsi="Arial" w:cs="Arial"/>
          <w:b/>
          <w:bCs/>
        </w:rPr>
        <w:t>…..</w:t>
      </w:r>
      <w:proofErr w:type="gramEnd"/>
      <w:r w:rsidRPr="00ED5277">
        <w:rPr>
          <w:rFonts w:ascii="Arial" w:eastAsia="Arial" w:hAnsi="Arial" w:cs="Arial"/>
          <w:b/>
          <w:bCs/>
        </w:rPr>
        <w:t xml:space="preserve"> page</w:t>
      </w:r>
    </w:p>
    <w:p w14:paraId="4FD299A2" w14:textId="3B928D57" w:rsidR="00001A19" w:rsidRPr="00ED5277" w:rsidRDefault="00ED5277">
      <w:pPr>
        <w:rPr>
          <w:rFonts w:ascii="Arial" w:hAnsi="Arial" w:cs="Arial"/>
        </w:rPr>
        <w:sectPr w:rsidR="00001A19" w:rsidRPr="00ED5277">
          <w:pgSz w:w="16838" w:h="11906" w:orient="landscape"/>
          <w:pgMar w:top="1440" w:right="1440" w:bottom="1440" w:left="1440" w:header="708" w:footer="708" w:gutter="0"/>
          <w:cols w:space="720"/>
        </w:sectPr>
      </w:pPr>
      <w:r w:rsidRPr="00ED5277">
        <w:rPr>
          <w:rFonts w:ascii="Arial" w:hAnsi="Arial" w:cs="Arial"/>
          <w:noProof/>
        </w:rPr>
        <w:lastRenderedPageBreak/>
        <mc:AlternateContent>
          <mc:Choice Requires="wps">
            <w:drawing>
              <wp:anchor distT="45720" distB="45720" distL="114300" distR="114300" simplePos="0" relativeHeight="251660288" behindDoc="0" locked="0" layoutInCell="1" hidden="0" allowOverlap="1" wp14:anchorId="13927131" wp14:editId="0EF4EC2C">
                <wp:simplePos x="0" y="0"/>
                <wp:positionH relativeFrom="column">
                  <wp:posOffset>815340</wp:posOffset>
                </wp:positionH>
                <wp:positionV relativeFrom="paragraph">
                  <wp:posOffset>0</wp:posOffset>
                </wp:positionV>
                <wp:extent cx="8056245" cy="1699260"/>
                <wp:effectExtent l="0" t="0" r="20955" b="15240"/>
                <wp:wrapSquare wrapText="bothSides" distT="45720" distB="45720" distL="114300" distR="114300"/>
                <wp:docPr id="1" name="Rectangle 1"/>
                <wp:cNvGraphicFramePr/>
                <a:graphic xmlns:a="http://schemas.openxmlformats.org/drawingml/2006/main">
                  <a:graphicData uri="http://schemas.microsoft.com/office/word/2010/wordprocessingShape">
                    <wps:wsp>
                      <wps:cNvSpPr/>
                      <wps:spPr>
                        <a:xfrm>
                          <a:off x="0" y="0"/>
                          <a:ext cx="8056245" cy="169926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773FAC92" w14:textId="77777777" w:rsidR="00001A19" w:rsidRDefault="00000000">
                            <w:pPr>
                              <w:spacing w:line="258" w:lineRule="auto"/>
                              <w:jc w:val="center"/>
                              <w:textDirection w:val="btLr"/>
                            </w:pPr>
                            <w:r>
                              <w:rPr>
                                <w:b/>
                                <w:i/>
                                <w:color w:val="00B0F0"/>
                                <w:sz w:val="70"/>
                              </w:rPr>
                              <w:t>Community Antenatal Midwifery Services: History, Practice and Challenges</w:t>
                            </w:r>
                          </w:p>
                          <w:p w14:paraId="60CC63C2" w14:textId="77777777" w:rsidR="00001A19" w:rsidRDefault="00001A19">
                            <w:pPr>
                              <w:spacing w:line="258" w:lineRule="auto"/>
                              <w:jc w:val="center"/>
                              <w:textDirection w:val="btLr"/>
                            </w:pPr>
                          </w:p>
                          <w:p w14:paraId="1C1BFA19" w14:textId="77777777" w:rsidR="00001A19" w:rsidRDefault="00000000">
                            <w:pPr>
                              <w:spacing w:line="258" w:lineRule="auto"/>
                              <w:jc w:val="center"/>
                              <w:textDirection w:val="btLr"/>
                            </w:pPr>
                            <w:r>
                              <w:rPr>
                                <w:color w:val="000000"/>
                                <w:sz w:val="28"/>
                              </w:rPr>
                              <w:t>Student Name, Course Name, Email Details Go Here</w:t>
                            </w:r>
                          </w:p>
                          <w:p w14:paraId="785644C8" w14:textId="77777777" w:rsidR="00001A19" w:rsidRDefault="00001A19">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13927131" id="Rectangle 1" o:spid="_x0000_s1026" style="position:absolute;margin-left:64.2pt;margin-top:0;width:634.35pt;height:13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">
                <v:stroke startarrowwidth="narrow" startarrowlength="short" endarrowwidth="narrow" endarrowlength="short"/>
                <v:textbox inset="2.53958mm,1.2694mm,2.53958mm,1.2694mm">
                  <w:txbxContent>
                    <w:p w14:paraId="773FAC92" w14:textId="77777777" w:rsidR="00001A19" w:rsidRDefault="00000000">
                      <w:pPr>
                        <w:spacing w:line="258" w:lineRule="auto"/>
                        <w:jc w:val="center"/>
                        <w:textDirection w:val="btLr"/>
                      </w:pPr>
                      <w:r>
                        <w:rPr>
                          <w:b/>
                          <w:i/>
                          <w:color w:val="00B0F0"/>
                          <w:sz w:val="70"/>
                        </w:rPr>
                        <w:t>Community Antenatal Midwifery Services: History, Practice and Challenges</w:t>
                      </w:r>
                    </w:p>
                    <w:p w14:paraId="60CC63C2" w14:textId="77777777" w:rsidR="00001A19" w:rsidRDefault="00001A19">
                      <w:pPr>
                        <w:spacing w:line="258" w:lineRule="auto"/>
                        <w:jc w:val="center"/>
                        <w:textDirection w:val="btLr"/>
                      </w:pPr>
                    </w:p>
                    <w:p w14:paraId="1C1BFA19" w14:textId="77777777" w:rsidR="00001A19" w:rsidRDefault="00000000">
                      <w:pPr>
                        <w:spacing w:line="258" w:lineRule="auto"/>
                        <w:jc w:val="center"/>
                        <w:textDirection w:val="btLr"/>
                      </w:pPr>
                      <w:r>
                        <w:rPr>
                          <w:color w:val="000000"/>
                          <w:sz w:val="28"/>
                        </w:rPr>
                        <w:t>Student Name, Course Name, Email Details Go Here</w:t>
                      </w:r>
                    </w:p>
                    <w:p w14:paraId="785644C8" w14:textId="77777777" w:rsidR="00001A19" w:rsidRDefault="00001A19">
                      <w:pPr>
                        <w:spacing w:line="258" w:lineRule="auto"/>
                        <w:textDirection w:val="btLr"/>
                      </w:pPr>
                    </w:p>
                  </w:txbxContent>
                </v:textbox>
                <w10:wrap type="square"/>
              </v:rect>
            </w:pict>
          </mc:Fallback>
        </mc:AlternateContent>
      </w:r>
      <w:r w:rsidRPr="00ED5277">
        <w:rPr>
          <w:rFonts w:ascii="Arial" w:hAnsi="Arial" w:cs="Arial"/>
          <w:noProof/>
        </w:rPr>
        <mc:AlternateContent>
          <mc:Choice Requires="wps">
            <w:drawing>
              <wp:anchor distT="45720" distB="45720" distL="114300" distR="114300" simplePos="0" relativeHeight="251663360" behindDoc="0" locked="0" layoutInCell="1" hidden="0" allowOverlap="1" wp14:anchorId="743DC9CE" wp14:editId="2BE4AADD">
                <wp:simplePos x="0" y="0"/>
                <wp:positionH relativeFrom="column">
                  <wp:posOffset>5698490</wp:posOffset>
                </wp:positionH>
                <wp:positionV relativeFrom="paragraph">
                  <wp:posOffset>1715135</wp:posOffset>
                </wp:positionV>
                <wp:extent cx="3919220" cy="3556000"/>
                <wp:effectExtent l="0" t="0" r="0" b="0"/>
                <wp:wrapSquare wrapText="bothSides" distT="45720" distB="45720" distL="114300" distR="114300"/>
                <wp:docPr id="4" name="Rectangle 4"/>
                <wp:cNvGraphicFramePr/>
                <a:graphic xmlns:a="http://schemas.openxmlformats.org/drawingml/2006/main">
                  <a:graphicData uri="http://schemas.microsoft.com/office/word/2010/wordprocessingShape">
                    <wps:wsp>
                      <wps:cNvSpPr/>
                      <wps:spPr>
                        <a:xfrm>
                          <a:off x="0" y="0"/>
                          <a:ext cx="3919220" cy="35560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14:paraId="64438A50" w14:textId="65AFAB61" w:rsidR="00001A19" w:rsidRDefault="00000000">
                            <w:pPr>
                              <w:spacing w:line="258" w:lineRule="auto"/>
                              <w:textDirection w:val="btLr"/>
                            </w:pPr>
                            <w:r>
                              <w:rPr>
                                <w:b/>
                                <w:color w:val="385623"/>
                                <w:u w:val="single"/>
                              </w:rPr>
                              <w:t>Current Functioning:</w:t>
                            </w:r>
                            <w:r>
                              <w:rPr>
                                <w:b/>
                                <w:color w:val="385623"/>
                              </w:rPr>
                              <w:t xml:space="preserve"> Today, community antenatal midwifery operates within an integrated maternity system that connects general practice, hospitals, and local authority services. Women commonly </w:t>
                            </w:r>
                            <w:r w:rsidR="00ED5277">
                              <w:rPr>
                                <w:b/>
                                <w:color w:val="385623"/>
                              </w:rPr>
                              <w:t>self-refer</w:t>
                            </w:r>
                            <w:r>
                              <w:rPr>
                                <w:b/>
                                <w:color w:val="385623"/>
                              </w:rPr>
                              <w:t xml:space="preserve"> after a positive pregnancy test; the first “booking” appointment establishes medical history, social needs, and risk category. Appointments occur at regular intervals, typically at 16, 25, 28, 34, 36, 38, 40, and 41 weeks as recommended by NICE (NICE, 2023). Midwives perform blood pressure monitoring, urine and blood tests, and fetal assessments, and provide health education on diet, physical activity, and emotional wellbeing. Those requiring </w:t>
                            </w:r>
                            <w:r w:rsidR="00ED5277">
                              <w:rPr>
                                <w:b/>
                                <w:color w:val="385623"/>
                              </w:rPr>
                              <w:t>higher risk</w:t>
                            </w:r>
                            <w:r>
                              <w:rPr>
                                <w:b/>
                                <w:color w:val="385623"/>
                              </w:rPr>
                              <w:t xml:space="preserve"> support are referred to </w:t>
                            </w:r>
                            <w:r w:rsidR="00ED5277">
                              <w:rPr>
                                <w:b/>
                                <w:color w:val="385623"/>
                              </w:rPr>
                              <w:t>consultant led</w:t>
                            </w:r>
                            <w:r>
                              <w:rPr>
                                <w:b/>
                                <w:color w:val="385623"/>
                              </w:rPr>
                              <w:t xml:space="preserve"> hospital clinics. Community midwives also maintain links with social care and </w:t>
                            </w:r>
                            <w:r w:rsidR="00ED5277">
                              <w:rPr>
                                <w:b/>
                                <w:color w:val="385623"/>
                              </w:rPr>
                              <w:t>mental health</w:t>
                            </w:r>
                            <w:r>
                              <w:rPr>
                                <w:b/>
                                <w:color w:val="385623"/>
                              </w:rPr>
                              <w:t xml:space="preserve"> professionals. The Saving Lives, Improving Mothers’ Care report </w:t>
                            </w:r>
                            <w:r w:rsidR="00ED5277">
                              <w:rPr>
                                <w:b/>
                                <w:color w:val="385623"/>
                              </w:rPr>
                              <w:t>emphasizes</w:t>
                            </w:r>
                            <w:r>
                              <w:rPr>
                                <w:b/>
                                <w:color w:val="385623"/>
                              </w:rPr>
                              <w:t xml:space="preserve"> the role of community teams in early identification of domestic abuse and perinatal mental disorders, both major contributors to maternal mortality in the United Kingdom (Macgregor et al., 2022). </w:t>
                            </w:r>
                          </w:p>
                        </w:txbxContent>
                      </wps:txbx>
                      <wps:bodyPr spcFirstLastPara="1" wrap="square" lIns="91425" tIns="45700" rIns="91425" bIns="45700" anchor="t" anchorCtr="0">
                        <a:noAutofit/>
                      </wps:bodyPr>
                    </wps:wsp>
                  </a:graphicData>
                </a:graphic>
              </wp:anchor>
            </w:drawing>
          </mc:Choice>
          <mc:Fallback>
            <w:pict>
              <v:rect w14:anchorId="743DC9CE" id="Rectangle 4" o:spid="_x0000_s1027" style="position:absolute;margin-left:448.7pt;margin-top:135.05pt;width:308.6pt;height:280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" strokeweight="3.5pt">
                <v:stroke startarrowwidth="narrow" startarrowlength="short" endarrowwidth="narrow" endarrowlength="short"/>
                <v:textbox inset="2.53958mm,1.2694mm,2.53958mm,1.2694mm">
                  <w:txbxContent>
                    <w:p w14:paraId="64438A50" w14:textId="65AFAB61" w:rsidR="00001A19" w:rsidRDefault="00000000">
                      <w:pPr>
                        <w:spacing w:line="258" w:lineRule="auto"/>
                        <w:textDirection w:val="btLr"/>
                      </w:pPr>
                      <w:r>
                        <w:rPr>
                          <w:b/>
                          <w:color w:val="385623"/>
                          <w:u w:val="single"/>
                        </w:rPr>
                        <w:t>Current Functioning:</w:t>
                      </w:r>
                      <w:r>
                        <w:rPr>
                          <w:b/>
                          <w:color w:val="385623"/>
                        </w:rPr>
                        <w:t xml:space="preserve"> Today, community antenatal midwifery operates within an integrated maternity system that connects general practice, hospitals, and local authority services. Women commonly </w:t>
                      </w:r>
                      <w:r w:rsidR="00ED5277">
                        <w:rPr>
                          <w:b/>
                          <w:color w:val="385623"/>
                        </w:rPr>
                        <w:t>self-refer</w:t>
                      </w:r>
                      <w:r>
                        <w:rPr>
                          <w:b/>
                          <w:color w:val="385623"/>
                        </w:rPr>
                        <w:t xml:space="preserve"> after a positive pregnancy test; the first “booking” appointment establishes medical history, social needs, and risk category. Appointments occur at regular intervals, typically at 16, 25, 28, 34, 36, 38, 40, and 41 weeks as recommended by NICE (NICE, 2023). Midwives perform blood pressure monitoring, urine and blood tests, and fetal assessments, and provide health education on diet, physical activity, and emotional wellbeing. Those requiring </w:t>
                      </w:r>
                      <w:r w:rsidR="00ED5277">
                        <w:rPr>
                          <w:b/>
                          <w:color w:val="385623"/>
                        </w:rPr>
                        <w:t>higher risk</w:t>
                      </w:r>
                      <w:r>
                        <w:rPr>
                          <w:b/>
                          <w:color w:val="385623"/>
                        </w:rPr>
                        <w:t xml:space="preserve"> support are referred to </w:t>
                      </w:r>
                      <w:r w:rsidR="00ED5277">
                        <w:rPr>
                          <w:b/>
                          <w:color w:val="385623"/>
                        </w:rPr>
                        <w:t>consultant led</w:t>
                      </w:r>
                      <w:r>
                        <w:rPr>
                          <w:b/>
                          <w:color w:val="385623"/>
                        </w:rPr>
                        <w:t xml:space="preserve"> hospital clinics. Community midwives also maintain links with social care and </w:t>
                      </w:r>
                      <w:r w:rsidR="00ED5277">
                        <w:rPr>
                          <w:b/>
                          <w:color w:val="385623"/>
                        </w:rPr>
                        <w:t>mental health</w:t>
                      </w:r>
                      <w:r>
                        <w:rPr>
                          <w:b/>
                          <w:color w:val="385623"/>
                        </w:rPr>
                        <w:t xml:space="preserve"> professionals. The Saving Lives, Improving Mothers’ Care report </w:t>
                      </w:r>
                      <w:r w:rsidR="00ED5277">
                        <w:rPr>
                          <w:b/>
                          <w:color w:val="385623"/>
                        </w:rPr>
                        <w:t>emphasizes</w:t>
                      </w:r>
                      <w:r>
                        <w:rPr>
                          <w:b/>
                          <w:color w:val="385623"/>
                        </w:rPr>
                        <w:t xml:space="preserve"> the role of community teams in early identification of domestic abuse and perinatal mental disorders, both major contributors to maternal mortality in the United Kingdom (Macgregor et al., 2022). </w:t>
                      </w:r>
                    </w:p>
                  </w:txbxContent>
                </v:textbox>
                <w10:wrap type="square"/>
              </v:rect>
            </w:pict>
          </mc:Fallback>
        </mc:AlternateContent>
      </w:r>
      <w:r w:rsidR="00000000" w:rsidRPr="00ED5277">
        <w:rPr>
          <w:rFonts w:ascii="Arial" w:hAnsi="Arial" w:cs="Arial"/>
          <w:noProof/>
        </w:rPr>
        <w:drawing>
          <wp:inline distT="0" distB="0" distL="0" distR="0" wp14:anchorId="279653EB" wp14:editId="4D1E3104">
            <wp:extent cx="9325516" cy="1168953"/>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9325516" cy="1168953"/>
                    </a:xfrm>
                    <a:prstGeom prst="rect">
                      <a:avLst/>
                    </a:prstGeom>
                    <a:ln/>
                  </pic:spPr>
                </pic:pic>
              </a:graphicData>
            </a:graphic>
          </wp:inline>
        </w:drawing>
      </w:r>
      <w:r w:rsidR="00000000" w:rsidRPr="00ED5277">
        <w:rPr>
          <w:rFonts w:ascii="Arial" w:hAnsi="Arial" w:cs="Arial"/>
          <w:noProof/>
        </w:rPr>
        <mc:AlternateContent>
          <mc:Choice Requires="wps">
            <w:drawing>
              <wp:anchor distT="0" distB="0" distL="0" distR="0" simplePos="0" relativeHeight="251659264" behindDoc="1" locked="0" layoutInCell="1" hidden="0" allowOverlap="1" wp14:anchorId="1A4B4DB5" wp14:editId="558CBC1E">
                <wp:simplePos x="0" y="0"/>
                <wp:positionH relativeFrom="column">
                  <wp:posOffset>-920749</wp:posOffset>
                </wp:positionH>
                <wp:positionV relativeFrom="paragraph">
                  <wp:posOffset>-1498892</wp:posOffset>
                </wp:positionV>
                <wp:extent cx="10688320" cy="9398000"/>
                <wp:effectExtent l="0" t="0" r="0" b="0"/>
                <wp:wrapNone/>
                <wp:docPr id="6" name="Rectangle 6"/>
                <wp:cNvGraphicFramePr/>
                <a:graphic xmlns:a="http://schemas.openxmlformats.org/drawingml/2006/main">
                  <a:graphicData uri="http://schemas.microsoft.com/office/word/2010/wordprocessingShape">
                    <wps:wsp>
                      <wps:cNvSpPr/>
                      <wps:spPr>
                        <a:xfrm>
                          <a:off x="8190" y="0"/>
                          <a:ext cx="10675620" cy="7560000"/>
                        </a:xfrm>
                        <a:prstGeom prst="rect">
                          <a:avLst/>
                        </a:prstGeom>
                        <a:solidFill>
                          <a:srgbClr val="7F7F7F">
                            <a:alpha val="45882"/>
                          </a:srgbClr>
                        </a:solidFill>
                        <a:ln w="12700" cap="flat" cmpd="sng">
                          <a:solidFill>
                            <a:srgbClr val="92D050"/>
                          </a:solidFill>
                          <a:prstDash val="solid"/>
                          <a:miter lim="800000"/>
                          <a:headEnd type="none" w="sm" len="sm"/>
                          <a:tailEnd type="none" w="sm" len="sm"/>
                        </a:ln>
                      </wps:spPr>
                      <wps:txbx>
                        <w:txbxContent>
                          <w:p w14:paraId="7824B95F" w14:textId="77777777" w:rsidR="00001A19" w:rsidRDefault="00001A19">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1A4B4DB5" id="Rectangle 6" o:spid="_x0000_s1028" style="position:absolute;margin-left:-72.5pt;margin-top:-118pt;width:841.6pt;height:740pt;z-index:-251657216;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" fillcolor="#7f7f7f" strokecolor="#92d050" strokeweight="1pt">
                <v:fill opacity="30069f"/>
                <v:stroke startarrowwidth="narrow" startarrowlength="short" endarrowwidth="narrow" endarrowlength="short"/>
                <v:textbox inset="2.53958mm,2.53958mm,2.53958mm,2.53958mm">
                  <w:txbxContent>
                    <w:p w14:paraId="7824B95F" w14:textId="77777777" w:rsidR="00001A19" w:rsidRDefault="00001A19">
                      <w:pPr>
                        <w:spacing w:after="0" w:line="240" w:lineRule="auto"/>
                        <w:textDirection w:val="btLr"/>
                      </w:pPr>
                    </w:p>
                  </w:txbxContent>
                </v:textbox>
              </v:rect>
            </w:pict>
          </mc:Fallback>
        </mc:AlternateContent>
      </w:r>
      <w:r w:rsidR="00000000" w:rsidRPr="00ED5277">
        <w:rPr>
          <w:rFonts w:ascii="Arial" w:hAnsi="Arial" w:cs="Arial"/>
          <w:noProof/>
        </w:rPr>
        <mc:AlternateContent>
          <mc:Choice Requires="wps">
            <w:drawing>
              <wp:anchor distT="45720" distB="45720" distL="114300" distR="114300" simplePos="0" relativeHeight="251661312" behindDoc="0" locked="0" layoutInCell="1" hidden="0" allowOverlap="1" wp14:anchorId="37F88FFB" wp14:editId="55B856D7">
                <wp:simplePos x="0" y="0"/>
                <wp:positionH relativeFrom="column">
                  <wp:posOffset>-771841</wp:posOffset>
                </wp:positionH>
                <wp:positionV relativeFrom="paragraph">
                  <wp:posOffset>1844993</wp:posOffset>
                </wp:positionV>
                <wp:extent cx="3889375" cy="2982595"/>
                <wp:effectExtent l="0" t="0" r="0" b="0"/>
                <wp:wrapSquare wrapText="bothSides" distT="45720" distB="45720" distL="114300" distR="114300"/>
                <wp:docPr id="5" name="Rectangle 5"/>
                <wp:cNvGraphicFramePr/>
                <a:graphic xmlns:a="http://schemas.openxmlformats.org/drawingml/2006/main">
                  <a:graphicData uri="http://schemas.microsoft.com/office/word/2010/wordprocessingShape">
                    <wps:wsp>
                      <wps:cNvSpPr/>
                      <wps:spPr>
                        <a:xfrm>
                          <a:off x="3425125" y="2312515"/>
                          <a:ext cx="3841750" cy="293497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14:paraId="3EB231E6" w14:textId="3D12896D" w:rsidR="00001A19" w:rsidRDefault="00000000">
                            <w:pPr>
                              <w:spacing w:line="258" w:lineRule="auto"/>
                              <w:textDirection w:val="btLr"/>
                            </w:pPr>
                            <w:r>
                              <w:rPr>
                                <w:b/>
                                <w:color w:val="000000"/>
                              </w:rPr>
                              <w:t xml:space="preserve">Overview: Community antenatal midwifery services provide maternity care for pregnant women outside hospital settings, primarily through </w:t>
                            </w:r>
                            <w:r w:rsidR="00ED5277">
                              <w:rPr>
                                <w:b/>
                                <w:color w:val="000000"/>
                              </w:rPr>
                              <w:t>midwife led</w:t>
                            </w:r>
                            <w:r>
                              <w:rPr>
                                <w:b/>
                                <w:color w:val="000000"/>
                              </w:rPr>
                              <w:t xml:space="preserve"> teams based in local clinics, GP surgeries, or </w:t>
                            </w:r>
                            <w:r w:rsidR="00ED5277">
                              <w:rPr>
                                <w:b/>
                                <w:color w:val="000000"/>
                              </w:rPr>
                              <w:t>home visiting</w:t>
                            </w:r>
                            <w:r>
                              <w:rPr>
                                <w:b/>
                                <w:color w:val="000000"/>
                              </w:rPr>
                              <w:t xml:space="preserve"> </w:t>
                            </w:r>
                            <w:r w:rsidR="00ED5277">
                              <w:rPr>
                                <w:b/>
                                <w:color w:val="000000"/>
                              </w:rPr>
                              <w:t>programs</w:t>
                            </w:r>
                            <w:r>
                              <w:rPr>
                                <w:b/>
                                <w:color w:val="000000"/>
                              </w:rPr>
                              <w:t xml:space="preserve">. These services aim to ensure healthy pregnancies, safe births, and informed parenthood through accessible, continuous, and </w:t>
                            </w:r>
                            <w:r w:rsidR="00ED5277">
                              <w:rPr>
                                <w:b/>
                                <w:color w:val="000000"/>
                              </w:rPr>
                              <w:t>personalized</w:t>
                            </w:r>
                            <w:r>
                              <w:rPr>
                                <w:b/>
                                <w:color w:val="000000"/>
                              </w:rPr>
                              <w:t xml:space="preserve"> care. According to the National Institute for Health and Care Excellence (NICE, 2023), community midwives are responsible for routine antenatal appointments, health promotion, and referral to specialist care when risk factors are identified. In England, antenatal care is free at the point of use under the National Health Service (NHS). The system supports equality of access regardless of socioeconomic background or residency status, consistent with the founding NHS principles of equity and universality.</w:t>
                            </w:r>
                          </w:p>
                          <w:p w14:paraId="55311ADF" w14:textId="77777777" w:rsidR="00001A19" w:rsidRDefault="00001A19">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37F88FFB" id="Rectangle 5" o:spid="_x0000_s1029" style="position:absolute;margin-left:-60.75pt;margin-top:145.3pt;width:306.25pt;height:234.8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" strokecolor="#c0504d [3205]" strokeweight="3.75pt">
                <v:stroke startarrowwidth="narrow" startarrowlength="short" endarrowwidth="narrow" endarrowlength="short"/>
                <v:textbox inset="2.53958mm,1.2694mm,2.53958mm,1.2694mm">
                  <w:txbxContent>
                    <w:p w14:paraId="3EB231E6" w14:textId="3D12896D" w:rsidR="00001A19" w:rsidRDefault="00000000">
                      <w:pPr>
                        <w:spacing w:line="258" w:lineRule="auto"/>
                        <w:textDirection w:val="btLr"/>
                      </w:pPr>
                      <w:r>
                        <w:rPr>
                          <w:b/>
                          <w:color w:val="000000"/>
                        </w:rPr>
                        <w:t xml:space="preserve">Overview: Community antenatal midwifery services provide maternity care for pregnant women outside hospital settings, primarily through </w:t>
                      </w:r>
                      <w:r w:rsidR="00ED5277">
                        <w:rPr>
                          <w:b/>
                          <w:color w:val="000000"/>
                        </w:rPr>
                        <w:t>midwife led</w:t>
                      </w:r>
                      <w:r>
                        <w:rPr>
                          <w:b/>
                          <w:color w:val="000000"/>
                        </w:rPr>
                        <w:t xml:space="preserve"> teams based in local clinics, GP surgeries, or </w:t>
                      </w:r>
                      <w:r w:rsidR="00ED5277">
                        <w:rPr>
                          <w:b/>
                          <w:color w:val="000000"/>
                        </w:rPr>
                        <w:t>home visiting</w:t>
                      </w:r>
                      <w:r>
                        <w:rPr>
                          <w:b/>
                          <w:color w:val="000000"/>
                        </w:rPr>
                        <w:t xml:space="preserve"> </w:t>
                      </w:r>
                      <w:r w:rsidR="00ED5277">
                        <w:rPr>
                          <w:b/>
                          <w:color w:val="000000"/>
                        </w:rPr>
                        <w:t>programs</w:t>
                      </w:r>
                      <w:r>
                        <w:rPr>
                          <w:b/>
                          <w:color w:val="000000"/>
                        </w:rPr>
                        <w:t xml:space="preserve">. These services aim to ensure healthy pregnancies, safe births, and informed parenthood through accessible, continuous, and </w:t>
                      </w:r>
                      <w:r w:rsidR="00ED5277">
                        <w:rPr>
                          <w:b/>
                          <w:color w:val="000000"/>
                        </w:rPr>
                        <w:t>personalized</w:t>
                      </w:r>
                      <w:r>
                        <w:rPr>
                          <w:b/>
                          <w:color w:val="000000"/>
                        </w:rPr>
                        <w:t xml:space="preserve"> care. According to the National Institute for Health and Care Excellence (NICE, 2023), community midwives are responsible for routine antenatal appointments, health promotion, and referral to specialist care when risk factors are identified. In England, antenatal care is free at the point of use under the National Health Service (NHS). The system supports equality of access regardless of socioeconomic background or residency status, consistent with the founding NHS principles of equity and universality.</w:t>
                      </w:r>
                    </w:p>
                    <w:p w14:paraId="55311ADF" w14:textId="77777777" w:rsidR="00001A19" w:rsidRDefault="00001A19">
                      <w:pPr>
                        <w:spacing w:line="258" w:lineRule="auto"/>
                        <w:textDirection w:val="btLr"/>
                      </w:pPr>
                    </w:p>
                  </w:txbxContent>
                </v:textbox>
                <w10:wrap type="square"/>
              </v:rect>
            </w:pict>
          </mc:Fallback>
        </mc:AlternateContent>
      </w:r>
      <w:r w:rsidR="00000000" w:rsidRPr="00ED5277">
        <w:rPr>
          <w:rFonts w:ascii="Arial" w:hAnsi="Arial" w:cs="Arial"/>
          <w:noProof/>
        </w:rPr>
        <w:drawing>
          <wp:anchor distT="45720" distB="45720" distL="114300" distR="114300" simplePos="0" relativeHeight="251662336" behindDoc="0" locked="0" layoutInCell="1" hidden="0" allowOverlap="1" wp14:anchorId="1BE85AF6" wp14:editId="0375A1F8">
            <wp:simplePos x="0" y="0"/>
            <wp:positionH relativeFrom="column">
              <wp:posOffset>3248025</wp:posOffset>
            </wp:positionH>
            <wp:positionV relativeFrom="paragraph">
              <wp:posOffset>1885950</wp:posOffset>
            </wp:positionV>
            <wp:extent cx="2367280" cy="1797050"/>
            <wp:effectExtent l="0" t="0" r="0" b="0"/>
            <wp:wrapSquare wrapText="bothSides" distT="45720" distB="45720" distL="114300" distR="1143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367280" cy="1797050"/>
                    </a:xfrm>
                    <a:prstGeom prst="rect">
                      <a:avLst/>
                    </a:prstGeom>
                    <a:ln/>
                  </pic:spPr>
                </pic:pic>
              </a:graphicData>
            </a:graphic>
          </wp:anchor>
        </w:drawing>
      </w:r>
    </w:p>
    <w:p w14:paraId="5D5CACEC" w14:textId="77777777" w:rsidR="00001A19" w:rsidRPr="00ED5277" w:rsidRDefault="00000000">
      <w:pPr>
        <w:rPr>
          <w:rFonts w:ascii="Arial" w:eastAsia="Arial" w:hAnsi="Arial" w:cs="Arial"/>
          <w:b/>
          <w:bCs/>
        </w:rPr>
      </w:pPr>
      <w:r w:rsidRPr="00ED5277">
        <w:rPr>
          <w:rFonts w:ascii="Arial" w:hAnsi="Arial" w:cs="Arial"/>
          <w:noProof/>
        </w:rPr>
        <w:lastRenderedPageBreak/>
        <mc:AlternateContent>
          <mc:Choice Requires="wps">
            <w:drawing>
              <wp:anchor distT="45720" distB="45720" distL="114300" distR="114300" simplePos="0" relativeHeight="251664384" behindDoc="0" locked="0" layoutInCell="1" hidden="0" allowOverlap="1" wp14:anchorId="56C39C96" wp14:editId="295AFB2A">
                <wp:simplePos x="0" y="0"/>
                <wp:positionH relativeFrom="column">
                  <wp:posOffset>2892425</wp:posOffset>
                </wp:positionH>
                <wp:positionV relativeFrom="paragraph">
                  <wp:posOffset>-3174</wp:posOffset>
                </wp:positionV>
                <wp:extent cx="3612515" cy="4241800"/>
                <wp:effectExtent l="0" t="0" r="0" b="0"/>
                <wp:wrapSquare wrapText="bothSides" distT="45720" distB="45720" distL="114300" distR="114300"/>
                <wp:docPr id="2" name="Rectangle 2"/>
                <wp:cNvGraphicFramePr/>
                <a:graphic xmlns:a="http://schemas.openxmlformats.org/drawingml/2006/main">
                  <a:graphicData uri="http://schemas.microsoft.com/office/word/2010/wordprocessingShape">
                    <wps:wsp>
                      <wps:cNvSpPr/>
                      <wps:spPr>
                        <a:xfrm>
                          <a:off x="3561968" y="1681325"/>
                          <a:ext cx="3568065" cy="419735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14:paraId="304137D0" w14:textId="0502344E" w:rsidR="00001A19" w:rsidRDefault="00000000">
                            <w:pPr>
                              <w:spacing w:line="258" w:lineRule="auto"/>
                              <w:textDirection w:val="btLr"/>
                            </w:pPr>
                            <w:r>
                              <w:rPr>
                                <w:b/>
                                <w:color w:val="385623"/>
                                <w:u w:val="single"/>
                              </w:rPr>
                              <w:t>Challenge 2</w:t>
                            </w:r>
                            <w:r>
                              <w:rPr>
                                <w:b/>
                                <w:color w:val="385623"/>
                              </w:rPr>
                              <w:t xml:space="preserve">: A second challenge is the variable quality of digital maternity records and data connectivity across services. Although policies such as Better Births (2016) and Maternity Transformation </w:t>
                            </w:r>
                            <w:r w:rsidR="00ED5277">
                              <w:rPr>
                                <w:b/>
                                <w:color w:val="385623"/>
                              </w:rPr>
                              <w:t>Program</w:t>
                            </w:r>
                            <w:r>
                              <w:rPr>
                                <w:b/>
                                <w:color w:val="385623"/>
                              </w:rPr>
                              <w:t xml:space="preserve"> (2018) promote electronic documentation, many community teams still rely on paper notes alongside digital systems. Care Quality Commission (2024) review identified discrepancies in data transfer between community clinics and hospital maternity units. These inconsistencies can delay referrals for conditions such as gestational diabetes or preeclampsia. The variation in digital capability also limits </w:t>
                            </w:r>
                            <w:r w:rsidR="00ED5277">
                              <w:rPr>
                                <w:b/>
                                <w:color w:val="385623"/>
                              </w:rPr>
                              <w:t>real time</w:t>
                            </w:r>
                            <w:r>
                              <w:rPr>
                                <w:b/>
                                <w:color w:val="385623"/>
                              </w:rPr>
                              <w:t xml:space="preserve"> monitoring of health inequalities. Without consistent electronic record linkage between local midwives, general practitioners, and </w:t>
                            </w:r>
                            <w:r w:rsidR="00ED5277">
                              <w:rPr>
                                <w:b/>
                                <w:color w:val="385623"/>
                              </w:rPr>
                              <w:t>public health</w:t>
                            </w:r>
                            <w:r>
                              <w:rPr>
                                <w:b/>
                                <w:color w:val="385623"/>
                              </w:rPr>
                              <w:t xml:space="preserve"> departments, analysis of vulnerable population trends remains incomplete. The NHS Digital Transformation Strategy (2022) </w:t>
                            </w:r>
                            <w:r w:rsidR="00ED5277">
                              <w:rPr>
                                <w:b/>
                                <w:color w:val="385623"/>
                              </w:rPr>
                              <w:t>recognizes</w:t>
                            </w:r>
                            <w:r>
                              <w:rPr>
                                <w:b/>
                                <w:color w:val="385623"/>
                              </w:rPr>
                              <w:t xml:space="preserve"> this gap and includes plans to extend regional electronic healthcare records by 2025 (NHS, 2024). Ensuring that community midwives have access to secure </w:t>
                            </w:r>
                            <w:r w:rsidR="00ED5277">
                              <w:rPr>
                                <w:b/>
                                <w:color w:val="385623"/>
                              </w:rPr>
                              <w:t>mobile enabled</w:t>
                            </w:r>
                            <w:r>
                              <w:rPr>
                                <w:b/>
                                <w:color w:val="385623"/>
                              </w:rPr>
                              <w:t xml:space="preserve"> record systems would strengthen communication and reduce duplication, improving both safety and efficiency.</w:t>
                            </w:r>
                          </w:p>
                          <w:p w14:paraId="5106FBE8" w14:textId="77777777" w:rsidR="00001A19" w:rsidRDefault="00001A19">
                            <w:pPr>
                              <w:spacing w:line="258" w:lineRule="auto"/>
                              <w:textDirection w:val="btLr"/>
                            </w:pPr>
                          </w:p>
                          <w:p w14:paraId="13FAC8DA" w14:textId="77777777" w:rsidR="00001A19" w:rsidRDefault="00001A19">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56C39C96" id="Rectangle 2" o:spid="_x0000_s1030" style="position:absolute;margin-left:227.75pt;margin-top:-.25pt;width:284.45pt;height:334pt;z-index:25166438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" strokeweight="3.5pt">
                <v:stroke startarrowwidth="narrow" startarrowlength="short" endarrowwidth="narrow" endarrowlength="short"/>
                <v:textbox inset="2.53958mm,1.2694mm,2.53958mm,1.2694mm">
                  <w:txbxContent>
                    <w:p w14:paraId="304137D0" w14:textId="0502344E" w:rsidR="00001A19" w:rsidRDefault="00000000">
                      <w:pPr>
                        <w:spacing w:line="258" w:lineRule="auto"/>
                        <w:textDirection w:val="btLr"/>
                      </w:pPr>
                      <w:r>
                        <w:rPr>
                          <w:b/>
                          <w:color w:val="385623"/>
                          <w:u w:val="single"/>
                        </w:rPr>
                        <w:t>Challenge 2</w:t>
                      </w:r>
                      <w:r>
                        <w:rPr>
                          <w:b/>
                          <w:color w:val="385623"/>
                        </w:rPr>
                        <w:t xml:space="preserve">: A second challenge is the variable quality of digital maternity records and data connectivity across services. Although policies such as Better Births (2016) and Maternity Transformation </w:t>
                      </w:r>
                      <w:r w:rsidR="00ED5277">
                        <w:rPr>
                          <w:b/>
                          <w:color w:val="385623"/>
                        </w:rPr>
                        <w:t>Program</w:t>
                      </w:r>
                      <w:r>
                        <w:rPr>
                          <w:b/>
                          <w:color w:val="385623"/>
                        </w:rPr>
                        <w:t xml:space="preserve"> (2018) promote electronic documentation, many community teams still rely on paper notes alongside digital systems. Care Quality Commission (2024) review identified discrepancies in data transfer between community clinics and hospital maternity units. These inconsistencies can delay referrals for conditions such as gestational diabetes or preeclampsia. The variation in digital capability also limits </w:t>
                      </w:r>
                      <w:r w:rsidR="00ED5277">
                        <w:rPr>
                          <w:b/>
                          <w:color w:val="385623"/>
                        </w:rPr>
                        <w:t>real time</w:t>
                      </w:r>
                      <w:r>
                        <w:rPr>
                          <w:b/>
                          <w:color w:val="385623"/>
                        </w:rPr>
                        <w:t xml:space="preserve"> monitoring of health inequalities. Without consistent electronic record linkage between local midwives, general practitioners, and </w:t>
                      </w:r>
                      <w:r w:rsidR="00ED5277">
                        <w:rPr>
                          <w:b/>
                          <w:color w:val="385623"/>
                        </w:rPr>
                        <w:t>public health</w:t>
                      </w:r>
                      <w:r>
                        <w:rPr>
                          <w:b/>
                          <w:color w:val="385623"/>
                        </w:rPr>
                        <w:t xml:space="preserve"> departments, analysis of vulnerable population trends remains incomplete. The NHS Digital Transformation Strategy (2022) </w:t>
                      </w:r>
                      <w:r w:rsidR="00ED5277">
                        <w:rPr>
                          <w:b/>
                          <w:color w:val="385623"/>
                        </w:rPr>
                        <w:t>recognizes</w:t>
                      </w:r>
                      <w:r>
                        <w:rPr>
                          <w:b/>
                          <w:color w:val="385623"/>
                        </w:rPr>
                        <w:t xml:space="preserve"> this gap and includes plans to extend regional electronic healthcare records by 2025 (NHS, 2024). Ensuring that community midwives have access to secure </w:t>
                      </w:r>
                      <w:r w:rsidR="00ED5277">
                        <w:rPr>
                          <w:b/>
                          <w:color w:val="385623"/>
                        </w:rPr>
                        <w:t>mobile enabled</w:t>
                      </w:r>
                      <w:r>
                        <w:rPr>
                          <w:b/>
                          <w:color w:val="385623"/>
                        </w:rPr>
                        <w:t xml:space="preserve"> record systems would strengthen communication and reduce duplication, improving both safety and efficiency.</w:t>
                      </w:r>
                    </w:p>
                    <w:p w14:paraId="5106FBE8" w14:textId="77777777" w:rsidR="00001A19" w:rsidRDefault="00001A19">
                      <w:pPr>
                        <w:spacing w:line="258" w:lineRule="auto"/>
                        <w:textDirection w:val="btLr"/>
                      </w:pPr>
                    </w:p>
                    <w:p w14:paraId="13FAC8DA" w14:textId="77777777" w:rsidR="00001A19" w:rsidRDefault="00001A19">
                      <w:pPr>
                        <w:spacing w:line="258" w:lineRule="auto"/>
                        <w:textDirection w:val="btLr"/>
                      </w:pPr>
                    </w:p>
                  </w:txbxContent>
                </v:textbox>
                <w10:wrap type="square"/>
              </v:rect>
            </w:pict>
          </mc:Fallback>
        </mc:AlternateContent>
      </w:r>
      <w:r w:rsidRPr="00ED5277">
        <w:rPr>
          <w:rFonts w:ascii="Arial" w:hAnsi="Arial" w:cs="Arial"/>
          <w:noProof/>
        </w:rPr>
        <mc:AlternateContent>
          <mc:Choice Requires="wps">
            <w:drawing>
              <wp:anchor distT="45720" distB="45720" distL="114300" distR="114300" simplePos="0" relativeHeight="251665408" behindDoc="0" locked="0" layoutInCell="1" hidden="0" allowOverlap="1" wp14:anchorId="226242F1" wp14:editId="2EAED25F">
                <wp:simplePos x="0" y="0"/>
                <wp:positionH relativeFrom="column">
                  <wp:posOffset>-938211</wp:posOffset>
                </wp:positionH>
                <wp:positionV relativeFrom="paragraph">
                  <wp:posOffset>-4761</wp:posOffset>
                </wp:positionV>
                <wp:extent cx="3728085" cy="4105275"/>
                <wp:effectExtent l="0" t="0" r="0" b="0"/>
                <wp:wrapSquare wrapText="bothSides" distT="45720" distB="45720" distL="114300" distR="114300"/>
                <wp:docPr id="3" name="Rectangle 3"/>
                <wp:cNvGraphicFramePr/>
                <a:graphic xmlns:a="http://schemas.openxmlformats.org/drawingml/2006/main">
                  <a:graphicData uri="http://schemas.microsoft.com/office/word/2010/wordprocessingShape">
                    <wps:wsp>
                      <wps:cNvSpPr/>
                      <wps:spPr>
                        <a:xfrm>
                          <a:off x="3505770" y="1751175"/>
                          <a:ext cx="3680460" cy="405765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14:paraId="46A2E972" w14:textId="77777777" w:rsidR="00001A19" w:rsidRDefault="00000000">
                            <w:pPr>
                              <w:spacing w:line="258" w:lineRule="auto"/>
                              <w:textDirection w:val="btLr"/>
                            </w:pPr>
                            <w:r>
                              <w:rPr>
                                <w:b/>
                                <w:color w:val="385623"/>
                                <w:u w:val="single"/>
                              </w:rPr>
                              <w:t>Challenge 1:</w:t>
                            </w:r>
                            <w:r>
                              <w:rPr>
                                <w:b/>
                                <w:color w:val="385623"/>
                              </w:rPr>
                              <w:t xml:space="preserve"> One of the most consistent problems facing community midwifery is insufficient staffing. The Royal College of Midwives (2023) estimated a national shortage of more than 2,500 fulltime midwives in 2023. High attrition rates stem from workload stress, limited career progression, and the emotional intensity of perinatal care. CQC (2024) reports that two thirds of community midwives reported missing breaks or working unpaid overtime weekly. Short staffing threatens continuity of carer, a principle that the NHS Long Term Plan (2019) views as strongly associated with reduced preterm birth and stillbirth rates (NHS, 2019). Local shortages multiply inequality. Rural districts and socioeconomically deprived urban areas experience the highest vacancy levels, which directly influence maternal outcomes. In UK, temporary suspension of homebirth services in 2021 became necessary because of insufficient staff to guarantee emergency cover. Sustained investment in midwifery training, retention initiatives, and supportive leadership is therefore essential if equity in community provision is to remain credible.</w:t>
                            </w:r>
                          </w:p>
                          <w:p w14:paraId="72E299A5" w14:textId="77777777" w:rsidR="00001A19" w:rsidRDefault="00001A19">
                            <w:pPr>
                              <w:spacing w:line="258" w:lineRule="auto"/>
                              <w:textDirection w:val="btLr"/>
                            </w:pPr>
                          </w:p>
                          <w:p w14:paraId="7A2D49F8" w14:textId="77777777" w:rsidR="00001A19" w:rsidRDefault="00001A19">
                            <w:pPr>
                              <w:spacing w:line="258" w:lineRule="auto"/>
                              <w:textDirection w:val="btLr"/>
                            </w:pPr>
                          </w:p>
                          <w:p w14:paraId="367BB930" w14:textId="77777777" w:rsidR="00001A19" w:rsidRDefault="00001A19">
                            <w:pPr>
                              <w:spacing w:line="258" w:lineRule="auto"/>
                              <w:textDirection w:val="btLr"/>
                            </w:pPr>
                          </w:p>
                        </w:txbxContent>
                      </wps:txbx>
                      <wps:bodyPr spcFirstLastPara="1" wrap="square" lIns="91425" tIns="45700" rIns="91425" bIns="45700" anchor="t" anchorCtr="0">
                        <a:noAutofit/>
                      </wps:bodyPr>
                    </wps:wsp>
                  </a:graphicData>
                </a:graphic>
              </wp:anchor>
            </w:drawing>
          </mc:Choice>
          <mc:Fallback>
            <w:pict>
              <v:rect w14:anchorId="226242F1" id="Rectangle 3" o:spid="_x0000_s1031" style="position:absolute;margin-left:-73.85pt;margin-top:-.35pt;width:293.55pt;height:323.25pt;z-index:25166540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" strokeweight="3.75pt">
                <v:stroke startarrowwidth="narrow" startarrowlength="short" endarrowwidth="narrow" endarrowlength="short"/>
                <v:textbox inset="2.53958mm,1.2694mm,2.53958mm,1.2694mm">
                  <w:txbxContent>
                    <w:p w14:paraId="46A2E972" w14:textId="77777777" w:rsidR="00001A19" w:rsidRDefault="00000000">
                      <w:pPr>
                        <w:spacing w:line="258" w:lineRule="auto"/>
                        <w:textDirection w:val="btLr"/>
                      </w:pPr>
                      <w:r>
                        <w:rPr>
                          <w:b/>
                          <w:color w:val="385623"/>
                          <w:u w:val="single"/>
                        </w:rPr>
                        <w:t>Challenge 1:</w:t>
                      </w:r>
                      <w:r>
                        <w:rPr>
                          <w:b/>
                          <w:color w:val="385623"/>
                        </w:rPr>
                        <w:t xml:space="preserve"> One of the most consistent problems facing community midwifery is insufficient staffing. The Royal College of Midwives (2023) estimated a national shortage of more than 2,500 fulltime midwives in 2023. High attrition rates stem from workload stress, limited career progression, and the emotional intensity of perinatal care. CQC (2024) reports that two thirds of community midwives reported missing breaks or working unpaid overtime weekly. Short staffing threatens continuity of carer, a principle that the NHS Long Term Plan (2019) views as strongly associated with reduced preterm birth and stillbirth rates (NHS, 2019). Local shortages multiply inequality. Rural districts and socioeconomically deprived urban areas experience the highest vacancy levels, which directly influence maternal outcomes. In UK, temporary suspension of homebirth services in 2021 became necessary because of insufficient staff to guarantee emergency cover. Sustained investment in midwifery training, retention initiatives, and supportive leadership is therefore essential if equity in community provision is to remain credible.</w:t>
                      </w:r>
                    </w:p>
                    <w:p w14:paraId="72E299A5" w14:textId="77777777" w:rsidR="00001A19" w:rsidRDefault="00001A19">
                      <w:pPr>
                        <w:spacing w:line="258" w:lineRule="auto"/>
                        <w:textDirection w:val="btLr"/>
                      </w:pPr>
                    </w:p>
                    <w:p w14:paraId="7A2D49F8" w14:textId="77777777" w:rsidR="00001A19" w:rsidRDefault="00001A19">
                      <w:pPr>
                        <w:spacing w:line="258" w:lineRule="auto"/>
                        <w:textDirection w:val="btLr"/>
                      </w:pPr>
                    </w:p>
                    <w:p w14:paraId="367BB930" w14:textId="77777777" w:rsidR="00001A19" w:rsidRDefault="00001A19">
                      <w:pPr>
                        <w:spacing w:line="258" w:lineRule="auto"/>
                        <w:textDirection w:val="btLr"/>
                      </w:pPr>
                    </w:p>
                  </w:txbxContent>
                </v:textbox>
                <w10:wrap type="square"/>
              </v:rect>
            </w:pict>
          </mc:Fallback>
        </mc:AlternateContent>
      </w:r>
    </w:p>
    <w:p w14:paraId="4762D391" w14:textId="77777777" w:rsidR="00001A19" w:rsidRPr="00ED5277" w:rsidRDefault="00001A19">
      <w:pPr>
        <w:rPr>
          <w:rFonts w:ascii="Arial" w:eastAsia="Arial" w:hAnsi="Arial" w:cs="Arial"/>
          <w:b/>
          <w:bCs/>
        </w:rPr>
      </w:pPr>
    </w:p>
    <w:p w14:paraId="355B48DA" w14:textId="77777777" w:rsidR="00001A19" w:rsidRPr="00ED5277" w:rsidRDefault="00001A19">
      <w:pPr>
        <w:rPr>
          <w:rFonts w:ascii="Arial" w:eastAsia="Arial" w:hAnsi="Arial" w:cs="Arial"/>
          <w:b/>
          <w:bCs/>
        </w:rPr>
      </w:pPr>
    </w:p>
    <w:p w14:paraId="0A06B19C" w14:textId="77777777" w:rsidR="00001A19" w:rsidRPr="00ED5277" w:rsidRDefault="00001A19">
      <w:pPr>
        <w:rPr>
          <w:rFonts w:ascii="Arial" w:eastAsia="Arial" w:hAnsi="Arial" w:cs="Arial"/>
          <w:b/>
          <w:bCs/>
        </w:rPr>
      </w:pPr>
    </w:p>
    <w:p w14:paraId="3DD85C0E" w14:textId="77777777" w:rsidR="00001A19" w:rsidRPr="00ED5277" w:rsidRDefault="00001A19">
      <w:pPr>
        <w:rPr>
          <w:rFonts w:ascii="Arial" w:eastAsia="Arial" w:hAnsi="Arial" w:cs="Arial"/>
          <w:b/>
          <w:bCs/>
        </w:rPr>
      </w:pPr>
    </w:p>
    <w:p w14:paraId="30504946" w14:textId="77777777" w:rsidR="00001A19" w:rsidRPr="00ED5277" w:rsidRDefault="00001A19">
      <w:pPr>
        <w:rPr>
          <w:rFonts w:ascii="Arial" w:eastAsia="Arial" w:hAnsi="Arial" w:cs="Arial"/>
          <w:b/>
          <w:bCs/>
        </w:rPr>
      </w:pPr>
    </w:p>
    <w:p w14:paraId="1317C126" w14:textId="77777777" w:rsidR="00001A19" w:rsidRPr="00ED5277" w:rsidRDefault="00001A19">
      <w:pPr>
        <w:rPr>
          <w:rFonts w:ascii="Arial" w:eastAsia="Arial" w:hAnsi="Arial" w:cs="Arial"/>
          <w:b/>
          <w:bCs/>
        </w:rPr>
      </w:pPr>
    </w:p>
    <w:p w14:paraId="1159838F" w14:textId="77777777" w:rsidR="00001A19" w:rsidRPr="00ED5277" w:rsidRDefault="00001A19">
      <w:pPr>
        <w:rPr>
          <w:rFonts w:ascii="Arial" w:eastAsia="Arial" w:hAnsi="Arial" w:cs="Arial"/>
          <w:b/>
          <w:bCs/>
        </w:rPr>
      </w:pPr>
    </w:p>
    <w:p w14:paraId="3218B3A1" w14:textId="77777777" w:rsidR="00001A19" w:rsidRPr="00ED5277" w:rsidRDefault="00001A19">
      <w:pPr>
        <w:rPr>
          <w:rFonts w:ascii="Arial" w:eastAsia="Arial" w:hAnsi="Arial" w:cs="Arial"/>
          <w:b/>
          <w:bCs/>
        </w:rPr>
      </w:pPr>
    </w:p>
    <w:p w14:paraId="78B0078B" w14:textId="77777777" w:rsidR="00001A19" w:rsidRPr="00ED5277" w:rsidRDefault="00001A19">
      <w:pPr>
        <w:rPr>
          <w:rFonts w:ascii="Arial" w:eastAsia="Arial" w:hAnsi="Arial" w:cs="Arial"/>
          <w:b/>
          <w:bCs/>
        </w:rPr>
      </w:pPr>
    </w:p>
    <w:p w14:paraId="141E5A75" w14:textId="77777777" w:rsidR="00001A19" w:rsidRPr="00ED5277" w:rsidRDefault="00001A19">
      <w:pPr>
        <w:rPr>
          <w:rFonts w:ascii="Arial" w:eastAsia="Arial" w:hAnsi="Arial" w:cs="Arial"/>
          <w:b/>
          <w:bCs/>
        </w:rPr>
      </w:pPr>
    </w:p>
    <w:p w14:paraId="6B80F0D3" w14:textId="77777777" w:rsidR="00001A19" w:rsidRPr="00ED5277" w:rsidRDefault="00001A19">
      <w:pPr>
        <w:rPr>
          <w:rFonts w:ascii="Arial" w:eastAsia="Arial" w:hAnsi="Arial" w:cs="Arial"/>
          <w:b/>
          <w:bCs/>
        </w:rPr>
      </w:pPr>
    </w:p>
    <w:p w14:paraId="4CA3C2F1" w14:textId="77777777" w:rsidR="00001A19" w:rsidRPr="00ED5277" w:rsidRDefault="00001A19">
      <w:pPr>
        <w:rPr>
          <w:rFonts w:ascii="Arial" w:eastAsia="Arial" w:hAnsi="Arial" w:cs="Arial"/>
          <w:b/>
          <w:bCs/>
        </w:rPr>
      </w:pPr>
    </w:p>
    <w:p w14:paraId="417A6DCB" w14:textId="77777777" w:rsidR="00001A19" w:rsidRPr="00ED5277" w:rsidRDefault="00001A19">
      <w:pPr>
        <w:rPr>
          <w:rFonts w:ascii="Arial" w:eastAsia="Arial" w:hAnsi="Arial" w:cs="Arial"/>
          <w:b/>
          <w:bCs/>
        </w:rPr>
      </w:pPr>
    </w:p>
    <w:p w14:paraId="10D2E136" w14:textId="77777777" w:rsidR="00001A19" w:rsidRPr="00ED5277" w:rsidRDefault="00001A19">
      <w:pPr>
        <w:rPr>
          <w:rFonts w:ascii="Arial" w:eastAsia="Arial" w:hAnsi="Arial" w:cs="Arial"/>
          <w:b/>
          <w:bCs/>
        </w:rPr>
      </w:pPr>
    </w:p>
    <w:p w14:paraId="05168DA4" w14:textId="77777777" w:rsidR="00001A19" w:rsidRPr="00ED5277" w:rsidRDefault="00000000">
      <w:pPr>
        <w:rPr>
          <w:rFonts w:ascii="Arial" w:eastAsia="Arial" w:hAnsi="Arial" w:cs="Arial"/>
          <w:b/>
          <w:bCs/>
        </w:rPr>
      </w:pPr>
      <w:r w:rsidRPr="00ED5277">
        <w:rPr>
          <w:rFonts w:ascii="Arial" w:eastAsia="Arial" w:hAnsi="Arial" w:cs="Arial"/>
          <w:b/>
          <w:bCs/>
        </w:rPr>
        <w:t>Element 2</w:t>
      </w:r>
    </w:p>
    <w:p w14:paraId="4D4488D2" w14:textId="77777777" w:rsidR="00001A19" w:rsidRPr="00ED5277" w:rsidRDefault="00001A19">
      <w:pPr>
        <w:rPr>
          <w:rFonts w:ascii="Arial" w:eastAsia="Arial" w:hAnsi="Arial" w:cs="Arial"/>
          <w:b/>
          <w:bCs/>
        </w:rPr>
      </w:pPr>
    </w:p>
    <w:p w14:paraId="5941BBA0" w14:textId="77777777" w:rsidR="00001A19" w:rsidRPr="00ED5277" w:rsidRDefault="00000000">
      <w:pPr>
        <w:rPr>
          <w:rFonts w:ascii="Arial" w:eastAsia="Arial" w:hAnsi="Arial" w:cs="Arial"/>
          <w:b/>
          <w:bCs/>
        </w:rPr>
      </w:pPr>
      <w:r w:rsidRPr="00ED5277">
        <w:rPr>
          <w:rFonts w:ascii="Arial" w:eastAsia="Arial" w:hAnsi="Arial" w:cs="Arial"/>
          <w:b/>
          <w:bCs/>
        </w:rPr>
        <w:lastRenderedPageBreak/>
        <w:t>The National Health Service</w:t>
      </w:r>
    </w:p>
    <w:p w14:paraId="49C7D313" w14:textId="77777777" w:rsidR="00001A19" w:rsidRPr="00ED5277" w:rsidRDefault="00000000">
      <w:pPr>
        <w:rPr>
          <w:rFonts w:ascii="Arial" w:eastAsia="Arial" w:hAnsi="Arial" w:cs="Arial"/>
          <w:b/>
          <w:bCs/>
        </w:rPr>
      </w:pPr>
      <w:r w:rsidRPr="00ED5277">
        <w:rPr>
          <w:rFonts w:ascii="Arial" w:eastAsia="Arial" w:hAnsi="Arial" w:cs="Arial"/>
          <w:b/>
          <w:bCs/>
        </w:rPr>
        <w:t>Historical Context and Principles Behind Establishment</w:t>
      </w:r>
    </w:p>
    <w:p w14:paraId="11F9539A" w14:textId="77777777" w:rsidR="00001A19" w:rsidRPr="00ED5277" w:rsidRDefault="00000000">
      <w:pPr>
        <w:rPr>
          <w:rFonts w:ascii="Arial" w:eastAsia="Arial" w:hAnsi="Arial" w:cs="Arial"/>
        </w:rPr>
      </w:pPr>
      <w:r w:rsidRPr="00ED5277">
        <w:rPr>
          <w:rFonts w:ascii="Arial" w:eastAsia="Arial" w:hAnsi="Arial" w:cs="Arial"/>
        </w:rPr>
        <w:t xml:space="preserve">The National Health Service was established on 5 July 1948 after the Second World War to make healthcare </w:t>
      </w:r>
      <w:proofErr w:type="gramStart"/>
      <w:r w:rsidRPr="00ED5277">
        <w:rPr>
          <w:rFonts w:ascii="Arial" w:eastAsia="Arial" w:hAnsi="Arial" w:cs="Arial"/>
        </w:rPr>
        <w:t>a public</w:t>
      </w:r>
      <w:proofErr w:type="gramEnd"/>
      <w:r w:rsidRPr="00ED5277">
        <w:rPr>
          <w:rFonts w:ascii="Arial" w:eastAsia="Arial" w:hAnsi="Arial" w:cs="Arial"/>
        </w:rPr>
        <w:t xml:space="preserve"> right rather than a private purchase (UK Parliament, 1946). Before 1948, access to healthcare in Britain depended on income. The National Insurance Act of 1911 gave limited protection to employed men but excluded their families and the unemployed (UK Parliament, 2025). Charitable hospitals provided care for the poor but often had few resources. Government data from 1938 showed that infant deaths in Merthyr Tydfil were more than twice those in rural Surrey, revealing deep inequalities in health (Chris Galley, 2023)</w:t>
      </w:r>
    </w:p>
    <w:p w14:paraId="2508EA4D" w14:textId="65C1E8CA" w:rsidR="00001A19" w:rsidRPr="00ED5277" w:rsidRDefault="00000000">
      <w:pPr>
        <w:rPr>
          <w:rFonts w:ascii="Arial" w:eastAsia="Arial" w:hAnsi="Arial" w:cs="Arial"/>
        </w:rPr>
      </w:pPr>
      <w:r w:rsidRPr="00ED5277">
        <w:rPr>
          <w:rFonts w:ascii="Arial" w:eastAsia="Arial" w:hAnsi="Arial" w:cs="Arial"/>
        </w:rPr>
        <w:t xml:space="preserve">The experience of the Second World War helped to change attitudes to public health. Hence, Emergency Medical Service came into existence in 1939 for providing the voluntary and municipal hospitals under the national control for treating the war casualties (Williamson, 2014). This proved the viability of a unitary health system. Around the same time the 1942 report of Sir William Beveridge in favor of social insurance provided explicit support for the view that healthcare should be universal (UK Parliament, 2025b). The report created a lot of support </w:t>
      </w:r>
      <w:proofErr w:type="gramStart"/>
      <w:r w:rsidRPr="00ED5277">
        <w:rPr>
          <w:rFonts w:ascii="Arial" w:eastAsia="Arial" w:hAnsi="Arial" w:cs="Arial"/>
        </w:rPr>
        <w:t>in</w:t>
      </w:r>
      <w:proofErr w:type="gramEnd"/>
      <w:r w:rsidRPr="00ED5277">
        <w:rPr>
          <w:rFonts w:ascii="Arial" w:eastAsia="Arial" w:hAnsi="Arial" w:cs="Arial"/>
        </w:rPr>
        <w:t xml:space="preserve"> the </w:t>
      </w:r>
      <w:r w:rsidR="00ED5277" w:rsidRPr="00ED5277">
        <w:rPr>
          <w:rFonts w:ascii="Arial" w:eastAsia="Arial" w:hAnsi="Arial" w:cs="Arial"/>
        </w:rPr>
        <w:t>public,</w:t>
      </w:r>
      <w:r w:rsidRPr="00ED5277">
        <w:rPr>
          <w:rFonts w:ascii="Arial" w:eastAsia="Arial" w:hAnsi="Arial" w:cs="Arial"/>
        </w:rPr>
        <w:t xml:space="preserve"> and it had an impact on government policy. When the </w:t>
      </w:r>
      <w:r w:rsidR="00ED5277" w:rsidRPr="00ED5277">
        <w:rPr>
          <w:rFonts w:ascii="Arial" w:eastAsia="Arial" w:hAnsi="Arial" w:cs="Arial"/>
        </w:rPr>
        <w:t>Labor</w:t>
      </w:r>
      <w:r w:rsidRPr="00ED5277">
        <w:rPr>
          <w:rFonts w:ascii="Arial" w:eastAsia="Arial" w:hAnsi="Arial" w:cs="Arial"/>
        </w:rPr>
        <w:t xml:space="preserve"> government came </w:t>
      </w:r>
      <w:r w:rsidR="00ED5277" w:rsidRPr="00ED5277">
        <w:rPr>
          <w:rFonts w:ascii="Arial" w:eastAsia="Arial" w:hAnsi="Arial" w:cs="Arial"/>
        </w:rPr>
        <w:t>to</w:t>
      </w:r>
      <w:r w:rsidRPr="00ED5277">
        <w:rPr>
          <w:rFonts w:ascii="Arial" w:eastAsia="Arial" w:hAnsi="Arial" w:cs="Arial"/>
        </w:rPr>
        <w:t xml:space="preserve"> power in 1945, the Minister of Health, Aneurin </w:t>
      </w:r>
      <w:proofErr w:type="gramStart"/>
      <w:r w:rsidRPr="00ED5277">
        <w:rPr>
          <w:rFonts w:ascii="Arial" w:eastAsia="Arial" w:hAnsi="Arial" w:cs="Arial"/>
        </w:rPr>
        <w:t>Bevan</w:t>
      </w:r>
      <w:proofErr w:type="gramEnd"/>
      <w:r w:rsidRPr="00ED5277">
        <w:rPr>
          <w:rFonts w:ascii="Arial" w:eastAsia="Arial" w:hAnsi="Arial" w:cs="Arial"/>
        </w:rPr>
        <w:t xml:space="preserve"> came up with the National Health Service Act of 1946 (Gorsky et al., 2014). Doctors were allowed to keep independent, rather than be state employees, which </w:t>
      </w:r>
      <w:r w:rsidR="00ED5277" w:rsidRPr="00ED5277">
        <w:rPr>
          <w:rFonts w:ascii="Arial" w:eastAsia="Arial" w:hAnsi="Arial" w:cs="Arial"/>
        </w:rPr>
        <w:t>gained</w:t>
      </w:r>
      <w:r w:rsidRPr="00ED5277">
        <w:rPr>
          <w:rFonts w:ascii="Arial" w:eastAsia="Arial" w:hAnsi="Arial" w:cs="Arial"/>
        </w:rPr>
        <w:t xml:space="preserve"> the cooperation of doctors. Within one year of the launch of the service in 1948, almost all citizens had signed up with a doctor, proving the demand for equitable access to care.</w:t>
      </w:r>
    </w:p>
    <w:p w14:paraId="62115E04" w14:textId="77777777" w:rsidR="00001A19" w:rsidRPr="00ED5277" w:rsidRDefault="00000000">
      <w:pPr>
        <w:rPr>
          <w:rFonts w:ascii="Arial" w:eastAsia="Arial" w:hAnsi="Arial" w:cs="Arial"/>
          <w:b/>
          <w:bCs/>
        </w:rPr>
      </w:pPr>
      <w:r w:rsidRPr="00ED5277">
        <w:rPr>
          <w:rFonts w:ascii="Arial" w:eastAsia="Arial" w:hAnsi="Arial" w:cs="Arial"/>
          <w:b/>
          <w:bCs/>
        </w:rPr>
        <w:t>Current Structure and Functioning</w:t>
      </w:r>
    </w:p>
    <w:p w14:paraId="4F50BBAF" w14:textId="775847F6" w:rsidR="00001A19" w:rsidRPr="00ED5277" w:rsidRDefault="00000000">
      <w:pPr>
        <w:rPr>
          <w:rFonts w:ascii="Arial" w:eastAsia="Arial" w:hAnsi="Arial" w:cs="Arial"/>
        </w:rPr>
      </w:pPr>
      <w:r w:rsidRPr="00ED5277">
        <w:rPr>
          <w:rFonts w:ascii="Arial" w:eastAsia="Arial" w:hAnsi="Arial" w:cs="Arial"/>
        </w:rPr>
        <w:t xml:space="preserve">At first, the service was divided into three parts: the hospitals run by regional boards, general practitioners delivering primary care and community services run by the local councils. This design provided for easy national control but difficult coordination. In 1974, the government created regional and area health authorities in a bid to better </w:t>
      </w:r>
      <w:r w:rsidR="00ED5277" w:rsidRPr="00ED5277">
        <w:rPr>
          <w:rFonts w:ascii="Arial" w:eastAsia="Arial" w:hAnsi="Arial" w:cs="Arial"/>
        </w:rPr>
        <w:t>organize</w:t>
      </w:r>
      <w:r w:rsidRPr="00ED5277">
        <w:rPr>
          <w:rFonts w:ascii="Arial" w:eastAsia="Arial" w:hAnsi="Arial" w:cs="Arial"/>
        </w:rPr>
        <w:t xml:space="preserve"> them, but this led to more management costs and confusion (NHS, 2023).</w:t>
      </w:r>
    </w:p>
    <w:p w14:paraId="673D088E" w14:textId="77777777" w:rsidR="00001A19" w:rsidRPr="00ED5277" w:rsidRDefault="00000000">
      <w:pPr>
        <w:rPr>
          <w:rFonts w:ascii="Arial" w:eastAsia="Arial" w:hAnsi="Arial" w:cs="Arial"/>
        </w:rPr>
      </w:pPr>
      <w:r w:rsidRPr="00ED5277">
        <w:rPr>
          <w:rFonts w:ascii="Arial" w:eastAsia="Arial" w:hAnsi="Arial" w:cs="Arial"/>
        </w:rPr>
        <w:t xml:space="preserve">Major changes were brought under the rule of John Major by the legislation of the National Health Service and Community Care Act of 1990. It created an internal market, which separated the purchasers from healthcare providers. This was an attempt to make things more </w:t>
      </w:r>
      <w:proofErr w:type="gramStart"/>
      <w:r w:rsidRPr="00ED5277">
        <w:rPr>
          <w:rFonts w:ascii="Arial" w:eastAsia="Arial" w:hAnsi="Arial" w:cs="Arial"/>
        </w:rPr>
        <w:t>efficient</w:t>
      </w:r>
      <w:proofErr w:type="gramEnd"/>
      <w:r w:rsidRPr="00ED5277">
        <w:rPr>
          <w:rFonts w:ascii="Arial" w:eastAsia="Arial" w:hAnsi="Arial" w:cs="Arial"/>
        </w:rPr>
        <w:t xml:space="preserve"> however, also it served to promote competition between hospitals. Some improvements in efficiency were made, but cooperation suffered, and sometimes financial priorities took over long-range planning. The reforms illustrated the extent to which market logic was difficult to apply to a universal public service.</w:t>
      </w:r>
    </w:p>
    <w:p w14:paraId="2B7E2394" w14:textId="0DD9B835" w:rsidR="00001A19" w:rsidRPr="00ED5277" w:rsidRDefault="00000000">
      <w:pPr>
        <w:rPr>
          <w:rFonts w:ascii="Arial" w:eastAsia="Arial" w:hAnsi="Arial" w:cs="Arial"/>
        </w:rPr>
      </w:pPr>
      <w:r w:rsidRPr="00ED5277">
        <w:rPr>
          <w:rFonts w:ascii="Arial" w:eastAsia="Arial" w:hAnsi="Arial" w:cs="Arial"/>
        </w:rPr>
        <w:t xml:space="preserve">In the early 2000s, the </w:t>
      </w:r>
      <w:r w:rsidR="00ED5277" w:rsidRPr="00ED5277">
        <w:rPr>
          <w:rFonts w:ascii="Arial" w:eastAsia="Arial" w:hAnsi="Arial" w:cs="Arial"/>
        </w:rPr>
        <w:t>Labor</w:t>
      </w:r>
      <w:r w:rsidRPr="00ED5277">
        <w:rPr>
          <w:rFonts w:ascii="Arial" w:eastAsia="Arial" w:hAnsi="Arial" w:cs="Arial"/>
        </w:rPr>
        <w:t xml:space="preserve"> government introduced NHS Foundation Trusts </w:t>
      </w:r>
      <w:proofErr w:type="gramStart"/>
      <w:r w:rsidRPr="00ED5277">
        <w:rPr>
          <w:rFonts w:ascii="Arial" w:eastAsia="Arial" w:hAnsi="Arial" w:cs="Arial"/>
        </w:rPr>
        <w:t>in order to</w:t>
      </w:r>
      <w:proofErr w:type="gramEnd"/>
      <w:r w:rsidRPr="00ED5277">
        <w:rPr>
          <w:rFonts w:ascii="Arial" w:eastAsia="Arial" w:hAnsi="Arial" w:cs="Arial"/>
        </w:rPr>
        <w:t xml:space="preserve"> allow hospitals more freedom whilst still ensuring that they remain accountable to the public (Department of Health, 2010). Successful hospitals like </w:t>
      </w:r>
      <w:r w:rsidR="00ED5277" w:rsidRPr="00ED5277">
        <w:rPr>
          <w:rFonts w:ascii="Arial" w:eastAsia="Arial" w:hAnsi="Arial" w:cs="Arial"/>
        </w:rPr>
        <w:t>Moorfield’s</w:t>
      </w:r>
      <w:r w:rsidRPr="00ED5277">
        <w:rPr>
          <w:rFonts w:ascii="Arial" w:eastAsia="Arial" w:hAnsi="Arial" w:cs="Arial"/>
        </w:rPr>
        <w:t xml:space="preserve"> Eye Hospital were able to use this independence to innovate but the poorer areas struggled to keep up. </w:t>
      </w:r>
      <w:r w:rsidR="00ED5277" w:rsidRPr="00ED5277">
        <w:rPr>
          <w:rFonts w:ascii="Arial" w:eastAsia="Arial" w:hAnsi="Arial" w:cs="Arial"/>
        </w:rPr>
        <w:t>Decentralization</w:t>
      </w:r>
      <w:r w:rsidRPr="00ED5277">
        <w:rPr>
          <w:rFonts w:ascii="Arial" w:eastAsia="Arial" w:hAnsi="Arial" w:cs="Arial"/>
        </w:rPr>
        <w:t xml:space="preserve"> had the advantage of flexibility, but the disadvantage of greater </w:t>
      </w:r>
      <w:proofErr w:type="gramStart"/>
      <w:r w:rsidRPr="00ED5277">
        <w:rPr>
          <w:rFonts w:ascii="Arial" w:eastAsia="Arial" w:hAnsi="Arial" w:cs="Arial"/>
        </w:rPr>
        <w:t>inequality as it</w:t>
      </w:r>
      <w:proofErr w:type="gramEnd"/>
      <w:r w:rsidRPr="00ED5277">
        <w:rPr>
          <w:rFonts w:ascii="Arial" w:eastAsia="Arial" w:hAnsi="Arial" w:cs="Arial"/>
        </w:rPr>
        <w:t xml:space="preserve"> proved that local autonomy was not a substitute for fair national investment.</w:t>
      </w:r>
    </w:p>
    <w:p w14:paraId="21279F23" w14:textId="2CEDF5B0" w:rsidR="00001A19" w:rsidRPr="00ED5277" w:rsidRDefault="00000000">
      <w:pPr>
        <w:rPr>
          <w:rFonts w:ascii="Arial" w:eastAsia="Arial" w:hAnsi="Arial" w:cs="Arial"/>
        </w:rPr>
      </w:pPr>
      <w:r w:rsidRPr="00ED5277">
        <w:rPr>
          <w:rFonts w:ascii="Arial" w:eastAsia="Arial" w:hAnsi="Arial" w:cs="Arial"/>
        </w:rPr>
        <w:t xml:space="preserve">After 1999, by the process of devolution, the control of its own health systems was brought back to Scotland, Wales and Northern Ireland. In England the Health and Care Act of 2022 created Integrated Care Systems to ensure the linking of hospital, general practitioners, and social care. The Greater Manchester model has reduced the numbers of emergency admissions through coordination at the local level but a study by the Nuffield Trust believes </w:t>
      </w:r>
      <w:r w:rsidRPr="00ED5277">
        <w:rPr>
          <w:rFonts w:ascii="Arial" w:eastAsia="Arial" w:hAnsi="Arial" w:cs="Arial"/>
        </w:rPr>
        <w:lastRenderedPageBreak/>
        <w:t xml:space="preserve">that constant </w:t>
      </w:r>
      <w:r w:rsidR="00ED5277" w:rsidRPr="00ED5277">
        <w:rPr>
          <w:rFonts w:ascii="Arial" w:eastAsia="Arial" w:hAnsi="Arial" w:cs="Arial"/>
        </w:rPr>
        <w:t>reorganizations</w:t>
      </w:r>
      <w:r w:rsidRPr="00ED5277">
        <w:rPr>
          <w:rFonts w:ascii="Arial" w:eastAsia="Arial" w:hAnsi="Arial" w:cs="Arial"/>
        </w:rPr>
        <w:t xml:space="preserve"> destroy accountability and waste resources (Timmins, 2013). The structure is nevertheless </w:t>
      </w:r>
      <w:r w:rsidR="00ED5277" w:rsidRPr="00ED5277">
        <w:rPr>
          <w:rFonts w:ascii="Arial" w:eastAsia="Arial" w:hAnsi="Arial" w:cs="Arial"/>
        </w:rPr>
        <w:t>complicated,</w:t>
      </w:r>
      <w:r w:rsidRPr="00ED5277">
        <w:rPr>
          <w:rFonts w:ascii="Arial" w:eastAsia="Arial" w:hAnsi="Arial" w:cs="Arial"/>
        </w:rPr>
        <w:t xml:space="preserve"> and this complication prevents consistent performance.</w:t>
      </w:r>
    </w:p>
    <w:p w14:paraId="0810C84D" w14:textId="77777777" w:rsidR="00001A19" w:rsidRPr="00ED5277" w:rsidRDefault="00000000">
      <w:pPr>
        <w:rPr>
          <w:rFonts w:ascii="Arial" w:eastAsia="Arial" w:hAnsi="Arial" w:cs="Arial"/>
        </w:rPr>
      </w:pPr>
      <w:r w:rsidRPr="00ED5277">
        <w:rPr>
          <w:rFonts w:ascii="Arial" w:eastAsia="Arial" w:hAnsi="Arial" w:cs="Arial"/>
        </w:rPr>
        <w:t>Today, the National Health Service is still delivering care to all but is severely strapped for cash. By the end of 2023 there were more than seven million people waiting for treatment in England and more than forty thousand places were still vacant in nursing. The Commonwealth Fund rated the service the best for fairness and worst for access (The Health Foundation, 2024). These outcomes highlight the fact that, even though the founding ethical principle is still in place, management instability and funding gaps mean that it is unable to work efficiently. The National Health Service was built on the foundation of co-operation and social solidarity. It nevertheless expresses the ideal that healthcare should be grounded in need and not wealth. However, in its structure there is now seen a system trapped between a need for professional freedom, a need for government control, and a need for limited budgets. Future success will require less constant restructuring and more sustained funding, effective leadership and clear long-term planning. And this is only if the NHS continues to provide fair and reliable care to all.</w:t>
      </w:r>
    </w:p>
    <w:p w14:paraId="06E0E980" w14:textId="77777777" w:rsidR="00001A19" w:rsidRPr="00ED5277" w:rsidRDefault="00001A19">
      <w:pPr>
        <w:rPr>
          <w:rFonts w:ascii="Arial" w:eastAsia="Arial" w:hAnsi="Arial" w:cs="Arial"/>
        </w:rPr>
      </w:pPr>
    </w:p>
    <w:p w14:paraId="7D6A7776" w14:textId="77777777" w:rsidR="00001A19" w:rsidRPr="00ED5277" w:rsidRDefault="00001A19">
      <w:pPr>
        <w:rPr>
          <w:rFonts w:ascii="Arial" w:eastAsia="Arial" w:hAnsi="Arial" w:cs="Arial"/>
        </w:rPr>
      </w:pPr>
    </w:p>
    <w:p w14:paraId="7875F142" w14:textId="77777777" w:rsidR="00001A19" w:rsidRPr="00ED5277" w:rsidRDefault="00001A19">
      <w:pPr>
        <w:rPr>
          <w:rFonts w:ascii="Arial" w:eastAsia="Arial" w:hAnsi="Arial" w:cs="Arial"/>
        </w:rPr>
      </w:pPr>
    </w:p>
    <w:p w14:paraId="5FB579DE" w14:textId="77777777" w:rsidR="00001A19" w:rsidRPr="00ED5277" w:rsidRDefault="00001A19">
      <w:pPr>
        <w:rPr>
          <w:rFonts w:ascii="Arial" w:eastAsia="Arial" w:hAnsi="Arial" w:cs="Arial"/>
        </w:rPr>
      </w:pPr>
    </w:p>
    <w:p w14:paraId="50113475" w14:textId="77777777" w:rsidR="00001A19" w:rsidRPr="00ED5277" w:rsidRDefault="00001A19">
      <w:pPr>
        <w:rPr>
          <w:rFonts w:ascii="Arial" w:eastAsia="Arial" w:hAnsi="Arial" w:cs="Arial"/>
        </w:rPr>
      </w:pPr>
    </w:p>
    <w:p w14:paraId="3F163B2E" w14:textId="77777777" w:rsidR="00001A19" w:rsidRPr="00ED5277" w:rsidRDefault="00001A19">
      <w:pPr>
        <w:rPr>
          <w:rFonts w:ascii="Arial" w:eastAsia="Arial" w:hAnsi="Arial" w:cs="Arial"/>
        </w:rPr>
      </w:pPr>
    </w:p>
    <w:p w14:paraId="52E922E9" w14:textId="77777777" w:rsidR="00001A19" w:rsidRPr="00ED5277" w:rsidRDefault="00001A19">
      <w:pPr>
        <w:rPr>
          <w:rFonts w:ascii="Arial" w:eastAsia="Arial" w:hAnsi="Arial" w:cs="Arial"/>
        </w:rPr>
      </w:pPr>
    </w:p>
    <w:p w14:paraId="54ED1E42" w14:textId="77777777" w:rsidR="00001A19" w:rsidRPr="00ED5277" w:rsidRDefault="00001A19">
      <w:pPr>
        <w:rPr>
          <w:rFonts w:ascii="Arial" w:eastAsia="Arial" w:hAnsi="Arial" w:cs="Arial"/>
        </w:rPr>
      </w:pPr>
    </w:p>
    <w:p w14:paraId="27AEAD1C" w14:textId="77777777" w:rsidR="00001A19" w:rsidRPr="00ED5277" w:rsidRDefault="00001A19">
      <w:pPr>
        <w:rPr>
          <w:rFonts w:ascii="Arial" w:eastAsia="Arial" w:hAnsi="Arial" w:cs="Arial"/>
        </w:rPr>
      </w:pPr>
    </w:p>
    <w:p w14:paraId="7333CA8F" w14:textId="77777777" w:rsidR="00001A19" w:rsidRPr="00ED5277" w:rsidRDefault="00001A19">
      <w:pPr>
        <w:rPr>
          <w:rFonts w:ascii="Arial" w:eastAsia="Arial" w:hAnsi="Arial" w:cs="Arial"/>
        </w:rPr>
      </w:pPr>
    </w:p>
    <w:p w14:paraId="24EEC36A" w14:textId="77777777" w:rsidR="00001A19" w:rsidRPr="00ED5277" w:rsidRDefault="00001A19">
      <w:pPr>
        <w:rPr>
          <w:rFonts w:ascii="Arial" w:eastAsia="Arial" w:hAnsi="Arial" w:cs="Arial"/>
        </w:rPr>
      </w:pPr>
    </w:p>
    <w:p w14:paraId="76CB8FE6" w14:textId="77777777" w:rsidR="00001A19" w:rsidRPr="00ED5277" w:rsidRDefault="00001A19">
      <w:pPr>
        <w:rPr>
          <w:rFonts w:ascii="Arial" w:eastAsia="Arial" w:hAnsi="Arial" w:cs="Arial"/>
        </w:rPr>
      </w:pPr>
    </w:p>
    <w:p w14:paraId="7A5C54F3" w14:textId="77777777" w:rsidR="00001A19" w:rsidRPr="00ED5277" w:rsidRDefault="00001A19">
      <w:pPr>
        <w:rPr>
          <w:rFonts w:ascii="Arial" w:eastAsia="Arial" w:hAnsi="Arial" w:cs="Arial"/>
        </w:rPr>
      </w:pPr>
    </w:p>
    <w:p w14:paraId="4333EBC8" w14:textId="77777777" w:rsidR="00001A19" w:rsidRPr="00ED5277" w:rsidRDefault="00001A19">
      <w:pPr>
        <w:rPr>
          <w:rFonts w:ascii="Arial" w:eastAsia="Arial" w:hAnsi="Arial" w:cs="Arial"/>
        </w:rPr>
      </w:pPr>
    </w:p>
    <w:p w14:paraId="39E93B16" w14:textId="77777777" w:rsidR="00001A19" w:rsidRPr="00ED5277" w:rsidRDefault="00001A19">
      <w:pPr>
        <w:rPr>
          <w:rFonts w:ascii="Arial" w:eastAsia="Arial" w:hAnsi="Arial" w:cs="Arial"/>
        </w:rPr>
      </w:pPr>
    </w:p>
    <w:p w14:paraId="438C9641" w14:textId="77777777" w:rsidR="00001A19" w:rsidRPr="00ED5277" w:rsidRDefault="00001A19">
      <w:pPr>
        <w:rPr>
          <w:rFonts w:ascii="Arial" w:eastAsia="Arial" w:hAnsi="Arial" w:cs="Arial"/>
        </w:rPr>
      </w:pPr>
    </w:p>
    <w:p w14:paraId="036D1E99" w14:textId="77777777" w:rsidR="00001A19" w:rsidRPr="00ED5277" w:rsidRDefault="00001A19">
      <w:pPr>
        <w:rPr>
          <w:rFonts w:ascii="Arial" w:eastAsia="Arial" w:hAnsi="Arial" w:cs="Arial"/>
        </w:rPr>
      </w:pPr>
    </w:p>
    <w:p w14:paraId="0C3B850A" w14:textId="77777777" w:rsidR="00001A19" w:rsidRPr="00ED5277" w:rsidRDefault="00001A19">
      <w:pPr>
        <w:rPr>
          <w:rFonts w:ascii="Arial" w:eastAsia="Arial" w:hAnsi="Arial" w:cs="Arial"/>
        </w:rPr>
      </w:pPr>
    </w:p>
    <w:p w14:paraId="626B7F9C" w14:textId="77777777" w:rsidR="00001A19" w:rsidRPr="00ED5277" w:rsidRDefault="00001A19">
      <w:pPr>
        <w:rPr>
          <w:rFonts w:ascii="Arial" w:eastAsia="Arial" w:hAnsi="Arial" w:cs="Arial"/>
        </w:rPr>
      </w:pPr>
    </w:p>
    <w:p w14:paraId="510B7F9A" w14:textId="77777777" w:rsidR="00001A19" w:rsidRPr="00ED5277" w:rsidRDefault="00001A19">
      <w:pPr>
        <w:rPr>
          <w:rFonts w:ascii="Arial" w:eastAsia="Arial" w:hAnsi="Arial" w:cs="Arial"/>
        </w:rPr>
      </w:pPr>
    </w:p>
    <w:p w14:paraId="412B216B" w14:textId="77777777" w:rsidR="00001A19" w:rsidRPr="00ED5277" w:rsidRDefault="00001A19">
      <w:pPr>
        <w:rPr>
          <w:rFonts w:ascii="Arial" w:eastAsia="Arial" w:hAnsi="Arial" w:cs="Arial"/>
        </w:rPr>
      </w:pPr>
    </w:p>
    <w:p w14:paraId="3B58D9BA" w14:textId="77777777" w:rsidR="00ED5277" w:rsidRPr="00ED5277" w:rsidRDefault="00ED5277">
      <w:pPr>
        <w:jc w:val="center"/>
        <w:rPr>
          <w:rFonts w:ascii="Arial" w:eastAsia="Arial" w:hAnsi="Arial" w:cs="Arial"/>
          <w:b/>
          <w:bCs/>
        </w:rPr>
      </w:pPr>
    </w:p>
    <w:p w14:paraId="2EADE3FB" w14:textId="10CD9EFC" w:rsidR="00001A19" w:rsidRPr="00ED5277" w:rsidRDefault="00000000">
      <w:pPr>
        <w:jc w:val="center"/>
        <w:rPr>
          <w:rFonts w:ascii="Arial" w:eastAsia="Arial" w:hAnsi="Arial" w:cs="Arial"/>
          <w:b/>
          <w:bCs/>
        </w:rPr>
      </w:pPr>
      <w:r w:rsidRPr="00ED5277">
        <w:rPr>
          <w:rFonts w:ascii="Arial" w:eastAsia="Arial" w:hAnsi="Arial" w:cs="Arial"/>
          <w:b/>
          <w:bCs/>
        </w:rPr>
        <w:t>References</w:t>
      </w:r>
    </w:p>
    <w:p w14:paraId="600FF36A"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Care Quality Commission (2024) </w:t>
      </w:r>
      <w:r w:rsidRPr="00ED5277">
        <w:rPr>
          <w:rFonts w:ascii="Arial" w:eastAsia="Arial" w:hAnsi="Arial" w:cs="Arial"/>
          <w:i/>
          <w:iCs/>
        </w:rPr>
        <w:t>Staffing - Care Quality Commission.</w:t>
      </w:r>
      <w:r w:rsidRPr="00ED5277">
        <w:rPr>
          <w:rFonts w:ascii="Arial" w:eastAsia="Arial" w:hAnsi="Arial" w:cs="Arial"/>
        </w:rPr>
        <w:t xml:space="preserve"> [online] CQC.org.uk. Available at: </w:t>
      </w:r>
      <w:hyperlink r:id="rId11">
        <w:r w:rsidRPr="00ED5277">
          <w:rPr>
            <w:rFonts w:ascii="Arial" w:eastAsia="Arial" w:hAnsi="Arial" w:cs="Arial"/>
            <w:color w:val="0563C1"/>
            <w:u w:val="single"/>
          </w:rPr>
          <w:t>https://www.cqc.org.uk/publications/maternity-services-2022-2024/staffing</w:t>
        </w:r>
      </w:hyperlink>
    </w:p>
    <w:p w14:paraId="5EFA248A"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Chris Galley (2023) </w:t>
      </w:r>
      <w:r w:rsidRPr="00ED5277">
        <w:rPr>
          <w:rFonts w:ascii="Arial" w:eastAsia="Arial" w:hAnsi="Arial" w:cs="Arial"/>
          <w:i/>
          <w:iCs/>
        </w:rPr>
        <w:t>Infant mortality book.</w:t>
      </w:r>
      <w:r w:rsidRPr="00ED5277">
        <w:rPr>
          <w:rFonts w:ascii="Arial" w:eastAsia="Arial" w:hAnsi="Arial" w:cs="Arial"/>
        </w:rPr>
        <w:t xml:space="preserve"> [online] Available at: </w:t>
      </w:r>
      <w:hyperlink r:id="rId12">
        <w:r w:rsidRPr="00ED5277">
          <w:rPr>
            <w:rFonts w:ascii="Arial" w:eastAsia="Arial" w:hAnsi="Arial" w:cs="Arial"/>
            <w:color w:val="0563C1"/>
            <w:u w:val="single"/>
          </w:rPr>
          <w:t>http://www.localpopulationstudies.org.uk/wp-content/uploads/GALLEY-Infant-mortality-book.pdf</w:t>
        </w:r>
      </w:hyperlink>
    </w:p>
    <w:p w14:paraId="3D58A5B7"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Department of Health (2010) </w:t>
      </w:r>
      <w:r w:rsidRPr="00ED5277">
        <w:rPr>
          <w:rFonts w:ascii="Arial" w:eastAsia="Arial" w:hAnsi="Arial" w:cs="Arial"/>
          <w:i/>
          <w:iCs/>
        </w:rPr>
        <w:t>Equity and excellence: Liberating the NHS.</w:t>
      </w:r>
      <w:r w:rsidRPr="00ED5277">
        <w:rPr>
          <w:rFonts w:ascii="Arial" w:eastAsia="Arial" w:hAnsi="Arial" w:cs="Arial"/>
        </w:rPr>
        <w:t xml:space="preserve"> [online] Available at: </w:t>
      </w:r>
      <w:hyperlink r:id="rId13">
        <w:r w:rsidRPr="00ED5277">
          <w:rPr>
            <w:rFonts w:ascii="Arial" w:eastAsia="Arial" w:hAnsi="Arial" w:cs="Arial"/>
            <w:color w:val="0563C1"/>
            <w:u w:val="single"/>
          </w:rPr>
          <w:t>https://assets.publishing.service.gov.uk/media/5a7c5299e5274a2041cf33af/dh_117794.pdf</w:t>
        </w:r>
      </w:hyperlink>
    </w:p>
    <w:p w14:paraId="0CDA2052"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Gorsky, M., Lock, K. and Hogarth, S. (2014) ‘Public health and English local government: historical perspectives on the impact of "returning home"’, </w:t>
      </w:r>
      <w:r w:rsidRPr="00ED5277">
        <w:rPr>
          <w:rFonts w:ascii="Arial" w:eastAsia="Arial" w:hAnsi="Arial" w:cs="Arial"/>
          <w:i/>
          <w:iCs/>
        </w:rPr>
        <w:t>Journal of Public Health (</w:t>
      </w:r>
      <w:proofErr w:type="spellStart"/>
      <w:r w:rsidRPr="00ED5277">
        <w:rPr>
          <w:rFonts w:ascii="Arial" w:eastAsia="Arial" w:hAnsi="Arial" w:cs="Arial"/>
          <w:i/>
          <w:iCs/>
        </w:rPr>
        <w:t>Oxf</w:t>
      </w:r>
      <w:proofErr w:type="spellEnd"/>
      <w:r w:rsidRPr="00ED5277">
        <w:rPr>
          <w:rFonts w:ascii="Arial" w:eastAsia="Arial" w:hAnsi="Arial" w:cs="Arial"/>
          <w:i/>
          <w:iCs/>
        </w:rPr>
        <w:t>)</w:t>
      </w:r>
      <w:r w:rsidRPr="00ED5277">
        <w:rPr>
          <w:rFonts w:ascii="Arial" w:eastAsia="Arial" w:hAnsi="Arial" w:cs="Arial"/>
        </w:rPr>
        <w:t xml:space="preserve">, 36(4), pp. 546–551. </w:t>
      </w:r>
      <w:proofErr w:type="spellStart"/>
      <w:r w:rsidRPr="00ED5277">
        <w:rPr>
          <w:rFonts w:ascii="Arial" w:eastAsia="Arial" w:hAnsi="Arial" w:cs="Arial"/>
        </w:rPr>
        <w:t>doi</w:t>
      </w:r>
      <w:proofErr w:type="spellEnd"/>
      <w:r w:rsidRPr="00ED5277">
        <w:rPr>
          <w:rFonts w:ascii="Arial" w:eastAsia="Arial" w:hAnsi="Arial" w:cs="Arial"/>
        </w:rPr>
        <w:t>: https://doi.org/10.1093/pubmed/fdt131</w:t>
      </w:r>
    </w:p>
    <w:p w14:paraId="27169E2A"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House of Commons (2021) </w:t>
      </w:r>
      <w:r w:rsidRPr="00ED5277">
        <w:rPr>
          <w:rFonts w:ascii="Arial" w:eastAsia="Arial" w:hAnsi="Arial" w:cs="Arial"/>
          <w:i/>
          <w:iCs/>
        </w:rPr>
        <w:t>The safety of maternity services in England: Eleventh Report of Session 2021–22.</w:t>
      </w:r>
      <w:r w:rsidRPr="00ED5277">
        <w:rPr>
          <w:rFonts w:ascii="Arial" w:eastAsia="Arial" w:hAnsi="Arial" w:cs="Arial"/>
        </w:rPr>
        <w:t xml:space="preserve"> London: UK Parliament. Available at: </w:t>
      </w:r>
      <w:hyperlink r:id="rId14">
        <w:r w:rsidRPr="00ED5277">
          <w:rPr>
            <w:rFonts w:ascii="Arial" w:eastAsia="Arial" w:hAnsi="Arial" w:cs="Arial"/>
            <w:color w:val="0563C1"/>
            <w:u w:val="single"/>
          </w:rPr>
          <w:t>https://committees.parliament.uk/publications/6034/documents/68141/default/</w:t>
        </w:r>
      </w:hyperlink>
      <w:r w:rsidRPr="00ED5277">
        <w:rPr>
          <w:rFonts w:ascii="Arial" w:eastAsia="Arial" w:hAnsi="Arial" w:cs="Arial"/>
        </w:rPr>
        <w:t xml:space="preserve"> (Accessed: 12 November 2025).</w:t>
      </w:r>
    </w:p>
    <w:p w14:paraId="29BE89D3"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MacGregor, B., Shakespeare, J., Kotnis, R., Knight, M. and Hillman, S. (2022) ‘MBRRACE 2021: preventing maternal deaths — we are all part of the solution’, </w:t>
      </w:r>
      <w:r w:rsidRPr="00ED5277">
        <w:rPr>
          <w:rFonts w:ascii="Arial" w:eastAsia="Arial" w:hAnsi="Arial" w:cs="Arial"/>
          <w:i/>
          <w:iCs/>
        </w:rPr>
        <w:t>British Journal of General Practice</w:t>
      </w:r>
      <w:r w:rsidRPr="00ED5277">
        <w:rPr>
          <w:rFonts w:ascii="Arial" w:eastAsia="Arial" w:hAnsi="Arial" w:cs="Arial"/>
        </w:rPr>
        <w:t xml:space="preserve">, 72(717), pp. 148–149. </w:t>
      </w:r>
      <w:proofErr w:type="spellStart"/>
      <w:r w:rsidRPr="00ED5277">
        <w:rPr>
          <w:rFonts w:ascii="Arial" w:eastAsia="Arial" w:hAnsi="Arial" w:cs="Arial"/>
        </w:rPr>
        <w:t>doi</w:t>
      </w:r>
      <w:proofErr w:type="spellEnd"/>
      <w:r w:rsidRPr="00ED5277">
        <w:rPr>
          <w:rFonts w:ascii="Arial" w:eastAsia="Arial" w:hAnsi="Arial" w:cs="Arial"/>
        </w:rPr>
        <w:t xml:space="preserve">: </w:t>
      </w:r>
      <w:hyperlink r:id="rId15">
        <w:r w:rsidRPr="00ED5277">
          <w:rPr>
            <w:rFonts w:ascii="Arial" w:eastAsia="Arial" w:hAnsi="Arial" w:cs="Arial"/>
            <w:color w:val="0563C1"/>
            <w:u w:val="single"/>
          </w:rPr>
          <w:t>https://doi.org/10.3399/bjgp22X718829</w:t>
        </w:r>
      </w:hyperlink>
    </w:p>
    <w:p w14:paraId="0DBA31F5"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NHS (2023) </w:t>
      </w:r>
      <w:r w:rsidRPr="00ED5277">
        <w:rPr>
          <w:rFonts w:ascii="Arial" w:eastAsia="Arial" w:hAnsi="Arial" w:cs="Arial"/>
          <w:i/>
          <w:iCs/>
        </w:rPr>
        <w:t>NHS History.</w:t>
      </w:r>
      <w:r w:rsidRPr="00ED5277">
        <w:rPr>
          <w:rFonts w:ascii="Arial" w:eastAsia="Arial" w:hAnsi="Arial" w:cs="Arial"/>
        </w:rPr>
        <w:t xml:space="preserve"> [online] England.nhs.uk. Available at: </w:t>
      </w:r>
      <w:hyperlink r:id="rId16">
        <w:r w:rsidRPr="00ED5277">
          <w:rPr>
            <w:rFonts w:ascii="Arial" w:eastAsia="Arial" w:hAnsi="Arial" w:cs="Arial"/>
            <w:color w:val="0563C1"/>
            <w:u w:val="single"/>
          </w:rPr>
          <w:t>https://www.england.nhs.uk/about/nhs-history/</w:t>
        </w:r>
      </w:hyperlink>
    </w:p>
    <w:p w14:paraId="3B1B305D"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NICE (2023) </w:t>
      </w:r>
      <w:r w:rsidRPr="00ED5277">
        <w:rPr>
          <w:rFonts w:ascii="Arial" w:eastAsia="Arial" w:hAnsi="Arial" w:cs="Arial"/>
          <w:i/>
          <w:iCs/>
        </w:rPr>
        <w:t>Antenatal Care: Quality Standard.</w:t>
      </w:r>
      <w:r w:rsidRPr="00ED5277">
        <w:rPr>
          <w:rFonts w:ascii="Arial" w:eastAsia="Arial" w:hAnsi="Arial" w:cs="Arial"/>
        </w:rPr>
        <w:t xml:space="preserve"> [online] Available at: </w:t>
      </w:r>
      <w:hyperlink r:id="rId17">
        <w:r w:rsidRPr="00ED5277">
          <w:rPr>
            <w:rFonts w:ascii="Arial" w:eastAsia="Arial" w:hAnsi="Arial" w:cs="Arial"/>
            <w:color w:val="0563C1"/>
            <w:u w:val="single"/>
          </w:rPr>
          <w:t>https://www.nice.org.uk/guidance/qs22/resources/antenatal-care-pdf-2098542418117</w:t>
        </w:r>
      </w:hyperlink>
    </w:p>
    <w:p w14:paraId="1D1B27A5"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Office for National Statistics (2024) </w:t>
      </w:r>
      <w:r w:rsidRPr="00ED5277">
        <w:rPr>
          <w:rFonts w:ascii="Arial" w:eastAsia="Arial" w:hAnsi="Arial" w:cs="Arial"/>
          <w:i/>
          <w:iCs/>
        </w:rPr>
        <w:t>Births in England and Wales.</w:t>
      </w:r>
      <w:r w:rsidRPr="00ED5277">
        <w:rPr>
          <w:rFonts w:ascii="Arial" w:eastAsia="Arial" w:hAnsi="Arial" w:cs="Arial"/>
        </w:rPr>
        <w:t xml:space="preserve"> [online] ONS.gov.uk. Available at: </w:t>
      </w:r>
      <w:hyperlink r:id="rId18">
        <w:r w:rsidRPr="00ED5277">
          <w:rPr>
            <w:rFonts w:ascii="Arial" w:eastAsia="Arial" w:hAnsi="Arial" w:cs="Arial"/>
            <w:color w:val="0563C1"/>
            <w:u w:val="single"/>
          </w:rPr>
          <w:t>https://www.ons.gov.uk/peoplepopulationandcommunity/birthsdeathsandmarriages/livebirths/bulletins/birthsummarytablesenglandandwales/2023</w:t>
        </w:r>
      </w:hyperlink>
    </w:p>
    <w:p w14:paraId="35CC9FD6"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Royal College of Midwives (2023) </w:t>
      </w:r>
      <w:proofErr w:type="spellStart"/>
      <w:r w:rsidRPr="00ED5277">
        <w:rPr>
          <w:rFonts w:ascii="Arial" w:eastAsia="Arial" w:hAnsi="Arial" w:cs="Arial"/>
          <w:i/>
          <w:iCs/>
        </w:rPr>
        <w:t>Numberjacks</w:t>
      </w:r>
      <w:proofErr w:type="spellEnd"/>
      <w:r w:rsidRPr="00ED5277">
        <w:rPr>
          <w:rFonts w:ascii="Arial" w:eastAsia="Arial" w:hAnsi="Arial" w:cs="Arial"/>
          <w:i/>
          <w:iCs/>
        </w:rPr>
        <w:t>: New calculations reveal growing midwife shortage.</w:t>
      </w:r>
      <w:r w:rsidRPr="00ED5277">
        <w:rPr>
          <w:rFonts w:ascii="Arial" w:eastAsia="Arial" w:hAnsi="Arial" w:cs="Arial"/>
        </w:rPr>
        <w:t xml:space="preserve"> [online] Royal College of Midwives. Available at: </w:t>
      </w:r>
      <w:hyperlink r:id="rId19">
        <w:r w:rsidRPr="00ED5277">
          <w:rPr>
            <w:rFonts w:ascii="Arial" w:eastAsia="Arial" w:hAnsi="Arial" w:cs="Arial"/>
            <w:color w:val="0563C1"/>
            <w:u w:val="single"/>
          </w:rPr>
          <w:t>https://rcm.org.uk/blog/2023/04/numberjacks-new-calculations-reveal-growing-midwife-shortage/</w:t>
        </w:r>
      </w:hyperlink>
    </w:p>
    <w:p w14:paraId="061CA5BE"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The Health Foundation (2024) </w:t>
      </w:r>
      <w:r w:rsidRPr="00ED5277">
        <w:rPr>
          <w:rFonts w:ascii="Arial" w:eastAsia="Arial" w:hAnsi="Arial" w:cs="Arial"/>
          <w:i/>
          <w:iCs/>
        </w:rPr>
        <w:t>Feeling the pressure: what the 2023 Commonwealth Fund survey reveals about the state of the UK health system.</w:t>
      </w:r>
      <w:r w:rsidRPr="00ED5277">
        <w:rPr>
          <w:rFonts w:ascii="Arial" w:eastAsia="Arial" w:hAnsi="Arial" w:cs="Arial"/>
        </w:rPr>
        <w:t xml:space="preserve"> [online] Available at: </w:t>
      </w:r>
      <w:hyperlink r:id="rId20">
        <w:r w:rsidRPr="00ED5277">
          <w:rPr>
            <w:rFonts w:ascii="Arial" w:eastAsia="Arial" w:hAnsi="Arial" w:cs="Arial"/>
            <w:color w:val="0563C1"/>
            <w:u w:val="single"/>
          </w:rPr>
          <w:t>https://www.health.org.uk/reports-and-analysis/briefings/feeling-the-pressure-what-the-2023-commonwealth-fund-survey-reveals</w:t>
        </w:r>
      </w:hyperlink>
    </w:p>
    <w:p w14:paraId="140F2B10"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Timmins, N. (ed.) (2013) </w:t>
      </w:r>
      <w:r w:rsidRPr="00ED5277">
        <w:rPr>
          <w:rFonts w:ascii="Arial" w:eastAsia="Arial" w:hAnsi="Arial" w:cs="Arial"/>
          <w:i/>
          <w:iCs/>
        </w:rPr>
        <w:t>Changing of the guard: Lessons for the new NHS from departing health leaders.</w:t>
      </w:r>
      <w:r w:rsidRPr="00ED5277">
        <w:rPr>
          <w:rFonts w:ascii="Arial" w:eastAsia="Arial" w:hAnsi="Arial" w:cs="Arial"/>
        </w:rPr>
        <w:t xml:space="preserve"> [online] The Nuffield Trust. Available at: </w:t>
      </w:r>
      <w:hyperlink r:id="rId21">
        <w:r w:rsidRPr="00ED5277">
          <w:rPr>
            <w:rFonts w:ascii="Arial" w:eastAsia="Arial" w:hAnsi="Arial" w:cs="Arial"/>
            <w:color w:val="0563C1"/>
            <w:u w:val="single"/>
          </w:rPr>
          <w:t>https://www.nuffieldtrust.org.uk/sites/default/files/2017-01/changing-of-guard-viewpoint-web-final.pdf</w:t>
        </w:r>
      </w:hyperlink>
      <w:r w:rsidRPr="00ED5277">
        <w:rPr>
          <w:rFonts w:ascii="Arial" w:eastAsia="Arial" w:hAnsi="Arial" w:cs="Arial"/>
        </w:rPr>
        <w:t xml:space="preserve"> (Accessed: 12 November 2025).</w:t>
      </w:r>
    </w:p>
    <w:p w14:paraId="24F3D1C4" w14:textId="77777777" w:rsidR="00001A19" w:rsidRPr="00ED5277" w:rsidRDefault="00000000">
      <w:pPr>
        <w:ind w:left="720" w:hanging="720"/>
        <w:rPr>
          <w:rFonts w:ascii="Arial" w:eastAsia="Arial" w:hAnsi="Arial" w:cs="Arial"/>
        </w:rPr>
      </w:pPr>
      <w:r w:rsidRPr="00ED5277">
        <w:rPr>
          <w:rFonts w:ascii="Arial" w:eastAsia="Arial" w:hAnsi="Arial" w:cs="Arial"/>
        </w:rPr>
        <w:lastRenderedPageBreak/>
        <w:t xml:space="preserve">UK Parliament (1946) </w:t>
      </w:r>
      <w:r w:rsidRPr="00ED5277">
        <w:rPr>
          <w:rFonts w:ascii="Arial" w:eastAsia="Arial" w:hAnsi="Arial" w:cs="Arial"/>
          <w:i/>
          <w:iCs/>
        </w:rPr>
        <w:t>National Health Service Act 1946.</w:t>
      </w:r>
      <w:r w:rsidRPr="00ED5277">
        <w:rPr>
          <w:rFonts w:ascii="Arial" w:eastAsia="Arial" w:hAnsi="Arial" w:cs="Arial"/>
        </w:rPr>
        <w:t xml:space="preserve"> [online] UK Parliament. Available at: </w:t>
      </w:r>
      <w:hyperlink r:id="rId22">
        <w:r w:rsidRPr="00ED5277">
          <w:rPr>
            <w:rFonts w:ascii="Arial" w:eastAsia="Arial" w:hAnsi="Arial" w:cs="Arial"/>
            <w:color w:val="0563C1"/>
            <w:u w:val="single"/>
          </w:rPr>
          <w:t>https://www.parliament.uk/about/living-heritage/transformingsociety/livinglearning/coll-9-health1/health-01/</w:t>
        </w:r>
      </w:hyperlink>
    </w:p>
    <w:p w14:paraId="38C31496"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UK Parliament (2025a) </w:t>
      </w:r>
      <w:r w:rsidRPr="00ED5277">
        <w:rPr>
          <w:rFonts w:ascii="Arial" w:eastAsia="Arial" w:hAnsi="Arial" w:cs="Arial"/>
          <w:i/>
          <w:iCs/>
        </w:rPr>
        <w:t>1942 Beveridge Report.</w:t>
      </w:r>
      <w:r w:rsidRPr="00ED5277">
        <w:rPr>
          <w:rFonts w:ascii="Arial" w:eastAsia="Arial" w:hAnsi="Arial" w:cs="Arial"/>
        </w:rPr>
        <w:t xml:space="preserve"> [online] UK Parliament. Available at: </w:t>
      </w:r>
      <w:hyperlink r:id="rId23">
        <w:r w:rsidRPr="00ED5277">
          <w:rPr>
            <w:rFonts w:ascii="Arial" w:eastAsia="Arial" w:hAnsi="Arial" w:cs="Arial"/>
            <w:color w:val="0563C1"/>
            <w:u w:val="single"/>
          </w:rPr>
          <w:t>https://www.parliament.uk/about/living-heritage/transformingsociety/livinglearning/coll-9-health1/coll-9-health/</w:t>
        </w:r>
      </w:hyperlink>
    </w:p>
    <w:p w14:paraId="2EF983CD"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UK Parliament (2025b) </w:t>
      </w:r>
      <w:r w:rsidRPr="00ED5277">
        <w:rPr>
          <w:rFonts w:ascii="Arial" w:eastAsia="Arial" w:hAnsi="Arial" w:cs="Arial"/>
          <w:i/>
          <w:iCs/>
        </w:rPr>
        <w:t>National Insurance Bill - Hansard.</w:t>
      </w:r>
      <w:r w:rsidRPr="00ED5277">
        <w:rPr>
          <w:rFonts w:ascii="Arial" w:eastAsia="Arial" w:hAnsi="Arial" w:cs="Arial"/>
        </w:rPr>
        <w:t xml:space="preserve"> [online] UK Parliament. Available at: </w:t>
      </w:r>
      <w:hyperlink r:id="rId24">
        <w:r w:rsidRPr="00ED5277">
          <w:rPr>
            <w:rFonts w:ascii="Arial" w:eastAsia="Arial" w:hAnsi="Arial" w:cs="Arial"/>
            <w:color w:val="0563C1"/>
            <w:u w:val="single"/>
          </w:rPr>
          <w:t>https://hansard.parliament.uk/commons/1911-05-24/debates/5fe2cab0-5e51-4f9e-8132-f3dc276a8ff6/NationalInsuranceBill</w:t>
        </w:r>
      </w:hyperlink>
    </w:p>
    <w:p w14:paraId="354229FD" w14:textId="77777777" w:rsidR="00001A19" w:rsidRPr="00ED5277" w:rsidRDefault="00000000">
      <w:pPr>
        <w:ind w:left="720" w:hanging="720"/>
        <w:rPr>
          <w:rFonts w:ascii="Arial" w:eastAsia="Arial" w:hAnsi="Arial" w:cs="Arial"/>
        </w:rPr>
      </w:pPr>
      <w:r w:rsidRPr="00ED5277">
        <w:rPr>
          <w:rFonts w:ascii="Arial" w:eastAsia="Arial" w:hAnsi="Arial" w:cs="Arial"/>
        </w:rPr>
        <w:t xml:space="preserve">Watson, K., Barber, C., Farrant, K., McEvoy, B., Mills, T. and Lavender, D.T. (2025) ‘The maternity care experiences of women living in a diverse UK urban city: a survey study’, </w:t>
      </w:r>
      <w:r w:rsidRPr="00ED5277">
        <w:rPr>
          <w:rFonts w:ascii="Arial" w:eastAsia="Arial" w:hAnsi="Arial" w:cs="Arial"/>
          <w:i/>
          <w:iCs/>
        </w:rPr>
        <w:t>BMC Pregnancy and Childbirth</w:t>
      </w:r>
      <w:r w:rsidRPr="00ED5277">
        <w:rPr>
          <w:rFonts w:ascii="Arial" w:eastAsia="Arial" w:hAnsi="Arial" w:cs="Arial"/>
        </w:rPr>
        <w:t xml:space="preserve">, 25(1). </w:t>
      </w:r>
      <w:proofErr w:type="spellStart"/>
      <w:r w:rsidRPr="00ED5277">
        <w:rPr>
          <w:rFonts w:ascii="Arial" w:eastAsia="Arial" w:hAnsi="Arial" w:cs="Arial"/>
        </w:rPr>
        <w:t>doi</w:t>
      </w:r>
      <w:proofErr w:type="spellEnd"/>
      <w:r w:rsidRPr="00ED5277">
        <w:rPr>
          <w:rFonts w:ascii="Arial" w:eastAsia="Arial" w:hAnsi="Arial" w:cs="Arial"/>
        </w:rPr>
        <w:t xml:space="preserve">: </w:t>
      </w:r>
      <w:hyperlink r:id="rId25">
        <w:r w:rsidRPr="00ED5277">
          <w:rPr>
            <w:rFonts w:ascii="Arial" w:eastAsia="Arial" w:hAnsi="Arial" w:cs="Arial"/>
            <w:color w:val="0563C1"/>
            <w:u w:val="single"/>
          </w:rPr>
          <w:t>https://doi.org/10.1186/s12884-025-07773-z</w:t>
        </w:r>
      </w:hyperlink>
    </w:p>
    <w:p w14:paraId="46519292" w14:textId="77777777" w:rsidR="00001A19" w:rsidRPr="00ED5277" w:rsidRDefault="00000000">
      <w:pPr>
        <w:ind w:left="720" w:hanging="720"/>
        <w:rPr>
          <w:rFonts w:ascii="Arial" w:eastAsia="Arial" w:hAnsi="Arial" w:cs="Arial"/>
        </w:rPr>
        <w:sectPr w:rsidR="00001A19" w:rsidRPr="00ED5277">
          <w:pgSz w:w="11906" w:h="16838"/>
          <w:pgMar w:top="1440" w:right="1440" w:bottom="1440" w:left="1440" w:header="708" w:footer="708" w:gutter="0"/>
          <w:cols w:space="720"/>
        </w:sectPr>
      </w:pPr>
      <w:r w:rsidRPr="00ED5277">
        <w:rPr>
          <w:rFonts w:ascii="Arial" w:eastAsia="Arial" w:hAnsi="Arial" w:cs="Arial"/>
        </w:rPr>
        <w:t xml:space="preserve">Williamson, C. (2014) ‘“To remove the stigma of the Poor Law”: The “Comprehensive” Ideal and Patient Access to the Municipal Hospital Service in the City of Glasgow, 1918–1939’, </w:t>
      </w:r>
      <w:r w:rsidRPr="00ED5277">
        <w:rPr>
          <w:rFonts w:ascii="Arial" w:eastAsia="Arial" w:hAnsi="Arial" w:cs="Arial"/>
          <w:i/>
          <w:iCs/>
        </w:rPr>
        <w:t>History</w:t>
      </w:r>
      <w:r w:rsidRPr="00ED5277">
        <w:rPr>
          <w:rFonts w:ascii="Arial" w:eastAsia="Arial" w:hAnsi="Arial" w:cs="Arial"/>
        </w:rPr>
        <w:t xml:space="preserve">, 99(334), pp. 73–99. </w:t>
      </w:r>
      <w:proofErr w:type="spellStart"/>
      <w:r w:rsidRPr="00ED5277">
        <w:rPr>
          <w:rFonts w:ascii="Arial" w:eastAsia="Arial" w:hAnsi="Arial" w:cs="Arial"/>
        </w:rPr>
        <w:t>doi</w:t>
      </w:r>
      <w:proofErr w:type="spellEnd"/>
      <w:r w:rsidRPr="00ED5277">
        <w:rPr>
          <w:rFonts w:ascii="Arial" w:eastAsia="Arial" w:hAnsi="Arial" w:cs="Arial"/>
        </w:rPr>
        <w:t xml:space="preserve">: </w:t>
      </w:r>
      <w:hyperlink r:id="rId26">
        <w:r w:rsidRPr="00ED5277">
          <w:rPr>
            <w:rFonts w:ascii="Arial" w:eastAsia="Arial" w:hAnsi="Arial" w:cs="Arial"/>
            <w:color w:val="0563C1"/>
            <w:u w:val="single"/>
          </w:rPr>
          <w:t>https://doi.org/10.1111/1468-229x.12047</w:t>
        </w:r>
      </w:hyperlink>
    </w:p>
    <w:p w14:paraId="4270C5B4" w14:textId="77777777" w:rsidR="00001A19" w:rsidRPr="00ED5277" w:rsidRDefault="00001A19">
      <w:pPr>
        <w:rPr>
          <w:rFonts w:ascii="Arial" w:hAnsi="Arial" w:cs="Arial"/>
        </w:rPr>
      </w:pPr>
    </w:p>
    <w:p w14:paraId="7B5D5BFC" w14:textId="77777777" w:rsidR="00001A19" w:rsidRPr="00ED5277" w:rsidRDefault="00001A19">
      <w:pPr>
        <w:rPr>
          <w:rFonts w:ascii="Arial" w:hAnsi="Arial" w:cs="Arial"/>
        </w:rPr>
      </w:pPr>
    </w:p>
    <w:p w14:paraId="479ECB55" w14:textId="77777777" w:rsidR="00001A19" w:rsidRPr="00ED5277" w:rsidRDefault="00001A19">
      <w:pPr>
        <w:rPr>
          <w:rFonts w:ascii="Arial" w:hAnsi="Arial" w:cs="Arial"/>
        </w:rPr>
      </w:pPr>
    </w:p>
    <w:p w14:paraId="31EB4E3A" w14:textId="77777777" w:rsidR="00001A19" w:rsidRPr="00ED5277" w:rsidRDefault="00001A19">
      <w:pPr>
        <w:rPr>
          <w:rFonts w:ascii="Arial" w:hAnsi="Arial" w:cs="Arial"/>
        </w:rPr>
      </w:pPr>
    </w:p>
    <w:sectPr w:rsidR="00001A19" w:rsidRPr="00ED527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0FFCA" w14:textId="77777777" w:rsidR="00A560D5" w:rsidRDefault="00A560D5">
      <w:pPr>
        <w:spacing w:after="0" w:line="240" w:lineRule="auto"/>
      </w:pPr>
      <w:r>
        <w:separator/>
      </w:r>
    </w:p>
  </w:endnote>
  <w:endnote w:type="continuationSeparator" w:id="0">
    <w:p w14:paraId="285874D8" w14:textId="77777777" w:rsidR="00A560D5" w:rsidRDefault="00A56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F767F29D-2583-4A16-A86B-DA2BA5891963}"/>
    <w:embedBold r:id="rId2" w:fontKey="{A5777EF2-545A-4B30-B413-88FD4CDE5640}"/>
    <w:embedBoldItalic r:id="rId3" w:fontKey="{A7B5128B-686D-4273-B40A-EC0E5F7E3524}"/>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2DF349DF-5EB4-489C-8762-4EDB8D55A8C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959FD042-9672-442D-8203-14AA33AF24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532B7" w14:textId="77777777" w:rsidR="00001A19" w:rsidRDefault="00000000">
    <w:pPr>
      <w:pBdr>
        <w:top w:val="single" w:sz="4" w:space="1" w:color="D9D9D9"/>
        <w:left w:val="nil"/>
        <w:bottom w:val="nil"/>
        <w:right w:val="nil"/>
        <w:between w:val="nil"/>
      </w:pBdr>
      <w:tabs>
        <w:tab w:val="center" w:pos="4513"/>
        <w:tab w:val="right" w:pos="9026"/>
      </w:tabs>
      <w:spacing w:after="0" w:line="240" w:lineRule="auto"/>
      <w:rPr>
        <w:b/>
        <w:bCs/>
        <w:color w:val="000000"/>
      </w:rPr>
    </w:pPr>
    <w:r>
      <w:rPr>
        <w:color w:val="000000"/>
      </w:rPr>
      <w:fldChar w:fldCharType="begin"/>
    </w:r>
    <w:r>
      <w:rPr>
        <w:color w:val="000000"/>
      </w:rPr>
      <w:instrText>PAGE</w:instrText>
    </w:r>
    <w:r>
      <w:rPr>
        <w:color w:val="000000"/>
      </w:rPr>
      <w:fldChar w:fldCharType="separate"/>
    </w:r>
    <w:r w:rsidR="00ED5277">
      <w:rPr>
        <w:noProof/>
        <w:color w:val="000000"/>
      </w:rPr>
      <w:t>1</w:t>
    </w:r>
    <w:r>
      <w:rPr>
        <w:color w:val="000000"/>
      </w:rPr>
      <w:fldChar w:fldCharType="end"/>
    </w:r>
    <w:r>
      <w:rPr>
        <w:b/>
        <w:bCs/>
        <w:color w:val="000000"/>
      </w:rPr>
      <w:t xml:space="preserve"> | </w:t>
    </w:r>
    <w:r>
      <w:rPr>
        <w:color w:val="7F7F7F"/>
      </w:rPr>
      <w:t>Page</w:t>
    </w:r>
  </w:p>
  <w:p w14:paraId="04773A4D" w14:textId="77777777" w:rsidR="00001A19" w:rsidRDefault="00001A1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43E26" w14:textId="77777777" w:rsidR="00A560D5" w:rsidRDefault="00A560D5">
      <w:pPr>
        <w:spacing w:after="0" w:line="240" w:lineRule="auto"/>
      </w:pPr>
      <w:r>
        <w:separator/>
      </w:r>
    </w:p>
  </w:footnote>
  <w:footnote w:type="continuationSeparator" w:id="0">
    <w:p w14:paraId="4C88C91C" w14:textId="77777777" w:rsidR="00A560D5" w:rsidRDefault="00A56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1E245" w14:textId="77777777" w:rsidR="00001A19" w:rsidRDefault="00000000">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distT="0" distB="0" distL="0" distR="0" wp14:anchorId="5DEA9B01" wp14:editId="0C496E9A">
          <wp:extent cx="2184540" cy="436908"/>
          <wp:effectExtent l="0" t="0" r="0" b="0"/>
          <wp:docPr id="10" name="image4.png" descr="UWTSD LOGO"/>
          <wp:cNvGraphicFramePr/>
          <a:graphic xmlns:a="http://schemas.openxmlformats.org/drawingml/2006/main">
            <a:graphicData uri="http://schemas.openxmlformats.org/drawingml/2006/picture">
              <pic:pic xmlns:pic="http://schemas.openxmlformats.org/drawingml/2006/picture">
                <pic:nvPicPr>
                  <pic:cNvPr id="0" name="image4.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A19"/>
    <w:rsid w:val="00001A19"/>
    <w:rsid w:val="00203590"/>
    <w:rsid w:val="00A560D5"/>
    <w:rsid w:val="00C4270E"/>
    <w:rsid w:val="00ED5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15CA7"/>
  <w15:docId w15:val="{068B8A05-C944-4A53-B619-A10D4AE6C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assets.publishing.service.gov.uk/media/5a7c5299e5274a2041cf33af/dh_117794.pdf" TargetMode="External"/><Relationship Id="rId18" Type="http://schemas.openxmlformats.org/officeDocument/2006/relationships/hyperlink" Target="https://www.ons.gov.uk/peoplepopulationandcommunity/birthsdeathsandmarriages/livebirths/bulletins/birthsummarytablesenglandandwales/2023" TargetMode="External"/><Relationship Id="rId26" Type="http://schemas.openxmlformats.org/officeDocument/2006/relationships/hyperlink" Target="https://doi.org/10.1111/1468-229x.12047" TargetMode="External"/><Relationship Id="rId3" Type="http://schemas.openxmlformats.org/officeDocument/2006/relationships/webSettings" Target="webSettings.xml"/><Relationship Id="rId21" Type="http://schemas.openxmlformats.org/officeDocument/2006/relationships/hyperlink" Target="https://www.nuffieldtrust.org.uk/sites/default/files/2017-01/changing-of-guard-viewpoint-web-final.pdf" TargetMode="External"/><Relationship Id="rId7" Type="http://schemas.openxmlformats.org/officeDocument/2006/relationships/header" Target="header1.xml"/><Relationship Id="rId12" Type="http://schemas.openxmlformats.org/officeDocument/2006/relationships/hyperlink" Target="http://www.localpopulationstudies.org.uk/wp-content/uploads/GALLEY-Infant-mortality-book.pdf" TargetMode="External"/><Relationship Id="rId17" Type="http://schemas.openxmlformats.org/officeDocument/2006/relationships/hyperlink" Target="https://www.nice.org.uk/guidance/qs22/resources/antenatal-care-pdf-2098542418117" TargetMode="External"/><Relationship Id="rId25" Type="http://schemas.openxmlformats.org/officeDocument/2006/relationships/hyperlink" Target="https://doi.org/10.1186/s12884-025-07773-z" TargetMode="External"/><Relationship Id="rId2" Type="http://schemas.openxmlformats.org/officeDocument/2006/relationships/settings" Target="settings.xml"/><Relationship Id="rId16" Type="http://schemas.openxmlformats.org/officeDocument/2006/relationships/hyperlink" Target="https://www.england.nhs.uk/about/nhs-history/" TargetMode="External"/><Relationship Id="rId20" Type="http://schemas.openxmlformats.org/officeDocument/2006/relationships/hyperlink" Target="https://www.health.org.uk/reports-and-analysis/briefings/feeling-the-pressure-what-the-2023-commonwealth-fund-survey-reveal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qc.org.uk/publications/maternity-services-2022-2024/staffing" TargetMode="External"/><Relationship Id="rId24" Type="http://schemas.openxmlformats.org/officeDocument/2006/relationships/hyperlink" Target="https://hansard.parliament.uk/commons/1911-05-24/debates/5fe2cab0-5e51-4f9e-8132-f3dc276a8ff6/NationalInsuranceBill" TargetMode="External"/><Relationship Id="rId5" Type="http://schemas.openxmlformats.org/officeDocument/2006/relationships/endnotes" Target="endnotes.xml"/><Relationship Id="rId15" Type="http://schemas.openxmlformats.org/officeDocument/2006/relationships/hyperlink" Target="https://doi.org/10.3399/bjgp22X718829" TargetMode="External"/><Relationship Id="rId23" Type="http://schemas.openxmlformats.org/officeDocument/2006/relationships/hyperlink" Target="https://www.parliament.uk/about/living-heritage/transformingsociety/livinglearning/coll-9-health1/coll-9-health/"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rcm.org.uk/blog/2023/04/numberjacks-new-calculations-reveal-growing-midwife-shortage/"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committees.parliament.uk/publications/6034/documents/68141/default/" TargetMode="External"/><Relationship Id="rId22" Type="http://schemas.openxmlformats.org/officeDocument/2006/relationships/hyperlink" Target="https://www.parliament.uk/about/living-heritage/transformingsociety/livinglearning/coll-9-health1/health-01/"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447732289598</cp:lastModifiedBy>
  <cp:revision>2</cp:revision>
  <dcterms:created xsi:type="dcterms:W3CDTF">2025-11-16T00:31:00Z</dcterms:created>
  <dcterms:modified xsi:type="dcterms:W3CDTF">2025-11-16T00:31:00Z</dcterms:modified>
</cp:coreProperties>
</file>