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2775A" w14:textId="6CB05BDC" w:rsidR="00832A7F" w:rsidRDefault="00275AF8">
      <w:pPr>
        <w:spacing w:after="1440"/>
      </w:pPr>
      <w:r>
        <w:rPr>
          <w:noProof/>
        </w:rPr>
        <w:drawing>
          <wp:inline distT="0" distB="0" distL="0" distR="0" wp14:anchorId="44C0EFBF" wp14:editId="38BA50B9">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2C97BF5" w14:textId="77777777" w:rsidR="00832A7F" w:rsidRDefault="00000000">
      <w:pPr>
        <w:spacing w:after="2880"/>
        <w:jc w:val="center"/>
      </w:pPr>
      <w:r>
        <w:rPr>
          <w:b/>
          <w:color w:val="0C2340"/>
          <w:sz w:val="44"/>
        </w:rPr>
        <w:t>A CRITICAL EVALUATION OF DECARBONISATION TRANSITION PATHWAYS:</w:t>
      </w:r>
      <w:r>
        <w:rPr>
          <w:b/>
          <w:color w:val="0C2340"/>
          <w:sz w:val="44"/>
        </w:rPr>
        <w:br/>
        <w:t>COMPLIANCE STRATEGY AND GROWTH MAPPING FOR BHP GROUP LIMITED</w:t>
      </w:r>
    </w:p>
    <w:p w14:paraId="56A52BB0" w14:textId="77777777" w:rsidR="00832A7F" w:rsidRDefault="00000000">
      <w:pPr>
        <w:spacing w:after="40" w:line="240" w:lineRule="auto"/>
        <w:jc w:val="center"/>
      </w:pPr>
      <w:r>
        <w:rPr>
          <w:b/>
          <w:color w:val="5A6B7C"/>
        </w:rPr>
        <w:t xml:space="preserve">Programme: </w:t>
      </w:r>
      <w:r>
        <w:t>Master of Business Administration (MBA)</w:t>
      </w:r>
    </w:p>
    <w:p w14:paraId="1989D5EF" w14:textId="77777777" w:rsidR="00832A7F" w:rsidRDefault="00000000">
      <w:pPr>
        <w:spacing w:after="40" w:line="240" w:lineRule="auto"/>
        <w:jc w:val="center"/>
      </w:pPr>
      <w:r>
        <w:rPr>
          <w:b/>
          <w:color w:val="5A6B7C"/>
        </w:rPr>
        <w:t xml:space="preserve">Module: </w:t>
      </w:r>
      <w:r>
        <w:t>Marketing Management (LCMB7024)</w:t>
      </w:r>
    </w:p>
    <w:p w14:paraId="57E0E0E1" w14:textId="77777777" w:rsidR="00832A7F" w:rsidRDefault="00000000">
      <w:pPr>
        <w:spacing w:after="40" w:line="240" w:lineRule="auto"/>
        <w:jc w:val="center"/>
      </w:pPr>
      <w:r>
        <w:rPr>
          <w:b/>
          <w:color w:val="5A6B7C"/>
        </w:rPr>
        <w:t xml:space="preserve">Assessment: </w:t>
      </w:r>
      <w:r>
        <w:t>Component 1 - Marketing Environment Analysis</w:t>
      </w:r>
    </w:p>
    <w:p w14:paraId="691FF446" w14:textId="77777777" w:rsidR="00832A7F" w:rsidRDefault="00000000">
      <w:pPr>
        <w:spacing w:after="40" w:line="240" w:lineRule="auto"/>
        <w:jc w:val="center"/>
      </w:pPr>
      <w:r>
        <w:rPr>
          <w:b/>
          <w:color w:val="5A6B7C"/>
        </w:rPr>
        <w:t xml:space="preserve">Word Count: </w:t>
      </w:r>
      <w:r>
        <w:t>2,495 Words (Target: 2,500 ± 10%)</w:t>
      </w:r>
    </w:p>
    <w:p w14:paraId="09EB07C9" w14:textId="77777777" w:rsidR="00832A7F" w:rsidRDefault="00000000">
      <w:pPr>
        <w:spacing w:after="40" w:line="240" w:lineRule="auto"/>
        <w:jc w:val="center"/>
      </w:pPr>
      <w:r>
        <w:rPr>
          <w:b/>
          <w:color w:val="5A6B7C"/>
        </w:rPr>
        <w:t xml:space="preserve">Submission Deadline: </w:t>
      </w:r>
      <w:r>
        <w:t>22nd October 2026</w:t>
      </w:r>
    </w:p>
    <w:p w14:paraId="18966225" w14:textId="77777777" w:rsidR="00832A7F" w:rsidRDefault="00000000">
      <w:pPr>
        <w:spacing w:after="40" w:line="240" w:lineRule="auto"/>
        <w:jc w:val="center"/>
      </w:pPr>
      <w:r>
        <w:rPr>
          <w:b/>
          <w:color w:val="5A6B7C"/>
        </w:rPr>
        <w:t xml:space="preserve">Lecturers: </w:t>
      </w:r>
      <w:r>
        <w:t>Taonga Kaonga Sobere-Smithers</w:t>
      </w:r>
    </w:p>
    <w:p w14:paraId="5C3FDACA" w14:textId="77777777" w:rsidR="00832A7F" w:rsidRDefault="00000000">
      <w:pPr>
        <w:spacing w:after="40" w:line="240" w:lineRule="auto"/>
        <w:jc w:val="center"/>
      </w:pPr>
      <w:r>
        <w:rPr>
          <w:b/>
          <w:color w:val="5A6B7C"/>
        </w:rPr>
        <w:t xml:space="preserve">Student name: </w:t>
      </w:r>
      <w:r>
        <w:t>Aurel Apopei</w:t>
      </w:r>
    </w:p>
    <w:p w14:paraId="18B95DD0" w14:textId="77777777" w:rsidR="00832A7F" w:rsidRDefault="00000000">
      <w:pPr>
        <w:spacing w:after="40" w:line="240" w:lineRule="auto"/>
        <w:jc w:val="center"/>
      </w:pPr>
      <w:r>
        <w:rPr>
          <w:b/>
          <w:color w:val="5A6B7C"/>
        </w:rPr>
        <w:t xml:space="preserve">Student ID: </w:t>
      </w:r>
      <w:r>
        <w:t>2245793</w:t>
      </w:r>
    </w:p>
    <w:p w14:paraId="1A50B3A8" w14:textId="77777777" w:rsidR="00832A7F" w:rsidRDefault="00000000">
      <w:r>
        <w:br w:type="page"/>
      </w:r>
    </w:p>
    <w:p w14:paraId="2508E543" w14:textId="77777777" w:rsidR="00832A7F" w:rsidRDefault="00000000">
      <w:pPr>
        <w:keepNext/>
        <w:spacing w:before="480" w:after="240"/>
      </w:pPr>
      <w:r>
        <w:rPr>
          <w:b/>
          <w:color w:val="0C2340"/>
          <w:sz w:val="32"/>
        </w:rPr>
        <w:lastRenderedPageBreak/>
        <w:t>TABLE OF CONTENTS</w:t>
      </w:r>
    </w:p>
    <w:p w14:paraId="614FFBC7" w14:textId="77777777" w:rsidR="00832A7F" w:rsidRDefault="00000000">
      <w:pPr>
        <w:spacing w:after="60" w:line="240" w:lineRule="auto"/>
      </w:pPr>
      <w:r>
        <w:rPr>
          <w:b/>
          <w:sz w:val="21"/>
        </w:rPr>
        <w:t>EXECUTIVE SUMMARY</w:t>
      </w:r>
      <w:r>
        <w:t xml:space="preserve"> . . . . . . . . . . . . . . . . . . . . . . . . . . . . . . . . . . . .</w:t>
      </w:r>
      <w:r>
        <w:rPr>
          <w:b/>
          <w:sz w:val="21"/>
        </w:rPr>
        <w:t xml:space="preserve"> 3</w:t>
      </w:r>
    </w:p>
    <w:p w14:paraId="547AE339" w14:textId="77777777" w:rsidR="00832A7F" w:rsidRDefault="00000000">
      <w:pPr>
        <w:spacing w:after="60" w:line="240" w:lineRule="auto"/>
      </w:pPr>
      <w:r>
        <w:rPr>
          <w:b/>
          <w:sz w:val="21"/>
        </w:rPr>
        <w:t>TASK 1: MARKETING ENVIRONMENT ANALYSIS</w:t>
      </w:r>
      <w:r>
        <w:t xml:space="preserve"> . . . . . . . . . . . . . . . . . . . . . . . . . .</w:t>
      </w:r>
      <w:r>
        <w:rPr>
          <w:b/>
          <w:sz w:val="21"/>
        </w:rPr>
        <w:t xml:space="preserve"> 4</w:t>
      </w:r>
    </w:p>
    <w:p w14:paraId="096BEB0F" w14:textId="77777777" w:rsidR="00832A7F" w:rsidRDefault="00000000">
      <w:pPr>
        <w:spacing w:after="60" w:line="240" w:lineRule="auto"/>
      </w:pPr>
      <w:r>
        <w:rPr>
          <w:sz w:val="21"/>
        </w:rPr>
        <w:t xml:space="preserve">   1.1 Introduction and Theoretical Framework</w:t>
      </w:r>
      <w:r>
        <w:t xml:space="preserve"> . . . . . . . . . . . . . . . . . . . . . .</w:t>
      </w:r>
      <w:r>
        <w:rPr>
          <w:sz w:val="21"/>
        </w:rPr>
        <w:t xml:space="preserve"> 4</w:t>
      </w:r>
    </w:p>
    <w:p w14:paraId="0C2560C4" w14:textId="77777777" w:rsidR="00832A7F" w:rsidRDefault="00000000">
      <w:pPr>
        <w:spacing w:after="60" w:line="240" w:lineRule="auto"/>
      </w:pPr>
      <w:r>
        <w:rPr>
          <w:sz w:val="21"/>
        </w:rPr>
        <w:t xml:space="preserve">   1.2 The Natural Environment Force</w:t>
      </w:r>
      <w:r>
        <w:t xml:space="preserve"> . . . . . . . . . . . . . . . . . . . . . . . . . . .</w:t>
      </w:r>
      <w:r>
        <w:rPr>
          <w:sz w:val="21"/>
        </w:rPr>
        <w:t xml:space="preserve"> 4</w:t>
      </w:r>
    </w:p>
    <w:p w14:paraId="10FDE92B" w14:textId="322E3CD5" w:rsidR="00832A7F" w:rsidRDefault="00000000">
      <w:pPr>
        <w:spacing w:after="60" w:line="240" w:lineRule="auto"/>
      </w:pPr>
      <w:r>
        <w:rPr>
          <w:sz w:val="21"/>
        </w:rPr>
        <w:t xml:space="preserve">   1.3 The Political and Legal Force</w:t>
      </w:r>
      <w:r>
        <w:t xml:space="preserve"> . . . . . . . . . . . . . . . . . . . . . . . . . . .</w:t>
      </w:r>
      <w:r>
        <w:rPr>
          <w:sz w:val="21"/>
        </w:rPr>
        <w:t xml:space="preserve"> </w:t>
      </w:r>
      <w:r w:rsidR="00BA1DC4">
        <w:rPr>
          <w:sz w:val="21"/>
        </w:rPr>
        <w:t>5</w:t>
      </w:r>
    </w:p>
    <w:p w14:paraId="77E6BF4E" w14:textId="211B2A11" w:rsidR="00832A7F" w:rsidRDefault="00000000">
      <w:pPr>
        <w:spacing w:after="60" w:line="240" w:lineRule="auto"/>
      </w:pPr>
      <w:r>
        <w:rPr>
          <w:sz w:val="21"/>
        </w:rPr>
        <w:t xml:space="preserve">   1.4 The Socio-Cultural Force</w:t>
      </w:r>
      <w:r>
        <w:t xml:space="preserve"> . . . . . . . . . . . . . . . . . . . . . . . . </w:t>
      </w:r>
      <w:r w:rsidR="00BA1DC4">
        <w:t>. . .</w:t>
      </w:r>
      <w:proofErr w:type="gramStart"/>
      <w:r w:rsidR="00BA1DC4">
        <w:t>.</w:t>
      </w:r>
      <w:r>
        <w:t xml:space="preserve"> .</w:t>
      </w:r>
      <w:proofErr w:type="gramEnd"/>
      <w:r>
        <w:rPr>
          <w:sz w:val="21"/>
        </w:rPr>
        <w:t xml:space="preserve"> </w:t>
      </w:r>
      <w:r w:rsidR="00BA1DC4">
        <w:rPr>
          <w:sz w:val="21"/>
        </w:rPr>
        <w:t>6</w:t>
      </w:r>
    </w:p>
    <w:p w14:paraId="6A460560" w14:textId="6C0A9315" w:rsidR="00832A7F" w:rsidRDefault="00000000">
      <w:pPr>
        <w:spacing w:after="60" w:line="240" w:lineRule="auto"/>
      </w:pPr>
      <w:r>
        <w:rPr>
          <w:b/>
          <w:sz w:val="21"/>
        </w:rPr>
        <w:t>TASK 2: STRATEGIC GROWTH AND COMPETITIVE POSITIONING</w:t>
      </w:r>
      <w:r>
        <w:t xml:space="preserve"> . . . . . . . . . . . . . . . </w:t>
      </w:r>
      <w:r w:rsidR="00BA1DC4">
        <w:t>. . ..</w:t>
      </w:r>
      <w:r>
        <w:rPr>
          <w:b/>
          <w:sz w:val="21"/>
        </w:rPr>
        <w:t xml:space="preserve"> </w:t>
      </w:r>
      <w:r w:rsidR="00275AF8">
        <w:rPr>
          <w:b/>
          <w:sz w:val="21"/>
        </w:rPr>
        <w:t>7</w:t>
      </w:r>
    </w:p>
    <w:p w14:paraId="1B491F66" w14:textId="1B4EB7A8" w:rsidR="00832A7F" w:rsidRDefault="00000000">
      <w:pPr>
        <w:spacing w:after="60" w:line="240" w:lineRule="auto"/>
      </w:pPr>
      <w:r>
        <w:rPr>
          <w:sz w:val="21"/>
        </w:rPr>
        <w:t xml:space="preserve">   2.1 Strategic Growth Vector Mapping via the Ansoff Matrix</w:t>
      </w:r>
      <w:r>
        <w:t xml:space="preserve"> . . . . . . . . . . . . . . .</w:t>
      </w:r>
      <w:r>
        <w:rPr>
          <w:sz w:val="21"/>
        </w:rPr>
        <w:t xml:space="preserve"> </w:t>
      </w:r>
      <w:r w:rsidR="0019349A">
        <w:rPr>
          <w:sz w:val="21"/>
        </w:rPr>
        <w:t>7</w:t>
      </w:r>
    </w:p>
    <w:p w14:paraId="5F4658A1" w14:textId="3FC5F10B" w:rsidR="00832A7F" w:rsidRDefault="00000000">
      <w:pPr>
        <w:spacing w:after="60" w:line="240" w:lineRule="auto"/>
      </w:pPr>
      <w:r>
        <w:rPr>
          <w:sz w:val="21"/>
        </w:rPr>
        <w:t xml:space="preserve">   2.2 Establishing Competitive Advantage via Porter's Generic Differentiation </w:t>
      </w:r>
      <w:proofErr w:type="gramStart"/>
      <w:r>
        <w:rPr>
          <w:sz w:val="21"/>
        </w:rPr>
        <w:t>Strategy</w:t>
      </w:r>
      <w:r>
        <w:t xml:space="preserve"> .</w:t>
      </w:r>
      <w:proofErr w:type="gramEnd"/>
      <w:r>
        <w:rPr>
          <w:sz w:val="21"/>
        </w:rPr>
        <w:t xml:space="preserve"> </w:t>
      </w:r>
      <w:r w:rsidR="0019349A">
        <w:rPr>
          <w:sz w:val="21"/>
        </w:rPr>
        <w:t>8</w:t>
      </w:r>
    </w:p>
    <w:p w14:paraId="28C30AC1" w14:textId="2694AAD1" w:rsidR="00832A7F" w:rsidRDefault="00000000">
      <w:pPr>
        <w:spacing w:after="60" w:line="240" w:lineRule="auto"/>
      </w:pPr>
      <w:r>
        <w:rPr>
          <w:b/>
          <w:sz w:val="21"/>
        </w:rPr>
        <w:t>TASK 3: MANAGERIAL AND PROFESSIONAL REFLECTION</w:t>
      </w:r>
      <w:r>
        <w:t xml:space="preserve"> . . . . . . . . . . . . . . . . . . </w:t>
      </w:r>
      <w:proofErr w:type="gramStart"/>
      <w:r>
        <w:t>. . . .</w:t>
      </w:r>
      <w:proofErr w:type="gramEnd"/>
      <w:r>
        <w:rPr>
          <w:b/>
          <w:sz w:val="21"/>
        </w:rPr>
        <w:t xml:space="preserve"> </w:t>
      </w:r>
      <w:r w:rsidR="0019349A">
        <w:rPr>
          <w:b/>
          <w:sz w:val="21"/>
        </w:rPr>
        <w:t>9</w:t>
      </w:r>
    </w:p>
    <w:p w14:paraId="5D806807" w14:textId="6986E507" w:rsidR="00832A7F" w:rsidRDefault="00000000">
      <w:pPr>
        <w:spacing w:after="60" w:line="240" w:lineRule="auto"/>
      </w:pPr>
      <w:r>
        <w:rPr>
          <w:sz w:val="21"/>
        </w:rPr>
        <w:t xml:space="preserve">   3.1 Epistemological Justification and Application of Reflective Frameworks</w:t>
      </w:r>
      <w:r>
        <w:t xml:space="preserve"> . . . . . .</w:t>
      </w:r>
      <w:r>
        <w:rPr>
          <w:sz w:val="21"/>
        </w:rPr>
        <w:t xml:space="preserve"> </w:t>
      </w:r>
      <w:r w:rsidR="0019349A">
        <w:rPr>
          <w:sz w:val="21"/>
        </w:rPr>
        <w:t>9</w:t>
      </w:r>
    </w:p>
    <w:p w14:paraId="2223AD2F" w14:textId="51FB1A93" w:rsidR="00832A7F" w:rsidRDefault="00000000">
      <w:pPr>
        <w:spacing w:after="60" w:line="240" w:lineRule="auto"/>
      </w:pPr>
      <w:r>
        <w:rPr>
          <w:sz w:val="21"/>
        </w:rPr>
        <w:t xml:space="preserve">   3.2 Methodological Gaps and Actionable Consultative Pathways</w:t>
      </w:r>
      <w:r>
        <w:t xml:space="preserve"> . . . . . . . . . </w:t>
      </w:r>
      <w:r w:rsidR="0019349A">
        <w:t>. . ..</w:t>
      </w:r>
      <w:r>
        <w:rPr>
          <w:sz w:val="21"/>
        </w:rPr>
        <w:t xml:space="preserve"> 1</w:t>
      </w:r>
      <w:r w:rsidR="006940F4">
        <w:rPr>
          <w:sz w:val="21"/>
        </w:rPr>
        <w:t>0</w:t>
      </w:r>
    </w:p>
    <w:p w14:paraId="4DB7B958" w14:textId="4CEE2743" w:rsidR="00832A7F" w:rsidRDefault="00000000">
      <w:pPr>
        <w:spacing w:after="60" w:line="240" w:lineRule="auto"/>
      </w:pPr>
      <w:r>
        <w:rPr>
          <w:b/>
          <w:sz w:val="21"/>
        </w:rPr>
        <w:t>COMPLETE DOCUMENT REFERENCES</w:t>
      </w:r>
      <w:r>
        <w:t xml:space="preserve"> . . . . . . . . . . . . . . . . . . . . . . . . . . . </w:t>
      </w:r>
      <w:r w:rsidR="0019349A">
        <w:t>. . ..</w:t>
      </w:r>
      <w:r>
        <w:rPr>
          <w:b/>
          <w:sz w:val="21"/>
        </w:rPr>
        <w:t xml:space="preserve"> 1</w:t>
      </w:r>
      <w:r w:rsidR="006940F4">
        <w:rPr>
          <w:b/>
          <w:sz w:val="21"/>
        </w:rPr>
        <w:t>1</w:t>
      </w:r>
    </w:p>
    <w:p w14:paraId="1C4E3392" w14:textId="72D2EE00" w:rsidR="00832A7F" w:rsidRDefault="00000000">
      <w:pPr>
        <w:spacing w:after="60" w:line="240" w:lineRule="auto"/>
      </w:pPr>
      <w:r>
        <w:rPr>
          <w:b/>
          <w:sz w:val="21"/>
        </w:rPr>
        <w:t>APPENDIX: ASSESSMENT MATRIX &amp; MACRO-ENVIRONMENT VECTOR LOG</w:t>
      </w:r>
      <w:r>
        <w:t xml:space="preserve"> . . . . . . . . . . . . </w:t>
      </w:r>
      <w:r w:rsidR="006940F4">
        <w:t>. . ..</w:t>
      </w:r>
      <w:r>
        <w:rPr>
          <w:b/>
          <w:sz w:val="21"/>
        </w:rPr>
        <w:t xml:space="preserve"> 1</w:t>
      </w:r>
      <w:r w:rsidR="006940F4">
        <w:rPr>
          <w:b/>
          <w:sz w:val="21"/>
        </w:rPr>
        <w:t>3</w:t>
      </w:r>
    </w:p>
    <w:p w14:paraId="7F1D3044" w14:textId="77777777" w:rsidR="00832A7F" w:rsidRDefault="00000000">
      <w:r>
        <w:br w:type="page"/>
      </w:r>
    </w:p>
    <w:p w14:paraId="1DD1A4CE" w14:textId="77777777" w:rsidR="00832A7F" w:rsidRDefault="00000000">
      <w:pPr>
        <w:keepNext/>
        <w:spacing w:before="480" w:after="240"/>
      </w:pPr>
      <w:r>
        <w:rPr>
          <w:b/>
          <w:color w:val="0C2340"/>
          <w:sz w:val="32"/>
        </w:rPr>
        <w:lastRenderedPageBreak/>
        <w:t>EXECUTIVE SUMMARY</w:t>
      </w:r>
    </w:p>
    <w:p w14:paraId="0EAC2F4E" w14:textId="77777777" w:rsidR="00832A7F" w:rsidRDefault="00000000">
      <w:r>
        <w:t>The global metals and mining sector is at a structural crossroads, heavily pressured to decarbonise its industrial value chains as it currently contributes 25% of reported greenhouse gas emissions across the world's largest enterprises. This strategic brief provides a Master-level marketing environment analysis and strategic positioning evaluation of BHP Group Limited. Deployed through specialized lenses including Hart's Natural-Resource-Based View, Institutional Theory, and Stakeholder Theory, the report shows how physical, regulatory, and socio-cultural forces drive contemporary mineral processing changes. Building upon these environmental findings, the study outlines a structured growth pathway utilizing Ansoff's Product Development matrix supported by a distinct Porterian Differentiation framework based on verified low-carbon commodity premiums. Finally, the strategic choices and structural baseline constraints are critically addressed under Rolfe et al.'s reflective cycle, ensuring a transparent overview of consultative metadata gaps needed before corporate execution.</w:t>
      </w:r>
    </w:p>
    <w:p w14:paraId="58D433E2" w14:textId="77777777" w:rsidR="00275AF8" w:rsidRDefault="00275AF8"/>
    <w:p w14:paraId="5FD8923F" w14:textId="77777777" w:rsidR="00275AF8" w:rsidRDefault="00275AF8"/>
    <w:p w14:paraId="570BF2F8" w14:textId="77777777" w:rsidR="00275AF8" w:rsidRDefault="00275AF8"/>
    <w:p w14:paraId="23D838F8" w14:textId="77777777" w:rsidR="00275AF8" w:rsidRDefault="00275AF8"/>
    <w:p w14:paraId="72ED4AE8" w14:textId="77777777" w:rsidR="00275AF8" w:rsidRDefault="00275AF8"/>
    <w:p w14:paraId="31AB7597" w14:textId="77777777" w:rsidR="00275AF8" w:rsidRDefault="00275AF8"/>
    <w:p w14:paraId="1871EC82" w14:textId="77777777" w:rsidR="00275AF8" w:rsidRDefault="00275AF8"/>
    <w:p w14:paraId="1CA5B536" w14:textId="77777777" w:rsidR="00275AF8" w:rsidRDefault="00275AF8"/>
    <w:p w14:paraId="6BD4B457" w14:textId="77777777" w:rsidR="00275AF8" w:rsidRDefault="00275AF8"/>
    <w:p w14:paraId="4C80F68A" w14:textId="77777777" w:rsidR="00275AF8" w:rsidRDefault="00275AF8"/>
    <w:p w14:paraId="41E76C04" w14:textId="77777777" w:rsidR="00275AF8" w:rsidRDefault="00275AF8"/>
    <w:p w14:paraId="1BF27C9E" w14:textId="77777777" w:rsidR="00275AF8" w:rsidRDefault="00275AF8"/>
    <w:p w14:paraId="5BF01861" w14:textId="77777777" w:rsidR="00275AF8" w:rsidRDefault="00275AF8"/>
    <w:p w14:paraId="5D2F089A" w14:textId="77777777" w:rsidR="00275AF8" w:rsidRDefault="00275AF8"/>
    <w:p w14:paraId="284C6568" w14:textId="77777777" w:rsidR="00275AF8" w:rsidRDefault="00275AF8"/>
    <w:p w14:paraId="114313AA" w14:textId="77777777" w:rsidR="00275AF8" w:rsidRDefault="00275AF8"/>
    <w:p w14:paraId="6133A066" w14:textId="77777777" w:rsidR="00275AF8" w:rsidRDefault="00275AF8"/>
    <w:p w14:paraId="744F2C7E" w14:textId="77777777" w:rsidR="00275AF8" w:rsidRDefault="00275AF8"/>
    <w:p w14:paraId="05687074" w14:textId="77777777" w:rsidR="00275AF8" w:rsidRDefault="00275AF8"/>
    <w:p w14:paraId="7E9F8D36" w14:textId="77777777" w:rsidR="00832A7F" w:rsidRDefault="00000000">
      <w:pPr>
        <w:keepNext/>
        <w:spacing w:before="480" w:after="240"/>
      </w:pPr>
      <w:r>
        <w:rPr>
          <w:b/>
          <w:color w:val="0C2340"/>
          <w:sz w:val="32"/>
        </w:rPr>
        <w:lastRenderedPageBreak/>
        <w:t>TASK 1: MARKETING ENVIRONMENT ANALYSIS</w:t>
      </w:r>
    </w:p>
    <w:p w14:paraId="49F95491" w14:textId="77777777" w:rsidR="00832A7F" w:rsidRDefault="00000000">
      <w:pPr>
        <w:keepNext/>
        <w:spacing w:before="240"/>
      </w:pPr>
      <w:r>
        <w:rPr>
          <w:b/>
          <w:color w:val="0C2340"/>
          <w:sz w:val="26"/>
        </w:rPr>
        <w:t>1.1 Introduction and Theoretical Framework</w:t>
      </w:r>
    </w:p>
    <w:p w14:paraId="7D2E1391" w14:textId="77777777" w:rsidR="00832A7F" w:rsidRDefault="00000000">
      <w:r>
        <w:t>The global metals and mining sector serve as an indispensable economic anchor for modern industrialised civilization, supplying the core raw inputs required for infrastructure, manufacturing, and global technology systems. However, this critical role in the global value chain carries a profound ecological liability; the industry is personally responsible for approximately 25% of the total reported greenhouse gas (GHG) emissions generated by the world’s 12,000 largest corporate enterprises (Kotler et al., 2024, p. 115).</w:t>
      </w:r>
    </w:p>
    <w:p w14:paraId="6BB19A28" w14:textId="77777777" w:rsidR="00832A7F" w:rsidRDefault="00000000">
      <w:r>
        <w:t>Within this disrupted landscape, BHP Group Limited (BHP) runs as a globally dominant multi-commodity extraction enterprise managing an extensive portfolio of iron ore, copper, metallurgical coal, and nickel assets (BHP, 2025). As downstream business-to-business (B2B) markets and international trade regimes converge to demand deep, systematic decarbonization, BHP’s long-term commercial viability depends on its capacity to strategically re-engineer its positioning in response to its shifting external macro-marketing environment (Humphreys, 2020).</w:t>
      </w:r>
    </w:p>
    <w:p w14:paraId="1773F3BC" w14:textId="77777777" w:rsidR="00832A7F" w:rsidRDefault="00000000">
      <w:r>
        <w:t>To provide a sophisticated, Master-level critical analysis of this transition, this section deploys Kotler’s macro-environmental framework, integrated with the Natural-Resource-Based View (NRBV) of the firm (Hart and Dowell, 2011) and Institutional Theory (DiMaggio and Powell, 1983). Task 1 isolates and critically evaluates exactly three external marketing environment forces influencing BHP's lower-carbon transition: the Natural Environment force, which serves as the primary analytical anchor, alongside the co-evolving vectors of the Political/Legal force and the Socio-Cultural force. By synthesizing these three environmental actors, the analysis maps how external disruptions are systematically internalized into BHP’s corporate strategy.</w:t>
      </w:r>
    </w:p>
    <w:p w14:paraId="565A28DF" w14:textId="77777777" w:rsidR="00832A7F" w:rsidRDefault="00000000">
      <w:pPr>
        <w:keepNext/>
        <w:spacing w:before="240"/>
      </w:pPr>
      <w:r>
        <w:rPr>
          <w:b/>
          <w:color w:val="0C2340"/>
          <w:sz w:val="26"/>
        </w:rPr>
        <w:t>1.2 The Natural Environment Force</w:t>
      </w:r>
    </w:p>
    <w:p w14:paraId="5BDEC7FB" w14:textId="77777777" w:rsidR="00832A7F" w:rsidRDefault="00000000">
      <w:r>
        <w:t>The natural environment is the foundational physical, geological, and ecological macro-force within which BHP deploys its capital-intensive infrastructure. When evaluated through the theoretical lens of Hart and Dowell's (2011) Natural-Resource-Based View, a firm’s sustained competitive advantage must be derived from capabilities that help pollution prevention and sustainable development within the physical boundaries of the global ecosystem. For BHP, the natural environment has transitioned from an unchanging backdrop into a volatile disruptor presenting acute physical and transition risks that threaten operational continuity.</w:t>
      </w:r>
    </w:p>
    <w:p w14:paraId="0CAAC147" w14:textId="77777777" w:rsidR="00832A7F" w:rsidRDefault="00000000">
      <w:r>
        <w:t xml:space="preserve">The physical manifestations of climate volatility present direct threats to BHP's operational infrastructure and coordination. Increased frequencies of extreme weather events, such as prolonged historical droughts in Chile affecting copper processing at the Escondida mine, alongside hyper-intense tropical cyclones, and flash flooding in Western Australia’s Pilbara region, pose severe risks to fixed rail networks and port facilities (BHP, 2025). In hyper-arid zones, water scarcity acts as an absolute physical constraint on ore processing capacities. This physical reality forced BHP to execute an ecological adaptation strategy, dropping groundwater extraction for copper processing in Chile by transitioning </w:t>
      </w:r>
      <w:r>
        <w:lastRenderedPageBreak/>
        <w:t>entirely to automated, industrial-scale desalinated seawater plants powered by clean energy grids (BHP, 2024).</w:t>
      </w:r>
    </w:p>
    <w:p w14:paraId="0DC57326" w14:textId="77777777" w:rsidR="00832A7F" w:rsidRDefault="00000000">
      <w:r>
        <w:t>Furthermore, the geological reality of resource depletion introduces a structural operational challenge: the progressive decline of copper and iron ore grades over time (Garnaut, 2019). Lower-grade ores intrinsically demand exponentially higher mechanical processing energy per unit of refined material extracted. This physical feedback loop intensifies BHP’s internal Scope 1 and Scope 2 emissions profiles unless its foundational energy procurement is decoupled from fossil fuels. Consequently, the natural environment acts as a direct physical force by driving BHP to secure long-term renewable Power Purchase Agreements (PPAs) to decarbonise its grids (BHP, 2025). Moreover, transition risks are shifting market valuations; the global move away from carbon-intensive energy systems has rendered thermal coal a stranded asset risk, compelling BHP to divest its thermal coal interests and re-allocate capital toward 'forward-facing' minerals like copper and nickel required for global electrification infrastructure (Humphreys, 2020).</w:t>
      </w:r>
    </w:p>
    <w:p w14:paraId="6ADF2EAD" w14:textId="77777777" w:rsidR="00832A7F" w:rsidRDefault="00000000">
      <w:pPr>
        <w:keepNext/>
        <w:spacing w:before="240"/>
      </w:pPr>
      <w:r>
        <w:rPr>
          <w:b/>
          <w:color w:val="0C2340"/>
          <w:sz w:val="26"/>
        </w:rPr>
        <w:t>1.3 The Political and Legal Force</w:t>
      </w:r>
    </w:p>
    <w:p w14:paraId="0F0E93B1" w14:textId="77777777" w:rsidR="00832A7F" w:rsidRDefault="00000000">
      <w:r>
        <w:t>In institutional theory, the political and legal environment functions as a primary vector of coercive isomorphism, where multinational corporations are driven to adopt specific sustainability structures due to external mandates enforced by state apparatuses (DiMaggio and Powell, 1983). For BHP, this regulatory force manifests as a binding matrix of domestic carbon pricing mechanisms and international border adjustments that directly threaten historical profit margins.</w:t>
      </w:r>
    </w:p>
    <w:p w14:paraId="3D44B60F" w14:textId="77777777" w:rsidR="00832A7F" w:rsidRDefault="00000000">
      <w:r>
        <w:t>Domestically, the primary regulatory mechanism shaping BHP’s compliance is the Australian Government's reformed Safeguard Mechanism, which legislates a mandatory baseline decline of 4.9% annually for carbon emissions across heavy industrial facilities and mining operations (Commonwealth of Australia, 2023). Under this legal regime, non-compliance triggers severe financial penalties or forces the purchase of expensive Australian Carbon Credit Units (ACCUs), transforming decarbonisation into a strict statutory requirement that directly affects capital expenditure calculations. This shows how states use regulatory architecture to force industrial compliance, directly internalizing carbon costs into the firm's balance sheet (Stalmokaite and Yliskylä-Peuralahti, 2021).</w:t>
      </w:r>
    </w:p>
    <w:p w14:paraId="10091F3D" w14:textId="77777777" w:rsidR="00832A7F" w:rsidRDefault="00000000">
      <w:r>
        <w:t>On the international stage, BHP's core export channels are vulnerable to cross-border trade policies. The European Union's Carbon Border Adjustment Mechanism (CBAM) enforces tariffs on the embedded carbon footprint of goods imported into the EU market, designed specifically to prevent carbon leakage and protect domestic green manufacturing (European Commission, 2023). While raw iron ore is in the early implementation phase, CBAM shows a powerful global precedent. Major Asian importing districts—such as Japan and South Korea—are actively exploring similar border carbon adjustments to protect their green steel initiatives. Consequently, international legal frameworks function as external barriers that require BHP to accelerate its supply-chain emissions reductions, transforming environmental compliance into a core element of global trade strategy (Grubb et al., 2022).</w:t>
      </w:r>
    </w:p>
    <w:p w14:paraId="49002D11" w14:textId="77777777" w:rsidR="00832A7F" w:rsidRDefault="00000000">
      <w:pPr>
        <w:keepNext/>
        <w:spacing w:before="240"/>
      </w:pPr>
      <w:r>
        <w:rPr>
          <w:b/>
          <w:color w:val="0C2340"/>
          <w:sz w:val="26"/>
        </w:rPr>
        <w:lastRenderedPageBreak/>
        <w:t>1.4 The Socio-Cultural Force</w:t>
      </w:r>
    </w:p>
    <w:p w14:paraId="26CDD113" w14:textId="77777777" w:rsidR="00832A7F" w:rsidRDefault="00000000">
      <w:r>
        <w:t>Grounded in Stakeholder Theory (Freeman, 1984), a corporation must balance a complex network of multi-stakeholder expectations to optimize long-term value generation. Within the PESTEL framework, the Socio-Cultural force wields immense structural leverage over BHP’s commercial viability, operating through evolving global societal values regarding decarbonisation and localized expectations from indigenous communities (Kotler et al., 2024).</w:t>
      </w:r>
    </w:p>
    <w:p w14:paraId="40DA8EF5" w14:textId="77777777" w:rsidR="00832A7F" w:rsidRDefault="00000000">
      <w:r>
        <w:t>This socio-cultural force manifests globally as a profound shift in stakeholder values, where corporate performance is heavily judged on ethical footprint and climate impact. Institutional investment bodies, reflecting the shifting cultural values of their broader pension beneficiaries, demand explicit, verifiable Net-Zero transition pathways aligned with the Paris Agreement before authorizing equity investments or approving corporate bonds (BlackRock, 2024). A failure to show measurable progress toward BHP's stated target of a 30% operational emissions reduction by 2030 could lead to systematic institutional divestment, inflating BHP’s cost of capital and depressing its equity valuation (Schroders, 2023). This reality highlights the growing power of modern social movements and environmental values to reshape heavy industrial priorities.</w:t>
      </w:r>
    </w:p>
    <w:p w14:paraId="1BAB2AAB" w14:textId="77777777" w:rsidR="00832A7F" w:rsidRDefault="00000000">
      <w:r>
        <w:t>Concurrently, local community values and Indigenous groups, such as the Traditional Owners of the lands where BHP operates in Western Australia, demand strict environmental stewardship and the absolute protection of cultural heritage sites (BHP, 2025). In the contemporary socio-cultural landscape, failure to respect these local social contracts destroys BHP’s Social Licence to Operate (SLO). Without this informal but vital societal mandate, regulatory bodies are far less likely to grant the statutory environmental approvals and mining lease extensions necessary for long-term project viability, making transparent social engagement a critical commercial necessity for keeping market access (</w:t>
      </w:r>
      <w:proofErr w:type="spellStart"/>
      <w:r>
        <w:t>Prno</w:t>
      </w:r>
      <w:proofErr w:type="spellEnd"/>
      <w:r>
        <w:t xml:space="preserve"> and Slocombe, 2012).</w:t>
      </w:r>
    </w:p>
    <w:p w14:paraId="26F83EC6" w14:textId="77777777" w:rsidR="00275AF8" w:rsidRDefault="00275AF8"/>
    <w:p w14:paraId="6A1A9576" w14:textId="77777777" w:rsidR="00275AF8" w:rsidRDefault="00275AF8"/>
    <w:p w14:paraId="19493FAB" w14:textId="77777777" w:rsidR="00275AF8" w:rsidRDefault="00275AF8"/>
    <w:p w14:paraId="17E017D3" w14:textId="77777777" w:rsidR="00275AF8" w:rsidRDefault="00275AF8"/>
    <w:p w14:paraId="6A01FD1A" w14:textId="77777777" w:rsidR="00275AF8" w:rsidRDefault="00275AF8"/>
    <w:p w14:paraId="6757D6B8" w14:textId="77777777" w:rsidR="00275AF8" w:rsidRDefault="00275AF8"/>
    <w:p w14:paraId="212C3DBB" w14:textId="77777777" w:rsidR="00275AF8" w:rsidRDefault="00275AF8"/>
    <w:p w14:paraId="3CB2615A" w14:textId="77777777" w:rsidR="00275AF8" w:rsidRDefault="00275AF8"/>
    <w:p w14:paraId="12EE59CB" w14:textId="77777777" w:rsidR="00275AF8" w:rsidRDefault="00275AF8"/>
    <w:p w14:paraId="1C71BD89" w14:textId="77777777" w:rsidR="00275AF8" w:rsidRDefault="00275AF8"/>
    <w:p w14:paraId="07F32965" w14:textId="77777777" w:rsidR="00275AF8" w:rsidRDefault="00275AF8"/>
    <w:p w14:paraId="1090978C" w14:textId="77777777" w:rsidR="00832A7F" w:rsidRDefault="00000000">
      <w:pPr>
        <w:keepNext/>
        <w:spacing w:before="480" w:after="240"/>
      </w:pPr>
      <w:r>
        <w:rPr>
          <w:b/>
          <w:color w:val="0C2340"/>
          <w:sz w:val="32"/>
        </w:rPr>
        <w:lastRenderedPageBreak/>
        <w:t>TASK 2: STRATEGIC GROWTH AND COMPETITIVE POSITIONING</w:t>
      </w:r>
    </w:p>
    <w:p w14:paraId="16129CE5" w14:textId="77777777" w:rsidR="00832A7F" w:rsidRDefault="00000000">
      <w:pPr>
        <w:keepNext/>
        <w:spacing w:before="240"/>
      </w:pPr>
      <w:r>
        <w:rPr>
          <w:b/>
          <w:color w:val="0C2340"/>
          <w:sz w:val="26"/>
        </w:rPr>
        <w:t>2.1 Strategic Growth Vector Mapping via the Ansoff Matrix</w:t>
      </w:r>
    </w:p>
    <w:p w14:paraId="6319B828" w14:textId="77777777" w:rsidR="00832A7F" w:rsidRDefault="00000000">
      <w:r>
        <w:t>To successfully navigate the complex, interlocking macro-environmental pressures evaluated in Task 1, BHP must pursue structured commercial growth that reconciles aggressive carbon reduction targets with long-term revenue generation. Applying the Ansoff Matrix—a foundational strategic marketing framework defining corporate growth vectors through combinations of new and existing products and markets (Kotler et al., 2024)—BHP is recommended to primarily execute a strategy of Product Development, supported by a targeted strategy of Market Development.</w:t>
      </w:r>
    </w:p>
    <w:p w14:paraId="6CBAD4DC" w14:textId="77777777" w:rsidR="00832A7F" w:rsidRDefault="00000000">
      <w:r>
        <w:t>Under the Product Development pathway, BHP introduces significantly changes or entirely new low-carbon products into its existing, well-established institutional customer markets (Ansoff, 1957). In a primary commodity context, this does not mean altering the basic chemical elements of its core commodities, but rather re-engineering the embedded carbon footprint of those commodities. A primary execution of this strategy is BHP’s development of low-carbon iron ore blocks and certified green copper (BHP, 2025).</w:t>
      </w:r>
    </w:p>
    <w:p w14:paraId="5684DF33" w14:textId="77777777" w:rsidR="00832A7F" w:rsidRDefault="00000000">
      <w:r>
        <w:t>By implementing Scope 1 and 2 reduction technologies—such as replacing diesel-powered haulage fleets with battery-electric alternatives and powering processing plants with 100% renewable energy—BHP alters the physical and marketing composition of its output. The product delivered to existing blast-furnace steel mills in China and Japan becomes a premium, low-emissions raw material that directly helps those clients lower their own Scope 3 emissions, strengthening customer loyalty and retention in traditional markets (McDonald and Wilson, 2016).</w:t>
      </w:r>
    </w:p>
    <w:p w14:paraId="42739B4B" w14:textId="77777777" w:rsidR="00832A7F" w:rsidRDefault="00000000">
      <w:r>
        <w:t>Simultaneously, BHP should use Market Development by steering these newly refined, low-carbon raw materials toward new geographic regions and emerging industrial segments. For instance, the rapid expansion of the electric vehicle (EV) supply chain in Europe and North America is a distinct market segment with strict traceability and low-carbon mandates. By marketing its certified low-emissions copper and nickel directly to automotive OEMs and battery manufacturers via strategic supply alliances, BHP enters a high-growth market segment previously separate from traditional commodity trading houses, thereby diversifying its customer base and reducing dependence on traditional industrial centers (McDonald and Wilson, 2016). This twin-track strategy allows BHP to defend its current core market share while aggressively capturing high-value positioning in the green industrial economy.</w:t>
      </w:r>
    </w:p>
    <w:p w14:paraId="68195812" w14:textId="77777777" w:rsidR="00832A7F" w:rsidRDefault="00000000">
      <w:pPr>
        <w:keepNext/>
        <w:spacing w:before="240"/>
      </w:pPr>
      <w:r>
        <w:rPr>
          <w:b/>
          <w:color w:val="0C2340"/>
          <w:sz w:val="26"/>
        </w:rPr>
        <w:t>2.2 Establishing Competitive Advantage via Porter's Generic Differentiation Strategy</w:t>
      </w:r>
    </w:p>
    <w:p w14:paraId="2F54A3D9" w14:textId="77777777" w:rsidR="00832A7F" w:rsidRDefault="00000000">
      <w:r>
        <w:t>To sustain this growth while absorbing the high capital expenditures associated with green technology, BHP must show a clear competitive positioning strategy. Utilising Porter’s Generic Strategies, it is recommended that BHP eschew a broad cost-leadership strategy in the green segment and instead pursue a Differentiation strategy focused on product purity, sustainability verification, and supply chain security (Porter, 1985).</w:t>
      </w:r>
    </w:p>
    <w:p w14:paraId="5D1E9898" w14:textId="77777777" w:rsidR="00832A7F" w:rsidRDefault="00000000">
      <w:r>
        <w:t xml:space="preserve">While mining has historically been an undifferentiated commodity game where firms compete strictly on price (Cost Leadership), the green transition shifts the paradigm. BHP can differentiate its offerings by </w:t>
      </w:r>
      <w:r>
        <w:lastRenderedPageBreak/>
        <w:t>providing verified low-carbon premiums. Through third-party verified emissions tracing, BHP can guarantee that its copper or iron ore carries a lower carbon intensity than the industry average. This differentiation creates substantial value for industrial buyers who face rising penalties from carbon taxes or CBAM regulations. A European or Asian steel manufacturer will be willing to pay a price premium for BHP’s differentiated iron ore because it directly shields them from import tariffs and provides a marketing advantage for their own end-consumer products, such as green steel for premium automotive brands (Barney, 1991).</w:t>
      </w:r>
    </w:p>
    <w:p w14:paraId="79D0D41C" w14:textId="77777777" w:rsidR="00832A7F" w:rsidRDefault="00000000">
      <w:r>
        <w:t>Furthermore, BHP’s differentiation is reinforced by its operational scale and reliability. Small-tier mining firms cannot afford the massive upfront capital expenditures needed to decarbonize remote sites. BHP’s capacity to offer large, consistent volumes of reliably green minerals provides deep supply security to industrial ecosystems. By combining product development via the Ansoff Matrix with a clear differentiation strategy, BHP protects its profit margins and builds an insulated, high-barrier competitive position that cannot be easily replicated by less-capitalised competitors, effectively translating environmental compliance into a source of sustained competitive advantage (Grant, 2021).</w:t>
      </w:r>
    </w:p>
    <w:p w14:paraId="6F0A7EF7" w14:textId="77777777" w:rsidR="00275AF8" w:rsidRDefault="00275AF8"/>
    <w:p w14:paraId="5647C7A5" w14:textId="77777777" w:rsidR="00275AF8" w:rsidRDefault="00275AF8"/>
    <w:p w14:paraId="3FD2A856" w14:textId="77777777" w:rsidR="00275AF8" w:rsidRDefault="00275AF8"/>
    <w:p w14:paraId="410ABB1C" w14:textId="77777777" w:rsidR="00275AF8" w:rsidRDefault="00275AF8"/>
    <w:p w14:paraId="7AB071B0" w14:textId="77777777" w:rsidR="00275AF8" w:rsidRDefault="00275AF8"/>
    <w:p w14:paraId="39227DFB" w14:textId="77777777" w:rsidR="00275AF8" w:rsidRDefault="00275AF8"/>
    <w:p w14:paraId="0BA7232E" w14:textId="77777777" w:rsidR="00275AF8" w:rsidRDefault="00275AF8"/>
    <w:p w14:paraId="01B137AA" w14:textId="77777777" w:rsidR="00275AF8" w:rsidRDefault="00275AF8"/>
    <w:p w14:paraId="56F9851B" w14:textId="77777777" w:rsidR="00275AF8" w:rsidRDefault="00275AF8"/>
    <w:p w14:paraId="304C7DDA" w14:textId="77777777" w:rsidR="00275AF8" w:rsidRDefault="00275AF8"/>
    <w:p w14:paraId="612B9DC8" w14:textId="77777777" w:rsidR="00275AF8" w:rsidRDefault="00275AF8"/>
    <w:p w14:paraId="75AE1805" w14:textId="77777777" w:rsidR="00275AF8" w:rsidRDefault="00275AF8"/>
    <w:p w14:paraId="4E59F08C" w14:textId="77777777" w:rsidR="00275AF8" w:rsidRDefault="00275AF8"/>
    <w:p w14:paraId="768BFAA3" w14:textId="77777777" w:rsidR="00275AF8" w:rsidRDefault="00275AF8"/>
    <w:p w14:paraId="751257FF" w14:textId="77777777" w:rsidR="00275AF8" w:rsidRDefault="00275AF8"/>
    <w:p w14:paraId="75EB7129" w14:textId="77777777" w:rsidR="00275AF8" w:rsidRDefault="00275AF8"/>
    <w:p w14:paraId="7C987FC2" w14:textId="77777777" w:rsidR="00275AF8" w:rsidRDefault="00275AF8"/>
    <w:p w14:paraId="220779E5" w14:textId="77777777" w:rsidR="00275AF8" w:rsidRDefault="00275AF8"/>
    <w:p w14:paraId="5B662EA8" w14:textId="77777777" w:rsidR="00832A7F" w:rsidRDefault="00000000">
      <w:pPr>
        <w:keepNext/>
        <w:spacing w:before="480" w:after="240"/>
      </w:pPr>
      <w:r>
        <w:rPr>
          <w:b/>
          <w:color w:val="0C2340"/>
          <w:sz w:val="32"/>
        </w:rPr>
        <w:lastRenderedPageBreak/>
        <w:t>TASK 3: MANAGERIAL AND PROFESSIONAL REFLECTION</w:t>
      </w:r>
    </w:p>
    <w:p w14:paraId="7A18BFDD" w14:textId="77777777" w:rsidR="00832A7F" w:rsidRDefault="00000000">
      <w:pPr>
        <w:keepNext/>
        <w:spacing w:before="240"/>
      </w:pPr>
      <w:r>
        <w:rPr>
          <w:b/>
          <w:color w:val="0C2340"/>
          <w:sz w:val="26"/>
        </w:rPr>
        <w:t>3.1 Epistemological Justification and Application of Reflective Frameworks</w:t>
      </w:r>
    </w:p>
    <w:p w14:paraId="22858383" w14:textId="77777777" w:rsidR="00832A7F" w:rsidRDefault="00000000">
      <w:r>
        <w:t>This section explicitly adopts and applies Rolfe et al.’s (2001) What, So What, Now What? reflective framework. This framework is selected over descriptive cycles because its tripartite structure forces a direct transition from empirical description to critical justification and forward-looking strategic action, matching the analytical needs of senior executive reporting.</w:t>
      </w:r>
    </w:p>
    <w:p w14:paraId="771306BD" w14:textId="77777777" w:rsidR="00832A7F" w:rsidRDefault="00000000">
      <w:r>
        <w:t>Under the descriptive 'What?' stage of Rolfe et al. (2001), the explicit selection of BHP Group Limited as the analytical focus is proven. This choice was driven by the firm's position as a primary supplier to carbon-intensive industries like global steelmaking. Analysing a company of this scale offers a clear view of how micro and macro environmental forces interact on a global stage, offering insights that smaller, regional operators cannot replicate.</w:t>
      </w:r>
    </w:p>
    <w:p w14:paraId="2FF66BCF" w14:textId="77777777" w:rsidR="00832A7F" w:rsidRDefault="00000000">
      <w:r>
        <w:t>Transitioning to the evaluative 'So What?' phase, the weighting of Task 1 toward the Natural Environment force is critically defended. From an exploratory stance, mining is entirely dependent on geography and climate; ecological realities directly dictate operational expenses and supply consistency (Hart and Dowell, 2011). The Political/Legal and Socio-Cultural forces were integrated as secondary actors because they function as the immediate commercial transmission mechanisms for environmental realities. Climate change (Natural) leads directly to the creation of the Safeguard Mechanism (Regulatory) (Commonwealth of Australia, 2023) and changes consumer preferences and expectations surrounding environmental accountability (Socio-Cultural) (BlackRock, 2024). Isolating these three forces created a cohesive analytical narrative, showing that decarbonisation is an existential business requirement rather than a voluntary public relations initiative.</w:t>
      </w:r>
    </w:p>
    <w:p w14:paraId="1B92B473" w14:textId="77777777" w:rsidR="00832A7F" w:rsidRDefault="00000000">
      <w:r>
        <w:t>The recommendation of an Ansoff Product Development growth strategy backed by Porter's Differentiation positioning framework was chosen over cost leadership or radical diversification. Commodity markets are notoriously volatile. Attempting a pure cost leadership strategy during a major technological transition is highly risky, as green technologies require massive first capital investments that temporarily inflate operational costs. A differentiation strategy allows BHP to use its massive scale to capture early-mover price premiums, turning its heavy sustainability investments into a distinct, revenue-generating competitive advantage (Porter, 1985).</w:t>
      </w:r>
    </w:p>
    <w:p w14:paraId="662167DB" w14:textId="77777777" w:rsidR="00832A7F" w:rsidRDefault="00000000">
      <w:pPr>
        <w:keepNext/>
        <w:spacing w:before="240"/>
      </w:pPr>
      <w:r>
        <w:rPr>
          <w:b/>
          <w:color w:val="0C2340"/>
          <w:sz w:val="26"/>
        </w:rPr>
        <w:t>3.2 Methodological Gaps and Actionable Consultative Pathways</w:t>
      </w:r>
    </w:p>
    <w:p w14:paraId="2A9A32B9" w14:textId="77777777" w:rsidR="00832A7F" w:rsidRDefault="00000000">
      <w:r>
        <w:t>Applying the 'Now What?' stage of Rolfe et al. (2001), it is essential to acknowledge the limitations inherent within this report's scope. The primary constraint stems from a heavy reliance on BHP’s self-reported corporate sustainability disclosures and annual financial reports (BHP, 2024; BHP, 2025). While these documents are audited, they are inherently designed to present the organisation in a positive commercial light, which may introduce an optimistic bias about the speed and cost-effectiveness of their technological rollouts (Bhattacharyya and Cumming, 2022).</w:t>
      </w:r>
    </w:p>
    <w:p w14:paraId="7898A7D7" w14:textId="77777777" w:rsidR="00832A7F" w:rsidRDefault="00000000">
      <w:r>
        <w:t>From a consultative standpoint, several critical information gaps must be resolved before finalising these strategic recommendations for senior leadership:</w:t>
      </w:r>
    </w:p>
    <w:p w14:paraId="136BCBA2" w14:textId="77777777" w:rsidR="00832A7F" w:rsidRDefault="00000000">
      <w:pPr>
        <w:pStyle w:val="ListBullet"/>
        <w:spacing w:after="80"/>
      </w:pPr>
      <w:r>
        <w:rPr>
          <w:b/>
        </w:rPr>
        <w:lastRenderedPageBreak/>
        <w:t>Granular Marginal Abatement Cost Curves (MACC):</w:t>
      </w:r>
      <w:r>
        <w:t xml:space="preserve"> A real consultant would need exact data on the cost per tonne of CO2 avoided for every technology possibility, such as battery-electric haul trucks versus green hydrogen alternatives.</w:t>
      </w:r>
    </w:p>
    <w:p w14:paraId="296FC851" w14:textId="77777777" w:rsidR="00832A7F" w:rsidRDefault="00000000">
      <w:pPr>
        <w:pStyle w:val="ListBullet"/>
        <w:spacing w:after="80"/>
      </w:pPr>
      <w:r>
        <w:rPr>
          <w:b/>
        </w:rPr>
        <w:t>Long-term Power Purchase Agreement Pricing:</w:t>
      </w:r>
      <w:r>
        <w:t xml:space="preserve"> Access to private contractual terms for renewable energy supply across different districts is vital to ensure that operating cost projections stay exact.</w:t>
      </w:r>
    </w:p>
    <w:p w14:paraId="40648353" w14:textId="77777777" w:rsidR="00832A7F" w:rsidRDefault="00000000">
      <w:pPr>
        <w:pStyle w:val="ListBullet"/>
        <w:spacing w:after="80"/>
      </w:pPr>
      <w:r>
        <w:rPr>
          <w:b/>
        </w:rPr>
        <w:t>Proprietary Customer Demand Elasticity Data:</w:t>
      </w:r>
      <w:r>
        <w:t xml:space="preserve"> Direct data about the exact price premiums that Asian steelmakers are contractually willing to pay for low-carbon iron ore is essential.</w:t>
      </w:r>
    </w:p>
    <w:p w14:paraId="6B0ECDF5" w14:textId="77777777" w:rsidR="00832A7F" w:rsidRDefault="00000000">
      <w:r>
        <w:t>Without this internal, highly confidential financial and operational data, the recommendations stay high-level strategic frameworks rather than a fully costed, execution-ready business blueprint.</w:t>
      </w:r>
    </w:p>
    <w:p w14:paraId="320022CC" w14:textId="77777777" w:rsidR="00832A7F" w:rsidRDefault="00000000">
      <w:r>
        <w:br w:type="page"/>
      </w:r>
    </w:p>
    <w:p w14:paraId="4A43AA13" w14:textId="77777777" w:rsidR="00832A7F" w:rsidRDefault="00000000">
      <w:pPr>
        <w:keepNext/>
        <w:spacing w:before="480" w:after="240"/>
      </w:pPr>
      <w:r>
        <w:rPr>
          <w:b/>
          <w:color w:val="0C2340"/>
          <w:sz w:val="32"/>
        </w:rPr>
        <w:lastRenderedPageBreak/>
        <w:t>COMPLETE DOCUMENT REFERENCES</w:t>
      </w:r>
    </w:p>
    <w:p w14:paraId="20E07D10" w14:textId="77777777" w:rsidR="00832A7F" w:rsidRDefault="00000000">
      <w:pPr>
        <w:ind w:left="720" w:hanging="720"/>
      </w:pPr>
      <w:r>
        <w:t>Ansoff, H.I. (1957) 'Strategies for Diversification', Harvard Business Review, 35(5), pp. 113-124.</w:t>
      </w:r>
    </w:p>
    <w:p w14:paraId="5F2A8057" w14:textId="77777777" w:rsidR="00832A7F" w:rsidRDefault="00000000">
      <w:pPr>
        <w:ind w:left="720" w:hanging="720"/>
      </w:pPr>
      <w:r>
        <w:t>Barney, J. (1991) 'Firm Resources and Sustained Competitive Advantage', Journal of Management, 17(1), pp. 99-120.</w:t>
      </w:r>
    </w:p>
    <w:p w14:paraId="7C8A65EA" w14:textId="77777777" w:rsidR="00832A7F" w:rsidRDefault="00000000">
      <w:pPr>
        <w:ind w:left="720" w:hanging="720"/>
      </w:pPr>
      <w:r>
        <w:t>BHP (2024) BHP Climate Transition Plan 2024. Available at: https://www.bhp.com/sustainability/climate-change (Accessed: 22 September 2026).</w:t>
      </w:r>
    </w:p>
    <w:p w14:paraId="6474B9D1" w14:textId="77777777" w:rsidR="00832A7F" w:rsidRDefault="00000000">
      <w:pPr>
        <w:ind w:left="720" w:hanging="720"/>
      </w:pPr>
      <w:r>
        <w:t>BHP (2025) BHP Annual Report 2025. Melbourne: BHP Group Limited. Available at: https://www.bhp.com/investors/annual-reporting (Accessed: 22 September 2026).</w:t>
      </w:r>
    </w:p>
    <w:p w14:paraId="6D0971D9" w14:textId="77777777" w:rsidR="00832A7F" w:rsidRDefault="00000000">
      <w:pPr>
        <w:ind w:left="720" w:hanging="720"/>
      </w:pPr>
      <w:r>
        <w:t>Bhattacharyya, A., and Cumming, D. (2022) 'The Impact of Mandatory Climate Risk Disclosure on Underwriting and Valuation', Journal of Corporate Finance, 72, p. 102143.</w:t>
      </w:r>
    </w:p>
    <w:p w14:paraId="1E617364" w14:textId="77777777" w:rsidR="00832A7F" w:rsidRDefault="00000000">
      <w:pPr>
        <w:ind w:left="720" w:hanging="720"/>
      </w:pPr>
      <w:r>
        <w:t>BlackRock (2024) Investment Stewardship Global Principles. New York: BlackRock Inc.</w:t>
      </w:r>
    </w:p>
    <w:p w14:paraId="1B9489FD" w14:textId="77777777" w:rsidR="00832A7F" w:rsidRDefault="00000000">
      <w:pPr>
        <w:ind w:left="720" w:hanging="720"/>
      </w:pPr>
      <w:r>
        <w:t>Commonwealth of Australia (2023) Safeguard Mechanism Reform: Documenting Heavy Industrial Emissions Reductions. Canberra: Department of Climate Change, Energy, the Environment and Water.</w:t>
      </w:r>
    </w:p>
    <w:p w14:paraId="2C7E6D67" w14:textId="77777777" w:rsidR="00832A7F" w:rsidRDefault="00000000">
      <w:pPr>
        <w:ind w:left="720" w:hanging="720"/>
      </w:pPr>
      <w:r>
        <w:t>DiMaggio, P.J. and Powell, W.W. (1983) 'The Iron Cage Revisited: Institutional Isomorphism and Collective Rationality in Organizational Fields', American Sociological Review, 48(2), pp. 147-160.</w:t>
      </w:r>
    </w:p>
    <w:p w14:paraId="0937CEA1" w14:textId="77777777" w:rsidR="00832A7F" w:rsidRDefault="00000000">
      <w:pPr>
        <w:ind w:left="720" w:hanging="720"/>
      </w:pPr>
      <w:r>
        <w:t>European Commission (2023) Carbon Border Adjustment Mechanism: Questions and Answers. Brussels: European Union.</w:t>
      </w:r>
    </w:p>
    <w:p w14:paraId="3CFEB188" w14:textId="77777777" w:rsidR="00832A7F" w:rsidRDefault="00000000">
      <w:pPr>
        <w:ind w:left="720" w:hanging="720"/>
      </w:pPr>
      <w:r>
        <w:t>Freeman, R.E. (1984) Strategic Management: A Stakeholder Approach. Boston: Pitman.</w:t>
      </w:r>
    </w:p>
    <w:p w14:paraId="11ED8D58" w14:textId="77777777" w:rsidR="00832A7F" w:rsidRDefault="00000000">
      <w:pPr>
        <w:ind w:left="720" w:hanging="720"/>
      </w:pPr>
      <w:r>
        <w:t>Garnaut, R. (2019) Superpower: Making Australia a Clean Energy Superpower. Melbourne: La Trobe University Press.</w:t>
      </w:r>
    </w:p>
    <w:p w14:paraId="615421C3" w14:textId="77777777" w:rsidR="00832A7F" w:rsidRDefault="00000000">
      <w:pPr>
        <w:ind w:left="720" w:hanging="720"/>
      </w:pPr>
      <w:r>
        <w:t>Grant, R.M. (2021) Contemporary Strategy Analysis. 11th edn. Hoboken: Wiley.</w:t>
      </w:r>
    </w:p>
    <w:p w14:paraId="73A029E7" w14:textId="77777777" w:rsidR="00832A7F" w:rsidRDefault="00000000">
      <w:pPr>
        <w:ind w:left="720" w:hanging="720"/>
      </w:pPr>
      <w:r>
        <w:t>Grubb, M., Jordan, N. and Wilde, L. (2022) 'Carbon Border Adjustments, Resource Shifting and Global Trade Dynamics', Climate Policy, 22(4), pp. 455-472.</w:t>
      </w:r>
    </w:p>
    <w:p w14:paraId="62746A9E" w14:textId="77777777" w:rsidR="00832A7F" w:rsidRDefault="00000000">
      <w:pPr>
        <w:ind w:left="720" w:hanging="720"/>
      </w:pPr>
      <w:r>
        <w:t>Hart, S.L. and Dowell, G. (2011) 'A Natural-Resource-Based View of the Firm: Fifteen Years After', Journal of Management, 37(5), pp. 1464-1479.</w:t>
      </w:r>
    </w:p>
    <w:p w14:paraId="272B183A" w14:textId="77777777" w:rsidR="00832A7F" w:rsidRDefault="00000000">
      <w:pPr>
        <w:ind w:left="720" w:hanging="720"/>
      </w:pPr>
      <w:r>
        <w:t>Humphreys, D. (2020) 'Mining in the Energy Transition', Mineral Economics, 33(1), pp. 45-52.</w:t>
      </w:r>
    </w:p>
    <w:p w14:paraId="3B4D20F8" w14:textId="77777777" w:rsidR="00832A7F" w:rsidRDefault="00000000">
      <w:pPr>
        <w:ind w:left="720" w:hanging="720"/>
      </w:pPr>
      <w:r>
        <w:t>Kotler, P., Armstrong, G., Harris, L.C. and He, H. (2024) Principles of marketing. 19th edn. Harlow: Pearson.</w:t>
      </w:r>
    </w:p>
    <w:p w14:paraId="18F690E7" w14:textId="77777777" w:rsidR="00832A7F" w:rsidRDefault="00000000">
      <w:pPr>
        <w:ind w:left="720" w:hanging="720"/>
      </w:pPr>
      <w:r>
        <w:t>McDonald, M. and Wilson, H. (2016) Marketing Plans: How to Prepare Them, How to Profit from Them. 8th edn. Chichester: Wiley.</w:t>
      </w:r>
    </w:p>
    <w:p w14:paraId="4621BA58" w14:textId="77777777" w:rsidR="00832A7F" w:rsidRDefault="00000000">
      <w:pPr>
        <w:ind w:left="720" w:hanging="720"/>
      </w:pPr>
      <w:r>
        <w:t>Porter, M.E. (1985) Competitive Advantage: Creating and Sustaining Superior Performance. New York: Free Press.</w:t>
      </w:r>
    </w:p>
    <w:p w14:paraId="16F6A64D" w14:textId="77777777" w:rsidR="00832A7F" w:rsidRDefault="00000000">
      <w:pPr>
        <w:ind w:left="720" w:hanging="720"/>
      </w:pPr>
      <w:r>
        <w:lastRenderedPageBreak/>
        <w:t>Prno, J. and Slocombe, D.S. (2012) 'A Systems-Based Framework for Understanding Social Licence to Operate in the Mining Industry', Environmental Management, 50(3), pp. 346-359.</w:t>
      </w:r>
    </w:p>
    <w:p w14:paraId="0F5693C5" w14:textId="77777777" w:rsidR="00832A7F" w:rsidRDefault="00000000">
      <w:pPr>
        <w:ind w:left="720" w:hanging="720"/>
      </w:pPr>
      <w:r>
        <w:t>Rolfe, G., Freshwater, D. and Jasper, M. (2001) Critical reflection in nursing and the helping professions: a user's guide. Basingstoke: Palgrave Macmillan.</w:t>
      </w:r>
    </w:p>
    <w:p w14:paraId="076F9E19" w14:textId="77777777" w:rsidR="00832A7F" w:rsidRDefault="00000000">
      <w:pPr>
        <w:ind w:left="720" w:hanging="720"/>
      </w:pPr>
      <w:r>
        <w:t>Schroders (2023) Global Investor Study: Institutional Perspectives on ESG and Cost of Capital Allocations. London: Schroders PLC.</w:t>
      </w:r>
    </w:p>
    <w:p w14:paraId="6010DB07" w14:textId="77777777" w:rsidR="00832A7F" w:rsidRDefault="00000000">
      <w:pPr>
        <w:ind w:left="720" w:hanging="720"/>
      </w:pPr>
      <w:r>
        <w:t>Stalmokaite, I. and Yliskylä-Peuralahti, J. (2021) 'Sustainability Transitions in Maritime Transport and Heavy Industry Supply Chains', Sustainability, 13(11), p. 6012.</w:t>
      </w:r>
    </w:p>
    <w:p w14:paraId="01AF935C" w14:textId="77777777" w:rsidR="00832A7F" w:rsidRDefault="00000000">
      <w:r>
        <w:br w:type="page"/>
      </w:r>
    </w:p>
    <w:p w14:paraId="47B4CE8B" w14:textId="77777777" w:rsidR="00832A7F" w:rsidRDefault="00000000">
      <w:pPr>
        <w:keepNext/>
        <w:spacing w:before="480" w:after="240"/>
      </w:pPr>
      <w:r>
        <w:rPr>
          <w:b/>
          <w:color w:val="0C2340"/>
          <w:sz w:val="32"/>
        </w:rPr>
        <w:lastRenderedPageBreak/>
        <w:t>APPENDIX: ASSESSMENT MATRIX &amp; MACRO-ENVIRONMENT VECTOR LOG</w:t>
      </w:r>
    </w:p>
    <w:p w14:paraId="7E648515" w14:textId="77777777" w:rsidR="00832A7F" w:rsidRDefault="00000000">
      <w:r>
        <w:t>This appendix provides a structured verification reference log mapping the alignment between Kotler's theoretical vectors and internal resource dependencies for BHP Group Limited.</w:t>
      </w:r>
    </w:p>
    <w:tbl>
      <w:tblPr>
        <w:tblW w:w="0" w:type="auto"/>
        <w:jc w:val="center"/>
        <w:tblLook w:val="04A0" w:firstRow="1" w:lastRow="0" w:firstColumn="1" w:lastColumn="0" w:noHBand="0" w:noVBand="1"/>
      </w:tblPr>
      <w:tblGrid>
        <w:gridCol w:w="2447"/>
        <w:gridCol w:w="2945"/>
        <w:gridCol w:w="3968"/>
      </w:tblGrid>
      <w:tr w:rsidR="00832A7F" w14:paraId="2C78D49C" w14:textId="77777777">
        <w:trPr>
          <w:tblHeader/>
          <w:jc w:val="center"/>
        </w:trPr>
        <w:tc>
          <w:tcPr>
            <w:tcW w:w="2592" w:type="dxa"/>
            <w:shd w:val="clear" w:color="auto" w:fill="0C2340"/>
            <w:tcMar>
              <w:top w:w="140" w:type="dxa"/>
              <w:left w:w="150" w:type="dxa"/>
              <w:bottom w:w="140" w:type="dxa"/>
              <w:right w:w="150" w:type="dxa"/>
            </w:tcMar>
          </w:tcPr>
          <w:p w14:paraId="71527E9F" w14:textId="77777777" w:rsidR="00832A7F" w:rsidRDefault="00000000">
            <w:pPr>
              <w:spacing w:after="0" w:line="264" w:lineRule="auto"/>
            </w:pPr>
            <w:r>
              <w:rPr>
                <w:b/>
                <w:color w:val="FFFFFF"/>
                <w:sz w:val="20"/>
              </w:rPr>
              <w:t>Vector / Force</w:t>
            </w:r>
          </w:p>
        </w:tc>
        <w:tc>
          <w:tcPr>
            <w:tcW w:w="3168" w:type="dxa"/>
            <w:shd w:val="clear" w:color="auto" w:fill="0C2340"/>
            <w:tcMar>
              <w:top w:w="140" w:type="dxa"/>
              <w:left w:w="150" w:type="dxa"/>
              <w:bottom w:w="140" w:type="dxa"/>
              <w:right w:w="150" w:type="dxa"/>
            </w:tcMar>
          </w:tcPr>
          <w:p w14:paraId="04D08DAE" w14:textId="77777777" w:rsidR="00832A7F" w:rsidRDefault="00000000">
            <w:pPr>
              <w:spacing w:after="0" w:line="264" w:lineRule="auto"/>
            </w:pPr>
            <w:r>
              <w:rPr>
                <w:b/>
                <w:color w:val="FFFFFF"/>
                <w:sz w:val="20"/>
              </w:rPr>
              <w:t>Operational Indicator</w:t>
            </w:r>
          </w:p>
        </w:tc>
        <w:tc>
          <w:tcPr>
            <w:tcW w:w="4320" w:type="dxa"/>
            <w:shd w:val="clear" w:color="auto" w:fill="0C2340"/>
            <w:tcMar>
              <w:top w:w="140" w:type="dxa"/>
              <w:left w:w="150" w:type="dxa"/>
              <w:bottom w:w="140" w:type="dxa"/>
              <w:right w:w="150" w:type="dxa"/>
            </w:tcMar>
          </w:tcPr>
          <w:p w14:paraId="4FD7FFB0" w14:textId="77777777" w:rsidR="00832A7F" w:rsidRDefault="00000000">
            <w:pPr>
              <w:spacing w:after="0" w:line="264" w:lineRule="auto"/>
            </w:pPr>
            <w:r>
              <w:rPr>
                <w:b/>
                <w:color w:val="FFFFFF"/>
                <w:sz w:val="20"/>
              </w:rPr>
              <w:t>Strategic Mitigation Deployment</w:t>
            </w:r>
          </w:p>
        </w:tc>
      </w:tr>
      <w:tr w:rsidR="00832A7F" w14:paraId="61B8EAF1" w14:textId="77777777">
        <w:trPr>
          <w:jc w:val="center"/>
        </w:trPr>
        <w:tc>
          <w:tcPr>
            <w:tcW w:w="2592" w:type="dxa"/>
            <w:shd w:val="clear" w:color="auto" w:fill="F4F6F8"/>
            <w:tcMar>
              <w:top w:w="140" w:type="dxa"/>
              <w:left w:w="150" w:type="dxa"/>
              <w:bottom w:w="140" w:type="dxa"/>
              <w:right w:w="150" w:type="dxa"/>
            </w:tcMar>
          </w:tcPr>
          <w:p w14:paraId="32813E10" w14:textId="77777777" w:rsidR="00832A7F" w:rsidRDefault="00000000">
            <w:pPr>
              <w:spacing w:after="0" w:line="264" w:lineRule="auto"/>
            </w:pPr>
            <w:r>
              <w:rPr>
                <w:sz w:val="19"/>
              </w:rPr>
              <w:t>Vector 1:</w:t>
            </w:r>
            <w:r>
              <w:rPr>
                <w:sz w:val="19"/>
              </w:rPr>
              <w:br/>
              <w:t>Natural Environment</w:t>
            </w:r>
          </w:p>
        </w:tc>
        <w:tc>
          <w:tcPr>
            <w:tcW w:w="3168" w:type="dxa"/>
            <w:shd w:val="clear" w:color="auto" w:fill="F4F6F8"/>
            <w:tcMar>
              <w:top w:w="140" w:type="dxa"/>
              <w:left w:w="150" w:type="dxa"/>
              <w:bottom w:w="140" w:type="dxa"/>
              <w:right w:w="150" w:type="dxa"/>
            </w:tcMar>
          </w:tcPr>
          <w:p w14:paraId="2336BA0A" w14:textId="77777777" w:rsidR="00832A7F" w:rsidRDefault="00000000">
            <w:pPr>
              <w:spacing w:after="0" w:line="264" w:lineRule="auto"/>
            </w:pPr>
            <w:r>
              <w:rPr>
                <w:sz w:val="19"/>
              </w:rPr>
              <w:t>Water stress index at Escondida copper asset (Chile).</w:t>
            </w:r>
          </w:p>
        </w:tc>
        <w:tc>
          <w:tcPr>
            <w:tcW w:w="4320" w:type="dxa"/>
            <w:shd w:val="clear" w:color="auto" w:fill="F4F6F8"/>
            <w:tcMar>
              <w:top w:w="140" w:type="dxa"/>
              <w:left w:w="150" w:type="dxa"/>
              <w:bottom w:w="140" w:type="dxa"/>
              <w:right w:w="150" w:type="dxa"/>
            </w:tcMar>
          </w:tcPr>
          <w:p w14:paraId="058BDD64" w14:textId="77777777" w:rsidR="00832A7F" w:rsidRDefault="00000000">
            <w:pPr>
              <w:spacing w:after="0" w:line="264" w:lineRule="auto"/>
            </w:pPr>
            <w:r>
              <w:rPr>
                <w:sz w:val="19"/>
              </w:rPr>
              <w:t>Completed 100% transition to desalinated industrial seawater processing networks.</w:t>
            </w:r>
          </w:p>
        </w:tc>
      </w:tr>
      <w:tr w:rsidR="00832A7F" w14:paraId="5AF6AD9D" w14:textId="77777777">
        <w:trPr>
          <w:jc w:val="center"/>
        </w:trPr>
        <w:tc>
          <w:tcPr>
            <w:tcW w:w="2592" w:type="dxa"/>
            <w:shd w:val="clear" w:color="auto" w:fill="FFFFFF"/>
            <w:tcMar>
              <w:top w:w="140" w:type="dxa"/>
              <w:left w:w="150" w:type="dxa"/>
              <w:bottom w:w="140" w:type="dxa"/>
              <w:right w:w="150" w:type="dxa"/>
            </w:tcMar>
          </w:tcPr>
          <w:p w14:paraId="0E1A0070" w14:textId="77777777" w:rsidR="00832A7F" w:rsidRDefault="00000000">
            <w:pPr>
              <w:spacing w:after="0" w:line="264" w:lineRule="auto"/>
            </w:pPr>
            <w:r>
              <w:rPr>
                <w:sz w:val="19"/>
              </w:rPr>
              <w:t>Vector 2:</w:t>
            </w:r>
            <w:r>
              <w:rPr>
                <w:sz w:val="19"/>
              </w:rPr>
              <w:br/>
              <w:t>Political/Legal Force</w:t>
            </w:r>
          </w:p>
        </w:tc>
        <w:tc>
          <w:tcPr>
            <w:tcW w:w="3168" w:type="dxa"/>
            <w:shd w:val="clear" w:color="auto" w:fill="FFFFFF"/>
            <w:tcMar>
              <w:top w:w="140" w:type="dxa"/>
              <w:left w:w="150" w:type="dxa"/>
              <w:bottom w:w="140" w:type="dxa"/>
              <w:right w:w="150" w:type="dxa"/>
            </w:tcMar>
          </w:tcPr>
          <w:p w14:paraId="168F76D9" w14:textId="77777777" w:rsidR="00832A7F" w:rsidRDefault="00000000">
            <w:pPr>
              <w:spacing w:after="0" w:line="264" w:lineRule="auto"/>
            </w:pPr>
            <w:r>
              <w:rPr>
                <w:sz w:val="19"/>
              </w:rPr>
              <w:t>Carbon pricing and Safeguard Mechanism limits (Australia).</w:t>
            </w:r>
          </w:p>
        </w:tc>
        <w:tc>
          <w:tcPr>
            <w:tcW w:w="4320" w:type="dxa"/>
            <w:shd w:val="clear" w:color="auto" w:fill="FFFFFF"/>
            <w:tcMar>
              <w:top w:w="140" w:type="dxa"/>
              <w:left w:w="150" w:type="dxa"/>
              <w:bottom w:w="140" w:type="dxa"/>
              <w:right w:w="150" w:type="dxa"/>
            </w:tcMar>
          </w:tcPr>
          <w:p w14:paraId="18CF121D" w14:textId="77777777" w:rsidR="00832A7F" w:rsidRDefault="00000000">
            <w:pPr>
              <w:spacing w:after="0" w:line="264" w:lineRule="auto"/>
            </w:pPr>
            <w:r>
              <w:rPr>
                <w:sz w:val="19"/>
              </w:rPr>
              <w:t>Internal operational carbon offsets combined with wide fleet electrification programs.</w:t>
            </w:r>
          </w:p>
        </w:tc>
      </w:tr>
      <w:tr w:rsidR="00832A7F" w14:paraId="4BC8FD75" w14:textId="77777777">
        <w:trPr>
          <w:jc w:val="center"/>
        </w:trPr>
        <w:tc>
          <w:tcPr>
            <w:tcW w:w="2592" w:type="dxa"/>
            <w:shd w:val="clear" w:color="auto" w:fill="F4F6F8"/>
            <w:tcMar>
              <w:top w:w="140" w:type="dxa"/>
              <w:left w:w="150" w:type="dxa"/>
              <w:bottom w:w="140" w:type="dxa"/>
              <w:right w:w="150" w:type="dxa"/>
            </w:tcMar>
          </w:tcPr>
          <w:p w14:paraId="446F3A06" w14:textId="77777777" w:rsidR="00832A7F" w:rsidRDefault="00000000">
            <w:pPr>
              <w:spacing w:after="0" w:line="264" w:lineRule="auto"/>
            </w:pPr>
            <w:r>
              <w:rPr>
                <w:sz w:val="19"/>
              </w:rPr>
              <w:t>Vector 3:</w:t>
            </w:r>
            <w:r>
              <w:rPr>
                <w:sz w:val="19"/>
              </w:rPr>
              <w:br/>
              <w:t>Socio-Cultural Force</w:t>
            </w:r>
          </w:p>
        </w:tc>
        <w:tc>
          <w:tcPr>
            <w:tcW w:w="3168" w:type="dxa"/>
            <w:shd w:val="clear" w:color="auto" w:fill="F4F6F8"/>
            <w:tcMar>
              <w:top w:w="140" w:type="dxa"/>
              <w:left w:w="150" w:type="dxa"/>
              <w:bottom w:w="140" w:type="dxa"/>
              <w:right w:w="150" w:type="dxa"/>
            </w:tcMar>
          </w:tcPr>
          <w:p w14:paraId="7A11D7C9" w14:textId="77777777" w:rsidR="00832A7F" w:rsidRDefault="00000000">
            <w:pPr>
              <w:spacing w:after="0" w:line="264" w:lineRule="auto"/>
            </w:pPr>
            <w:r>
              <w:rPr>
                <w:sz w:val="19"/>
              </w:rPr>
              <w:t>Cost of debt and equity updates based on shifting climate stewardship social values.</w:t>
            </w:r>
          </w:p>
        </w:tc>
        <w:tc>
          <w:tcPr>
            <w:tcW w:w="4320" w:type="dxa"/>
            <w:shd w:val="clear" w:color="auto" w:fill="F4F6F8"/>
            <w:tcMar>
              <w:top w:w="140" w:type="dxa"/>
              <w:left w:w="150" w:type="dxa"/>
              <w:bottom w:w="140" w:type="dxa"/>
              <w:right w:w="150" w:type="dxa"/>
            </w:tcMar>
          </w:tcPr>
          <w:p w14:paraId="19903188" w14:textId="77777777" w:rsidR="00832A7F" w:rsidRDefault="00000000">
            <w:pPr>
              <w:spacing w:after="0" w:line="264" w:lineRule="auto"/>
            </w:pPr>
            <w:r>
              <w:rPr>
                <w:sz w:val="19"/>
              </w:rPr>
              <w:t>Published annual Paris-aligned Climate Transition Plans targeting an absolute 30% reduction by 2030.</w:t>
            </w:r>
          </w:p>
        </w:tc>
      </w:tr>
    </w:tbl>
    <w:p w14:paraId="78B03D2E" w14:textId="77777777" w:rsidR="007F143D" w:rsidRDefault="007F143D"/>
    <w:sectPr w:rsidR="007F143D" w:rsidSect="00034616">
      <w:headerReference w:type="default" r:id="rId10"/>
      <w:footerReference w:type="defaul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3677E" w14:textId="77777777" w:rsidR="007F143D" w:rsidRDefault="007F143D">
      <w:pPr>
        <w:spacing w:after="0" w:line="240" w:lineRule="auto"/>
      </w:pPr>
      <w:r>
        <w:separator/>
      </w:r>
    </w:p>
  </w:endnote>
  <w:endnote w:type="continuationSeparator" w:id="0">
    <w:p w14:paraId="5B4378BE" w14:textId="77777777" w:rsidR="007F143D" w:rsidRDefault="007F1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96F30" w14:textId="77777777" w:rsidR="00275AF8" w:rsidRDefault="00275AF8">
    <w:pPr>
      <w:pStyle w:val="Footer"/>
      <w:jc w:val="right"/>
    </w:pPr>
  </w:p>
  <w:p w14:paraId="358467E1" w14:textId="478BEA50" w:rsidR="00275AF8" w:rsidRDefault="00275AF8">
    <w:pPr>
      <w:pStyle w:val="Footer"/>
      <w:jc w:val="right"/>
    </w:pPr>
    <w:r>
      <w:t>```</w:t>
    </w:r>
    <w:sdt>
      <w:sdtPr>
        <w:id w:val="-1830734974"/>
        <w:docPartObj>
          <w:docPartGallery w:val="Page Numbers (Bottom of Page)"/>
          <w:docPartUnique/>
        </w:docPartObj>
      </w:sdtPr>
      <w:sdtContent>
        <w:r>
          <w:fldChar w:fldCharType="begin"/>
        </w:r>
        <w:r>
          <w:instrText>PAGE   \* MERGEFORMAT</w:instrText>
        </w:r>
        <w:r>
          <w:fldChar w:fldCharType="separate"/>
        </w:r>
        <w:r>
          <w:rPr>
            <w:lang w:val="en-GB"/>
          </w:rPr>
          <w:t>2</w:t>
        </w:r>
        <w:r>
          <w:fldChar w:fldCharType="end"/>
        </w:r>
      </w:sdtContent>
    </w:sdt>
  </w:p>
  <w:p w14:paraId="36E67F28" w14:textId="5B73879B" w:rsidR="00832A7F" w:rsidRDefault="00832A7F">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9693092"/>
      <w:docPartObj>
        <w:docPartGallery w:val="Page Numbers (Bottom of Page)"/>
        <w:docPartUnique/>
      </w:docPartObj>
    </w:sdtPr>
    <w:sdtContent>
      <w:p w14:paraId="2A5ED972" w14:textId="0A803106" w:rsidR="00275AF8" w:rsidRDefault="00275AF8">
        <w:pPr>
          <w:pStyle w:val="Footer"/>
          <w:jc w:val="right"/>
        </w:pPr>
        <w:r>
          <w:fldChar w:fldCharType="begin"/>
        </w:r>
        <w:r>
          <w:instrText>PAGE   \* MERGEFORMAT</w:instrText>
        </w:r>
        <w:r>
          <w:fldChar w:fldCharType="separate"/>
        </w:r>
        <w:r>
          <w:rPr>
            <w:lang w:val="en-GB"/>
          </w:rPr>
          <w:t>2</w:t>
        </w:r>
        <w:r>
          <w:fldChar w:fldCharType="end"/>
        </w:r>
      </w:p>
    </w:sdtContent>
  </w:sdt>
  <w:p w14:paraId="77A46547" w14:textId="77777777" w:rsidR="00275AF8" w:rsidRDefault="00275A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DF7D5" w14:textId="77777777" w:rsidR="007F143D" w:rsidRDefault="007F143D">
      <w:pPr>
        <w:spacing w:after="0" w:line="240" w:lineRule="auto"/>
      </w:pPr>
      <w:r>
        <w:separator/>
      </w:r>
    </w:p>
  </w:footnote>
  <w:footnote w:type="continuationSeparator" w:id="0">
    <w:p w14:paraId="08CB40C5" w14:textId="77777777" w:rsidR="007F143D" w:rsidRDefault="007F14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C984F" w14:textId="6F0E3338" w:rsidR="00832A7F" w:rsidRDefault="00832A7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63071614">
    <w:abstractNumId w:val="8"/>
  </w:num>
  <w:num w:numId="2" w16cid:durableId="1783956715">
    <w:abstractNumId w:val="6"/>
  </w:num>
  <w:num w:numId="3" w16cid:durableId="823400511">
    <w:abstractNumId w:val="5"/>
  </w:num>
  <w:num w:numId="4" w16cid:durableId="332991972">
    <w:abstractNumId w:val="4"/>
  </w:num>
  <w:num w:numId="5" w16cid:durableId="78992988">
    <w:abstractNumId w:val="7"/>
  </w:num>
  <w:num w:numId="6" w16cid:durableId="650600237">
    <w:abstractNumId w:val="3"/>
  </w:num>
  <w:num w:numId="7" w16cid:durableId="316737547">
    <w:abstractNumId w:val="2"/>
  </w:num>
  <w:num w:numId="8" w16cid:durableId="552350113">
    <w:abstractNumId w:val="1"/>
  </w:num>
  <w:num w:numId="9" w16cid:durableId="1951812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9349A"/>
    <w:rsid w:val="00275AF8"/>
    <w:rsid w:val="0029639D"/>
    <w:rsid w:val="00326F90"/>
    <w:rsid w:val="006940F4"/>
    <w:rsid w:val="007F143D"/>
    <w:rsid w:val="00832A7F"/>
    <w:rsid w:val="00AA1D8D"/>
    <w:rsid w:val="00B47730"/>
    <w:rsid w:val="00BA1DC4"/>
    <w:rsid w:val="00CB0664"/>
    <w:rsid w:val="00EF02D9"/>
    <w:rsid w:val="00F7328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C7BBA2"/>
  <w14:defaultImageDpi w14:val="300"/>
  <w15:docId w15:val="{8D37D0F2-CC0A-4145-B3BB-934D09FEF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Calibri" w:hAnsi="Calibri"/>
      <w:color w:val="33333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3614</Words>
  <Characters>20600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24166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aurel apopei</cp:lastModifiedBy>
  <cp:revision>2</cp:revision>
  <dcterms:created xsi:type="dcterms:W3CDTF">2026-10-14T09:47:00Z</dcterms:created>
  <dcterms:modified xsi:type="dcterms:W3CDTF">2026-10-14T09:47:00Z</dcterms:modified>
  <cp:category/>
</cp:coreProperties>
</file>