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spacing w:before="280" w:lineRule="auto"/>
        <w:jc w:val="center"/>
        <w:rPr/>
      </w:pPr>
      <w:bookmarkStart w:colFirst="0" w:colLast="0" w:name="_a0mbfcpzrpxl" w:id="0"/>
      <w:bookmarkEnd w:id="0"/>
      <w:r w:rsidDel="00000000" w:rsidR="00000000" w:rsidRPr="00000000">
        <w:rPr>
          <w:b w:val="1"/>
          <w:sz w:val="48"/>
          <w:szCs w:val="48"/>
          <w:rtl w:val="0"/>
        </w:rPr>
        <w:t xml:space="preserve">Tailored Coping Strategies for Neurodiverse Students: Reducing Performance Anxiety and Enhancing Vocal Confidence</w:t>
      </w:r>
      <w:r w:rsidDel="00000000" w:rsidR="00000000" w:rsidRPr="00000000">
        <w:rPr>
          <w:rtl w:val="0"/>
        </w:rPr>
      </w:r>
    </w:p>
    <w:p w:rsidR="00000000" w:rsidDel="00000000" w:rsidP="00000000" w:rsidRDefault="00000000" w:rsidRPr="00000000" w14:paraId="00000002">
      <w:pPr>
        <w:spacing w:after="0" w:line="360" w:lineRule="auto"/>
        <w:ind w:right="-13060"/>
        <w:jc w:val="center"/>
        <w:rPr>
          <w:b w:val="1"/>
          <w:sz w:val="24"/>
          <w:szCs w:val="24"/>
        </w:rPr>
      </w:pPr>
      <w:r w:rsidDel="00000000" w:rsidR="00000000" w:rsidRPr="00000000">
        <w:rPr>
          <w:b w:val="1"/>
          <w:sz w:val="24"/>
          <w:szCs w:val="24"/>
          <w:rtl w:val="0"/>
        </w:rPr>
        <w:t xml:space="preserve">                                                       </w:t>
      </w:r>
      <w:r w:rsidDel="00000000" w:rsidR="00000000" w:rsidRPr="00000000">
        <w:rPr>
          <w:b w:val="1"/>
          <w:sz w:val="24"/>
          <w:szCs w:val="24"/>
          <w:rtl w:val="0"/>
        </w:rPr>
        <w:t xml:space="preserve">BMPF7326</w:t>
      </w:r>
    </w:p>
    <w:p w:rsidR="00000000" w:rsidDel="00000000" w:rsidP="00000000" w:rsidRDefault="00000000" w:rsidRPr="00000000" w14:paraId="00000003">
      <w:pPr>
        <w:spacing w:line="360" w:lineRule="auto"/>
        <w:jc w:val="center"/>
        <w:rPr>
          <w:i w:val="1"/>
          <w:sz w:val="28"/>
          <w:szCs w:val="28"/>
        </w:rPr>
      </w:pPr>
      <w:r w:rsidDel="00000000" w:rsidR="00000000" w:rsidRPr="00000000">
        <w:rPr>
          <w:i w:val="1"/>
          <w:sz w:val="28"/>
          <w:szCs w:val="28"/>
          <w:rtl w:val="0"/>
        </w:rPr>
        <w:t xml:space="preserve">C Turvey - 2317236</w:t>
      </w:r>
    </w:p>
    <w:p w:rsidR="00000000" w:rsidDel="00000000" w:rsidP="00000000" w:rsidRDefault="00000000" w:rsidRPr="00000000" w14:paraId="00000004">
      <w:pPr>
        <w:spacing w:line="360" w:lineRule="auto"/>
        <w:jc w:val="center"/>
        <w:rPr>
          <w:sz w:val="28"/>
          <w:szCs w:val="28"/>
        </w:rPr>
      </w:pPr>
      <w:r w:rsidDel="00000000" w:rsidR="00000000" w:rsidRPr="00000000">
        <w:rPr>
          <w:sz w:val="28"/>
          <w:szCs w:val="28"/>
          <w:rtl w:val="0"/>
        </w:rPr>
        <w:t xml:space="preserve">BMPF7326</w:t>
      </w:r>
      <w:r w:rsidDel="00000000" w:rsidR="00000000" w:rsidRPr="00000000">
        <w:rPr>
          <w:rtl w:val="0"/>
        </w:rPr>
      </w:r>
    </w:p>
    <w:p w:rsidR="00000000" w:rsidDel="00000000" w:rsidP="00000000" w:rsidRDefault="00000000" w:rsidRPr="00000000" w14:paraId="00000005">
      <w:pPr>
        <w:spacing w:line="360" w:lineRule="auto"/>
        <w:jc w:val="center"/>
        <w:rPr>
          <w:i w:val="1"/>
          <w:sz w:val="28"/>
          <w:szCs w:val="28"/>
        </w:rPr>
      </w:pPr>
      <w:r w:rsidDel="00000000" w:rsidR="00000000" w:rsidRPr="00000000">
        <w:rPr>
          <w:i w:val="1"/>
          <w:sz w:val="28"/>
          <w:szCs w:val="28"/>
          <w:rtl w:val="0"/>
        </w:rPr>
        <w:t xml:space="preserve">Word Count-6597</w:t>
      </w:r>
    </w:p>
    <w:p w:rsidR="00000000" w:rsidDel="00000000" w:rsidP="00000000" w:rsidRDefault="00000000" w:rsidRPr="00000000" w14:paraId="00000006">
      <w:pPr>
        <w:spacing w:line="276" w:lineRule="auto"/>
        <w:jc w:val="center"/>
        <w:rPr>
          <w:i w:val="1"/>
          <w:sz w:val="28"/>
          <w:szCs w:val="2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tabs>
              <w:tab w:val="right" w:leader="none" w:pos="12000"/>
            </w:tabs>
            <w:spacing w:before="60" w:line="276"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jbyydxjdysl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Proposal</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276" w:lineRule="auto"/>
            <w:ind w:left="360" w:firstLine="0"/>
            <w:rPr>
              <w:color w:val="000000"/>
              <w:u w:val="none"/>
            </w:rPr>
          </w:pPr>
          <w:hyperlink w:anchor="_yv19exmsjg8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Context of the Work</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before="60" w:line="276" w:lineRule="auto"/>
            <w:ind w:left="360" w:firstLine="0"/>
            <w:rPr>
              <w:color w:val="000000"/>
              <w:u w:val="none"/>
            </w:rPr>
          </w:pPr>
          <w:hyperlink w:anchor="_7jtpzyavilf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Justification</w:t>
              <w:tab/>
              <w:t xml:space="preserve">3</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276" w:lineRule="auto"/>
            <w:ind w:left="360" w:firstLine="0"/>
            <w:rPr>
              <w:color w:val="000000"/>
              <w:u w:val="none"/>
            </w:rPr>
          </w:pPr>
          <w:hyperlink w:anchor="_y9329l210v4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Intended Impact</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76" w:lineRule="auto"/>
            <w:ind w:left="360" w:firstLine="0"/>
            <w:rPr>
              <w:color w:val="000000"/>
              <w:u w:val="none"/>
            </w:rPr>
          </w:pPr>
          <w:hyperlink w:anchor="_6p4mtb1ury1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Outlined Intention</w:t>
              <w:tab/>
              <w:t xml:space="preserve">4</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76" w:lineRule="auto"/>
            <w:ind w:left="360" w:firstLine="0"/>
            <w:rPr>
              <w:color w:val="000000"/>
              <w:u w:val="none"/>
            </w:rPr>
          </w:pPr>
          <w:hyperlink w:anchor="_c8gjbmmgiax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Expected Learning Outcomes</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76" w:lineRule="auto"/>
            <w:ind w:left="360" w:firstLine="0"/>
            <w:rPr>
              <w:color w:val="000000"/>
              <w:u w:val="none"/>
            </w:rPr>
          </w:pPr>
          <w:hyperlink w:anchor="_1qasd1725qm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Ethics and Insider Research Considerations</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76" w:lineRule="auto"/>
            <w:rPr>
              <w:b w:val="1"/>
              <w:color w:val="000000"/>
              <w:u w:val="none"/>
            </w:rPr>
          </w:pPr>
          <w:hyperlink w:anchor="_9nfxjis8bgj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76" w:lineRule="auto"/>
            <w:rPr>
              <w:b w:val="1"/>
              <w:color w:val="000000"/>
              <w:u w:val="none"/>
            </w:rPr>
          </w:pPr>
          <w:hyperlink w:anchor="_c7smnsir5qp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Literature Review</w:t>
              <w:tab/>
              <w:t xml:space="preserve">6</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76" w:lineRule="auto"/>
            <w:ind w:left="360" w:firstLine="0"/>
            <w:rPr>
              <w:color w:val="000000"/>
              <w:u w:val="none"/>
            </w:rPr>
          </w:pPr>
          <w:hyperlink w:anchor="_qe9km1dxnxm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 The Lack of Neurodiversity Training in Collegiate Vocal Education</w:t>
              <w:tab/>
              <w:t xml:space="preserve">6</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76" w:lineRule="auto"/>
            <w:ind w:left="360" w:firstLine="0"/>
            <w:rPr>
              <w:color w:val="000000"/>
              <w:u w:val="none"/>
            </w:rPr>
          </w:pPr>
          <w:hyperlink w:anchor="_j7z1qyd4fyl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ADHD?</w:t>
              <w:tab/>
              <w:t xml:space="preserve">6</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76" w:lineRule="auto"/>
            <w:ind w:left="360" w:firstLine="0"/>
            <w:rPr>
              <w:color w:val="000000"/>
              <w:u w:val="none"/>
            </w:rPr>
          </w:pPr>
          <w:hyperlink w:anchor="_26kd6mi7pky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Autism?</w:t>
              <w:tab/>
              <w:t xml:space="preserve">7</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76" w:lineRule="auto"/>
            <w:ind w:left="360" w:firstLine="0"/>
            <w:rPr>
              <w:color w:val="000000"/>
              <w:u w:val="none"/>
            </w:rPr>
          </w:pPr>
          <w:hyperlink w:anchor="_sjru3od6le3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Music Performance Anxiety and How Does it Connect with Neurodiversity?</w:t>
              <w:tab/>
              <w:t xml:space="preserve">7</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76" w:lineRule="auto"/>
            <w:ind w:left="360" w:firstLine="0"/>
            <w:rPr>
              <w:color w:val="000000"/>
              <w:u w:val="none"/>
            </w:rPr>
          </w:pPr>
          <w:hyperlink w:anchor="_9qt229ld5gk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Policies, Legislation, and Gaps in Current Research</w:t>
              <w:tab/>
              <w:t xml:space="preserve">8</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76" w:lineRule="auto"/>
            <w:ind w:left="360" w:firstLine="0"/>
            <w:rPr>
              <w:color w:val="000000"/>
              <w:u w:val="none"/>
            </w:rPr>
          </w:pPr>
          <w:hyperlink w:anchor="_3glfoh9rcbq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and Support Strategies for Neurodiverse Learners</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76" w:lineRule="auto"/>
            <w:ind w:left="360" w:firstLine="0"/>
            <w:rPr>
              <w:color w:val="000000"/>
              <w:u w:val="none"/>
            </w:rPr>
          </w:pPr>
          <w:hyperlink w:anchor="_n6nhr0wrw1i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Literature Review Conclusion</w:t>
              <w:tab/>
              <w:t xml:space="preserve">9</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76" w:lineRule="auto"/>
            <w:rPr>
              <w:b w:val="1"/>
              <w:color w:val="000000"/>
              <w:u w:val="none"/>
            </w:rPr>
          </w:pPr>
          <w:hyperlink w:anchor="_wz37kfbd0j0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Methodology and Methods</w:t>
              <w:tab/>
              <w:t xml:space="preserve">10</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76" w:lineRule="auto"/>
            <w:ind w:left="360" w:firstLine="0"/>
            <w:rPr>
              <w:color w:val="000000"/>
              <w:u w:val="none"/>
            </w:rPr>
          </w:pPr>
          <w:hyperlink w:anchor="_qw3pjtupbj6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Paradigm</w:t>
              <w:tab/>
              <w:t xml:space="preserve">10</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76" w:lineRule="auto"/>
            <w:ind w:left="360" w:firstLine="0"/>
            <w:rPr>
              <w:color w:val="000000"/>
              <w:u w:val="none"/>
            </w:rPr>
          </w:pPr>
          <w:hyperlink w:anchor="_hnbll3jflew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Methodology Overview and Justification</w:t>
              <w:tab/>
              <w:t xml:space="preserve">10</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76" w:lineRule="auto"/>
            <w:ind w:left="360" w:firstLine="0"/>
            <w:rPr>
              <w:color w:val="000000"/>
              <w:u w:val="none"/>
            </w:rPr>
          </w:pPr>
          <w:hyperlink w:anchor="_xw1g0zu5p5b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Quantitative Methods</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76" w:lineRule="auto"/>
            <w:ind w:left="360" w:firstLine="0"/>
            <w:rPr>
              <w:color w:val="000000"/>
              <w:u w:val="none"/>
            </w:rPr>
          </w:pPr>
          <w:hyperlink w:anchor="_kmga8tufpp1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Qualitative Methods</w:t>
              <w:tab/>
              <w:t xml:space="preserve">11</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76" w:lineRule="auto"/>
            <w:ind w:left="360" w:firstLine="0"/>
            <w:rPr>
              <w:color w:val="000000"/>
              <w:u w:val="none"/>
            </w:rPr>
          </w:pPr>
          <w:hyperlink w:anchor="_w4247gjsd7o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Justification for Mixed-Methods</w:t>
              <w:tab/>
              <w:t xml:space="preserve">11</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76" w:lineRule="auto"/>
            <w:ind w:left="360" w:firstLine="0"/>
            <w:rPr>
              <w:color w:val="000000"/>
              <w:u w:val="none"/>
            </w:rPr>
          </w:pPr>
          <w:hyperlink w:anchor="_ukmjuop306o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Intervention Program</w:t>
              <w:tab/>
              <w:t xml:space="preserve">11</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76" w:lineRule="auto"/>
            <w:ind w:left="720" w:firstLine="0"/>
            <w:rPr>
              <w:color w:val="000000"/>
              <w:u w:val="none"/>
            </w:rPr>
          </w:pPr>
          <w:hyperlink w:anchor="_vsrmasskoy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Week 1: Diaphragmatic Breathing</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76" w:lineRule="auto"/>
            <w:ind w:left="720" w:firstLine="0"/>
            <w:rPr>
              <w:color w:val="000000"/>
              <w:u w:val="none"/>
            </w:rPr>
          </w:pPr>
          <w:hyperlink w:anchor="_4oeq6b1ny6g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Week 2: Grounding Techniques</w:t>
              <w:tab/>
              <w:t xml:space="preserve">12</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76" w:lineRule="auto"/>
            <w:ind w:left="720" w:firstLine="0"/>
            <w:rPr>
              <w:color w:val="000000"/>
              <w:u w:val="none"/>
            </w:rPr>
          </w:pPr>
          <w:hyperlink w:anchor="_jqnk2pox075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Week 3: Socratic Questioning and Cognitive Restructuring</w:t>
              <w:tab/>
              <w:t xml:space="preserve">12</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76" w:lineRule="auto"/>
            <w:ind w:left="360" w:firstLine="0"/>
            <w:rPr>
              <w:color w:val="000000"/>
              <w:u w:val="none"/>
            </w:rPr>
          </w:pPr>
          <w:hyperlink w:anchor="_twt4eflxov3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Collection</w:t>
              <w:tab/>
              <w:t xml:space="preserve">13</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76" w:lineRule="auto"/>
            <w:rPr>
              <w:b w:val="1"/>
              <w:color w:val="000000"/>
              <w:u w:val="none"/>
            </w:rPr>
          </w:pPr>
          <w:hyperlink w:anchor="_o8iaeecconf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Timeline and Implementation</w:t>
              <w:tab/>
              <w:t xml:space="preserve">14</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76" w:lineRule="auto"/>
            <w:ind w:left="720" w:firstLine="0"/>
            <w:rPr>
              <w:color w:val="000000"/>
              <w:u w:val="none"/>
            </w:rPr>
          </w:pPr>
          <w:hyperlink w:anchor="_jt6e3v7514e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Preparation Phase</w:t>
              <w:tab/>
              <w:t xml:space="preserve">14</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76" w:lineRule="auto"/>
            <w:ind w:left="720" w:firstLine="0"/>
            <w:rPr>
              <w:color w:val="000000"/>
              <w:u w:val="none"/>
            </w:rPr>
          </w:pPr>
          <w:hyperlink w:anchor="_7oasrcbs4co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Recruitment Phase</w:t>
              <w:tab/>
              <w:t xml:space="preserve">14</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76" w:lineRule="auto"/>
            <w:ind w:left="720" w:firstLine="0"/>
            <w:rPr>
              <w:color w:val="000000"/>
              <w:u w:val="none"/>
            </w:rPr>
          </w:pPr>
          <w:hyperlink w:anchor="_6hktlr4p53r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Intervention Phase</w:t>
              <w:tab/>
              <w:t xml:space="preserve">14</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76" w:lineRule="auto"/>
            <w:ind w:left="360" w:firstLine="0"/>
            <w:rPr>
              <w:color w:val="000000"/>
              <w:u w:val="none"/>
            </w:rPr>
          </w:pPr>
          <w:hyperlink w:anchor="_ldd4hz6e7d2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Limitations</w:t>
              <w:tab/>
              <w:t xml:space="preserve">15</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76" w:lineRule="auto"/>
            <w:rPr>
              <w:b w:val="1"/>
              <w:color w:val="000000"/>
              <w:u w:val="none"/>
            </w:rPr>
          </w:pPr>
          <w:hyperlink w:anchor="_c124jfhj125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Ethical Considerations</w:t>
              <w:tab/>
              <w:t xml:space="preserve">15</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76" w:lineRule="auto"/>
            <w:ind w:left="360" w:firstLine="0"/>
            <w:rPr>
              <w:color w:val="000000"/>
              <w:u w:val="none"/>
            </w:rPr>
          </w:pPr>
          <w:hyperlink w:anchor="_u0oq6sc3en3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Informed Consent</w:t>
              <w:tab/>
              <w:t xml:space="preserve">15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76" w:lineRule="auto"/>
            <w:ind w:left="360" w:firstLine="0"/>
            <w:rPr>
              <w:color w:val="000000"/>
              <w:u w:val="none"/>
            </w:rPr>
          </w:pPr>
          <w:hyperlink w:anchor="_sngf8lmpms2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Confidentiality</w:t>
              <w:tab/>
              <w:t xml:space="preserve">15</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76" w:lineRule="auto"/>
            <w:ind w:left="360" w:firstLine="0"/>
            <w:rPr>
              <w:color w:val="000000"/>
              <w:u w:val="none"/>
            </w:rPr>
          </w:pPr>
          <w:hyperlink w:anchor="_y734zjbeahl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Voluntary Participation</w:t>
              <w:tab/>
              <w:t xml:space="preserve">15</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76" w:lineRule="auto"/>
            <w:ind w:left="360" w:firstLine="0"/>
            <w:rPr>
              <w:color w:val="000000"/>
              <w:u w:val="none"/>
            </w:rPr>
          </w:pPr>
          <w:hyperlink w:anchor="_h4re7vruxo5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Risk Mitigation</w:t>
              <w:tab/>
              <w:t xml:space="preserve">15</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76" w:lineRule="auto"/>
            <w:ind w:left="360" w:firstLine="0"/>
            <w:rPr>
              <w:color w:val="000000"/>
              <w:u w:val="none"/>
            </w:rPr>
          </w:pPr>
          <w:hyperlink w:anchor="_3smuvg9obg2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Insider Research Challenges</w:t>
              <w:tab/>
              <w:t xml:space="preserve">16</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76" w:lineRule="auto"/>
            <w:rPr>
              <w:b w:val="1"/>
              <w:color w:val="000000"/>
              <w:u w:val="none"/>
            </w:rPr>
          </w:pPr>
          <w:hyperlink w:anchor="_f8d9lo6yrtj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Findings and Discussion</w:t>
              <w:tab/>
              <w:t xml:space="preserve">16</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76" w:lineRule="auto"/>
            <w:ind w:left="360" w:firstLine="0"/>
            <w:rPr>
              <w:color w:val="000000"/>
              <w:u w:val="none"/>
            </w:rPr>
          </w:pPr>
          <w:hyperlink w:anchor="_8bzi2jkye3m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 to the Findings</w:t>
              <w:tab/>
              <w:t xml:space="preserve">16</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76" w:lineRule="auto"/>
            <w:ind w:left="360" w:firstLine="0"/>
            <w:rPr>
              <w:color w:val="000000"/>
              <w:u w:val="none"/>
            </w:rPr>
          </w:pPr>
          <w:hyperlink w:anchor="_eg34bwfjmj1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Theme 1: Managing Physical Symptoms</w:t>
              <w:tab/>
              <w:t xml:space="preserve">18</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76" w:lineRule="auto"/>
            <w:ind w:left="360" w:firstLine="0"/>
            <w:rPr>
              <w:color w:val="000000"/>
              <w:u w:val="none"/>
            </w:rPr>
          </w:pPr>
          <w:hyperlink w:anchor="_x42amach24e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Theme 2: Cognitive and Emotional Barriers</w:t>
              <w:tab/>
              <w:t xml:space="preserve">18</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76" w:lineRule="auto"/>
            <w:ind w:left="360" w:firstLine="0"/>
            <w:rPr>
              <w:color w:val="000000"/>
              <w:u w:val="none"/>
            </w:rPr>
          </w:pPr>
          <w:hyperlink w:anchor="_q8ktz2oth4k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Theme 3: Sensory Strategies and Focus</w:t>
              <w:tab/>
              <w:t xml:space="preserve">18</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76" w:lineRule="auto"/>
            <w:ind w:left="360" w:firstLine="0"/>
            <w:rPr>
              <w:color w:val="000000"/>
              <w:u w:val="none"/>
            </w:rPr>
          </w:pPr>
          <w:hyperlink w:anchor="_tshcodvfh8j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Theme 4: Engagement and Motivation</w:t>
              <w:tab/>
              <w:t xml:space="preserve">19</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76" w:lineRule="auto"/>
            <w:ind w:left="360" w:firstLine="0"/>
            <w:rPr>
              <w:color w:val="000000"/>
              <w:u w:val="none"/>
            </w:rPr>
          </w:pPr>
          <w:hyperlink w:anchor="_pwco7zwagzq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Universal Design for Learning (UDL) Framework</w:t>
              <w:tab/>
              <w:t xml:space="preserve">19</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76" w:lineRule="auto"/>
            <w:ind w:left="360" w:firstLine="0"/>
            <w:rPr>
              <w:color w:val="000000"/>
              <w:u w:val="none"/>
            </w:rPr>
          </w:pPr>
          <w:hyperlink w:anchor="_m1lpn2oo9x6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Multiple Means of Engagement</w:t>
              <w:tab/>
              <w:t xml:space="preserve">19</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76" w:lineRule="auto"/>
            <w:ind w:left="360" w:firstLine="0"/>
            <w:rPr>
              <w:color w:val="000000"/>
              <w:u w:val="none"/>
            </w:rPr>
          </w:pPr>
          <w:hyperlink w:anchor="_ai4y3q6y9s9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Multiple Means of Representation</w:t>
              <w:tab/>
              <w:t xml:space="preserve">20</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76" w:lineRule="auto"/>
            <w:ind w:left="360" w:firstLine="0"/>
            <w:rPr>
              <w:color w:val="000000"/>
              <w:u w:val="none"/>
            </w:rPr>
          </w:pPr>
          <w:hyperlink w:anchor="_f5c1jqnpddh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Multiple Means of Action and Expression</w:t>
              <w:tab/>
              <w:t xml:space="preserve">20</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76" w:lineRule="auto"/>
            <w:ind w:left="360" w:firstLine="0"/>
            <w:rPr>
              <w:color w:val="000000"/>
              <w:u w:val="none"/>
            </w:rPr>
          </w:pPr>
          <w:hyperlink w:anchor="_s1qr0q8w6ee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Participant-Specific Outcomes: Impact of Interventions on Performance Anxiety</w:t>
              <w:tab/>
              <w:t xml:space="preserve">21</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76" w:lineRule="auto"/>
            <w:ind w:left="360" w:firstLine="0"/>
            <w:rPr>
              <w:color w:val="000000"/>
              <w:u w:val="none"/>
            </w:rPr>
          </w:pPr>
          <w:hyperlink w:anchor="_7s6f46b3xu0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Application in Performance Context</w:t>
              <w:tab/>
              <w:t xml:space="preserve">22</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76" w:lineRule="auto"/>
            <w:rPr>
              <w:b w:val="1"/>
              <w:color w:val="000000"/>
              <w:u w:val="none"/>
            </w:rPr>
          </w:pPr>
          <w:hyperlink w:anchor="_hnujoa9ua1m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Limitations and Recommendations for Future Research</w:t>
              <w:tab/>
              <w:t xml:space="preserve">23</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76" w:lineRule="auto"/>
            <w:ind w:left="360" w:firstLine="0"/>
            <w:rPr>
              <w:color w:val="000000"/>
              <w:u w:val="none"/>
            </w:rPr>
          </w:pPr>
          <w:hyperlink w:anchor="_5xqs9z9j6ow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Limitations</w:t>
              <w:tab/>
              <w:t xml:space="preserve">23</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76" w:lineRule="auto"/>
            <w:ind w:left="360" w:firstLine="0"/>
            <w:rPr>
              <w:color w:val="000000"/>
              <w:u w:val="none"/>
            </w:rPr>
          </w:pPr>
          <w:hyperlink w:anchor="_j1cuix67wl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Recommendations for Future Research</w:t>
              <w:tab/>
              <w:t xml:space="preserve">24</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76" w:lineRule="auto"/>
            <w:ind w:left="720" w:firstLine="0"/>
            <w:rPr>
              <w:color w:val="000000"/>
              <w:u w:val="none"/>
            </w:rPr>
          </w:pPr>
          <w:hyperlink w:anchor="_pe3xrb91jhq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Extend the Intervention Period</w:t>
              <w:tab/>
              <w:t xml:space="preserve">24</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276" w:lineRule="auto"/>
            <w:ind w:left="720" w:firstLine="0"/>
            <w:rPr>
              <w:color w:val="000000"/>
              <w:u w:val="none"/>
            </w:rPr>
          </w:pPr>
          <w:hyperlink w:anchor="_e89545yy1nk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Increase Sample Size and Diversity</w:t>
              <w:tab/>
              <w:t xml:space="preserve">24</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276" w:lineRule="auto"/>
            <w:ind w:left="720" w:firstLine="0"/>
            <w:rPr>
              <w:color w:val="000000"/>
              <w:u w:val="none"/>
            </w:rPr>
          </w:pPr>
          <w:hyperlink w:anchor="_y351b1t2vs7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Tailor Interventions to Increase Engagement</w:t>
              <w:tab/>
              <w:t xml:space="preserve">25</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276" w:lineRule="auto"/>
            <w:ind w:left="720" w:firstLine="0"/>
            <w:rPr>
              <w:color w:val="000000"/>
              <w:u w:val="none"/>
            </w:rPr>
          </w:pPr>
          <w:hyperlink w:anchor="_lqa6tpsykl3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Mitigate Social Desirability Bias</w:t>
              <w:tab/>
              <w:t xml:space="preserve">25</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276" w:lineRule="auto"/>
            <w:ind w:left="720" w:firstLine="0"/>
            <w:rPr>
              <w:color w:val="000000"/>
              <w:u w:val="none"/>
            </w:rPr>
          </w:pPr>
          <w:hyperlink w:anchor="_a049eusl0st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 Objective Performance Metrics</w:t>
              <w:tab/>
              <w:t xml:space="preserve">25</w:t>
            </w:r>
          </w:hyperlink>
          <w:r w:rsidDel="00000000" w:rsidR="00000000" w:rsidRPr="00000000">
            <w:rPr>
              <w:rtl w:val="0"/>
            </w:rPr>
          </w:r>
        </w:p>
        <w:p w:rsidR="00000000" w:rsidDel="00000000" w:rsidP="00000000" w:rsidRDefault="00000000" w:rsidRPr="00000000" w14:paraId="00000041">
          <w:pPr>
            <w:widowControl w:val="0"/>
            <w:tabs>
              <w:tab w:val="right" w:leader="none" w:pos="12000"/>
            </w:tabs>
            <w:spacing w:before="60" w:line="276" w:lineRule="auto"/>
            <w:ind w:left="720" w:firstLine="0"/>
            <w:rPr>
              <w:color w:val="000000"/>
              <w:u w:val="none"/>
            </w:rPr>
          </w:pPr>
          <w:hyperlink w:anchor="_ojdjer44omc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Conduct Follow-Up Assessments</w:t>
              <w:tab/>
              <w:t xml:space="preserve">26</w:t>
            </w:r>
          </w:hyperlink>
          <w:r w:rsidDel="00000000" w:rsidR="00000000" w:rsidRPr="00000000">
            <w:rPr>
              <w:rtl w:val="0"/>
            </w:rPr>
          </w:r>
        </w:p>
        <w:p w:rsidR="00000000" w:rsidDel="00000000" w:rsidP="00000000" w:rsidRDefault="00000000" w:rsidRPr="00000000" w14:paraId="00000042">
          <w:pPr>
            <w:widowControl w:val="0"/>
            <w:tabs>
              <w:tab w:val="right" w:leader="none" w:pos="12000"/>
            </w:tabs>
            <w:spacing w:before="60" w:line="276" w:lineRule="auto"/>
            <w:rPr>
              <w:b w:val="1"/>
              <w:color w:val="000000"/>
              <w:u w:val="none"/>
            </w:rPr>
          </w:pPr>
          <w:hyperlink w:anchor="_5zat3k95kfj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26</w:t>
            </w:r>
          </w:hyperlink>
          <w:r w:rsidDel="00000000" w:rsidR="00000000" w:rsidRPr="00000000">
            <w:rPr>
              <w:rtl w:val="0"/>
            </w:rPr>
          </w:r>
        </w:p>
        <w:p w:rsidR="00000000" w:rsidDel="00000000" w:rsidP="00000000" w:rsidRDefault="00000000" w:rsidRPr="00000000" w14:paraId="00000043">
          <w:pPr>
            <w:widowControl w:val="0"/>
            <w:tabs>
              <w:tab w:val="right" w:leader="none" w:pos="12000"/>
            </w:tabs>
            <w:spacing w:before="60" w:line="276" w:lineRule="auto"/>
            <w:rPr>
              <w:b w:val="1"/>
              <w:color w:val="000000"/>
              <w:u w:val="none"/>
            </w:rPr>
          </w:pPr>
          <w:hyperlink w:anchor="_mbhmo2u7ppn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27</w:t>
            </w:r>
          </w:hyperlink>
          <w:r w:rsidDel="00000000" w:rsidR="00000000" w:rsidRPr="00000000">
            <w:rPr>
              <w:rtl w:val="0"/>
            </w:rPr>
          </w:r>
        </w:p>
        <w:p w:rsidR="00000000" w:rsidDel="00000000" w:rsidP="00000000" w:rsidRDefault="00000000" w:rsidRPr="00000000" w14:paraId="00000044">
          <w:pPr>
            <w:widowControl w:val="0"/>
            <w:tabs>
              <w:tab w:val="right" w:leader="none" w:pos="12000"/>
            </w:tabs>
            <w:spacing w:before="60" w:line="276" w:lineRule="auto"/>
            <w:rPr>
              <w:b w:val="1"/>
              <w:color w:val="000000"/>
              <w:u w:val="none"/>
            </w:rPr>
          </w:pPr>
          <w:hyperlink w:anchor="_mxo3e3y9spd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Appendices</w:t>
              <w:tab/>
              <w:t xml:space="preserve">32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5">
      <w:pPr>
        <w:pStyle w:val="Heading1"/>
        <w:keepNext w:val="0"/>
        <w:keepLines w:val="0"/>
        <w:spacing w:before="280" w:line="360" w:lineRule="auto"/>
        <w:rPr/>
      </w:pPr>
      <w:bookmarkStart w:colFirst="0" w:colLast="0" w:name="_1vunwx1v9scc" w:id="1"/>
      <w:bookmarkEnd w:id="1"/>
      <w:r w:rsidDel="00000000" w:rsidR="00000000" w:rsidRPr="00000000">
        <w:rPr>
          <w:rtl w:val="0"/>
        </w:rPr>
      </w:r>
    </w:p>
    <w:p w:rsidR="00000000" w:rsidDel="00000000" w:rsidP="00000000" w:rsidRDefault="00000000" w:rsidRPr="00000000" w14:paraId="00000046">
      <w:pPr>
        <w:pStyle w:val="Heading1"/>
        <w:keepNext w:val="0"/>
        <w:keepLines w:val="0"/>
        <w:spacing w:before="280" w:line="360" w:lineRule="auto"/>
        <w:rPr/>
      </w:pPr>
      <w:bookmarkStart w:colFirst="0" w:colLast="0" w:name="_jbyydxjdysl3" w:id="2"/>
      <w:bookmarkEnd w:id="2"/>
      <w:r w:rsidDel="00000000" w:rsidR="00000000" w:rsidRPr="00000000">
        <w:rPr>
          <w:rtl w:val="0"/>
        </w:rPr>
        <w:t xml:space="preserve">Project Proposal </w:t>
      </w:r>
    </w:p>
    <w:p w:rsidR="00000000" w:rsidDel="00000000" w:rsidP="00000000" w:rsidRDefault="00000000" w:rsidRPr="00000000" w14:paraId="00000047">
      <w:pPr>
        <w:pStyle w:val="Heading2"/>
        <w:keepNext w:val="0"/>
        <w:keepLines w:val="0"/>
        <w:spacing w:before="280" w:line="360" w:lineRule="auto"/>
        <w:rPr/>
      </w:pPr>
      <w:bookmarkStart w:colFirst="0" w:colLast="0" w:name="_yv19exmsjg8v" w:id="3"/>
      <w:bookmarkEnd w:id="3"/>
      <w:r w:rsidDel="00000000" w:rsidR="00000000" w:rsidRPr="00000000">
        <w:rPr>
          <w:rtl w:val="0"/>
        </w:rPr>
        <w:t xml:space="preserve">Context of the Work</w:t>
      </w:r>
    </w:p>
    <w:p w:rsidR="00000000" w:rsidDel="00000000" w:rsidP="00000000" w:rsidRDefault="00000000" w:rsidRPr="00000000" w14:paraId="00000048">
      <w:pPr>
        <w:spacing w:after="240" w:before="240" w:line="360" w:lineRule="auto"/>
        <w:rPr/>
      </w:pPr>
      <w:r w:rsidDel="00000000" w:rsidR="00000000" w:rsidRPr="00000000">
        <w:rPr>
          <w:rtl w:val="0"/>
        </w:rPr>
        <w:t xml:space="preserve">As a music teacher and vocal coach, I have observed the unique challenges faced by neurodiverse students, including those with autism, ADHD, and anxiety disorders. These learners often experience heightened performance anxiety due to overlapping sensory, emotional, and cognitive sensitivities, which can significantly impact their ability to engage in vocal performance (Kenny, 2011). This project seeks to explore strategies tailored to their specific needs, aiming to enhance their confidence and overall performance experience. Situated at the intersection of vocal pedagogy and neurodiversity, the research reflects Faur et al. (2023) argument that narratives and reflections are critical for shaping inclusive and effective teaching practices in music education.</w:t>
      </w:r>
    </w:p>
    <w:p w:rsidR="00000000" w:rsidDel="00000000" w:rsidP="00000000" w:rsidRDefault="00000000" w:rsidRPr="00000000" w14:paraId="00000049">
      <w:pPr>
        <w:pStyle w:val="Heading2"/>
        <w:keepNext w:val="0"/>
        <w:keepLines w:val="0"/>
        <w:spacing w:before="280" w:line="360" w:lineRule="auto"/>
        <w:rPr/>
      </w:pPr>
      <w:bookmarkStart w:colFirst="0" w:colLast="0" w:name="_7jtpzyavilfj" w:id="4"/>
      <w:bookmarkEnd w:id="4"/>
      <w:r w:rsidDel="00000000" w:rsidR="00000000" w:rsidRPr="00000000">
        <w:rPr>
          <w:rtl w:val="0"/>
        </w:rPr>
        <w:t xml:space="preserve">Justification</w:t>
      </w:r>
    </w:p>
    <w:p w:rsidR="00000000" w:rsidDel="00000000" w:rsidP="00000000" w:rsidRDefault="00000000" w:rsidRPr="00000000" w14:paraId="0000004A">
      <w:pPr>
        <w:spacing w:after="240" w:before="240" w:line="360" w:lineRule="auto"/>
        <w:rPr/>
      </w:pPr>
      <w:r w:rsidDel="00000000" w:rsidR="00000000" w:rsidRPr="00000000">
        <w:rPr>
          <w:rtl w:val="0"/>
        </w:rPr>
        <w:t xml:space="preserve">Performance anxiety is a well-documented challenge for vocalists, yet existing research largely neglects the specific needs of neurodiverse learners (Kenny, 2011; Steiner, 2024). As Vasquez (2022) notes, inclusive teaching practices remain underdeveloped in many areas of education, including music. Through my work with neurodiverse students, it has become clear that more targeted approaches are necessary to address their unique challenges. This project aims to fill this gap by identifying and implementing practical strategies that can benefit both students and educators. Additionally, it aligns with recommendations from the Musicians’ Union for neuro-inclusive teaching and Jellison’s (2015) advocacy for universal design in inclusive music classrooms, emphasising adaptable methods that cater to diverse learning needs.</w:t>
      </w:r>
    </w:p>
    <w:p w:rsidR="00000000" w:rsidDel="00000000" w:rsidP="00000000" w:rsidRDefault="00000000" w:rsidRPr="00000000" w14:paraId="0000004B">
      <w:pPr>
        <w:pStyle w:val="Heading2"/>
        <w:keepNext w:val="0"/>
        <w:keepLines w:val="0"/>
        <w:spacing w:before="280" w:line="360" w:lineRule="auto"/>
        <w:rPr/>
      </w:pPr>
      <w:bookmarkStart w:colFirst="0" w:colLast="0" w:name="_y9329l210v4i" w:id="5"/>
      <w:bookmarkEnd w:id="5"/>
      <w:r w:rsidDel="00000000" w:rsidR="00000000" w:rsidRPr="00000000">
        <w:rPr>
          <w:rtl w:val="0"/>
        </w:rPr>
        <w:t xml:space="preserve">Intended Impact</w:t>
      </w:r>
    </w:p>
    <w:p w:rsidR="00000000" w:rsidDel="00000000" w:rsidP="00000000" w:rsidRDefault="00000000" w:rsidRPr="00000000" w14:paraId="0000004C">
      <w:pPr>
        <w:spacing w:after="240" w:before="240" w:line="360" w:lineRule="auto"/>
        <w:rPr/>
      </w:pPr>
      <w:r w:rsidDel="00000000" w:rsidR="00000000" w:rsidRPr="00000000">
        <w:rPr>
          <w:rtl w:val="0"/>
        </w:rPr>
        <w:t xml:space="preserve">By investigating strategies to reduce performance anxiety in neurodiverse students, this research aims to provide actionable tools for voice educators, enabling them to create more supportive and inclusive learning environments. Hallam (2015) highlights the value of tailored approaches in music education for fostering student confidence, while Rosas-Pérez, Galbrun, and Stewart (2023) emphasise the importance of addressing specific challenges faced by diverse learners. This research contributes to ongoing discussions about inclusivity in education by advocating for pedagogical frameworks that reflect the needs of neurodiverse students.</w:t>
      </w:r>
    </w:p>
    <w:p w:rsidR="00000000" w:rsidDel="00000000" w:rsidP="00000000" w:rsidRDefault="00000000" w:rsidRPr="00000000" w14:paraId="0000004D">
      <w:pPr>
        <w:pStyle w:val="Heading2"/>
        <w:keepNext w:val="0"/>
        <w:keepLines w:val="0"/>
        <w:spacing w:before="280" w:line="360" w:lineRule="auto"/>
        <w:rPr/>
      </w:pPr>
      <w:bookmarkStart w:colFirst="0" w:colLast="0" w:name="_6p4mtb1ury1j" w:id="6"/>
      <w:bookmarkEnd w:id="6"/>
      <w:r w:rsidDel="00000000" w:rsidR="00000000" w:rsidRPr="00000000">
        <w:rPr>
          <w:rtl w:val="0"/>
        </w:rPr>
        <w:t xml:space="preserve">Outlined Intention</w:t>
      </w:r>
    </w:p>
    <w:p w:rsidR="00000000" w:rsidDel="00000000" w:rsidP="00000000" w:rsidRDefault="00000000" w:rsidRPr="00000000" w14:paraId="0000004E">
      <w:pPr>
        <w:spacing w:after="240" w:before="240" w:line="360" w:lineRule="auto"/>
        <w:rPr/>
      </w:pPr>
      <w:r w:rsidDel="00000000" w:rsidR="00000000" w:rsidRPr="00000000">
        <w:rPr>
          <w:rtl w:val="0"/>
        </w:rPr>
        <w:t xml:space="preserve">This project involves designing and implementing a six-week intervention programme tailored to neurodiverse students with autism, ADHD, and anxiety disorders. The intervention incorporates evidence-based strategies such as cognitive-behavioural techniques, mindfulness practices, and grounding exercises. Data will be collected using a mixed-methods approach: quantitative data through the Performance Anxiety Inventory (PAI) and qualitative insights from semi-structured interviews. Following an interpretivist paradigm, the research will focus on capturing participants’ lived experiences, as Creswell and Poth (2018) advocate for in studies involving complex, individualised phenomena.</w:t>
      </w:r>
    </w:p>
    <w:p w:rsidR="00000000" w:rsidDel="00000000" w:rsidP="00000000" w:rsidRDefault="00000000" w:rsidRPr="00000000" w14:paraId="0000004F">
      <w:pPr>
        <w:pStyle w:val="Heading2"/>
        <w:keepNext w:val="0"/>
        <w:keepLines w:val="0"/>
        <w:spacing w:before="280" w:line="360" w:lineRule="auto"/>
        <w:rPr/>
      </w:pPr>
      <w:bookmarkStart w:colFirst="0" w:colLast="0" w:name="_c8gjbmmgiaxc" w:id="7"/>
      <w:bookmarkEnd w:id="7"/>
      <w:r w:rsidDel="00000000" w:rsidR="00000000" w:rsidRPr="00000000">
        <w:rPr>
          <w:rtl w:val="0"/>
        </w:rPr>
        <w:t xml:space="preserve">Expected Learning Outcomes</w:t>
      </w:r>
    </w:p>
    <w:p w:rsidR="00000000" w:rsidDel="00000000" w:rsidP="00000000" w:rsidRDefault="00000000" w:rsidRPr="00000000" w14:paraId="00000050">
      <w:pPr>
        <w:spacing w:after="240" w:before="240" w:line="360" w:lineRule="auto"/>
        <w:rPr/>
      </w:pPr>
      <w:r w:rsidDel="00000000" w:rsidR="00000000" w:rsidRPr="00000000">
        <w:rPr>
          <w:rtl w:val="0"/>
        </w:rPr>
        <w:t xml:space="preserve">This project aims to:</w:t>
      </w:r>
    </w:p>
    <w:p w:rsidR="00000000" w:rsidDel="00000000" w:rsidP="00000000" w:rsidRDefault="00000000" w:rsidRPr="00000000" w14:paraId="00000051">
      <w:pPr>
        <w:numPr>
          <w:ilvl w:val="0"/>
          <w:numId w:val="2"/>
        </w:numPr>
        <w:spacing w:after="0" w:afterAutospacing="0" w:before="240" w:line="360" w:lineRule="auto"/>
        <w:ind w:left="720" w:hanging="360"/>
        <w:rPr/>
      </w:pPr>
      <w:r w:rsidDel="00000000" w:rsidR="00000000" w:rsidRPr="00000000">
        <w:rPr>
          <w:rtl w:val="0"/>
        </w:rPr>
        <w:t xml:space="preserve">Develop a deeper understanding of how neurodiverse students experience performance anxiety and identify strategies to alleviate it effectively.</w:t>
      </w:r>
    </w:p>
    <w:p w:rsidR="00000000" w:rsidDel="00000000" w:rsidP="00000000" w:rsidRDefault="00000000" w:rsidRPr="00000000" w14:paraId="00000052">
      <w:pPr>
        <w:numPr>
          <w:ilvl w:val="0"/>
          <w:numId w:val="2"/>
        </w:numPr>
        <w:spacing w:after="0" w:afterAutospacing="0" w:before="0" w:beforeAutospacing="0" w:line="360" w:lineRule="auto"/>
        <w:ind w:left="720" w:hanging="360"/>
        <w:rPr/>
      </w:pPr>
      <w:r w:rsidDel="00000000" w:rsidR="00000000" w:rsidRPr="00000000">
        <w:rPr>
          <w:rtl w:val="0"/>
        </w:rPr>
        <w:t xml:space="preserve">Enhance my research skills in both qualitative and quantitative methodologies, following guidance from Gray (2018) on the integration of mixed methods.</w:t>
      </w:r>
    </w:p>
    <w:p w:rsidR="00000000" w:rsidDel="00000000" w:rsidP="00000000" w:rsidRDefault="00000000" w:rsidRPr="00000000" w14:paraId="00000053">
      <w:pPr>
        <w:numPr>
          <w:ilvl w:val="0"/>
          <w:numId w:val="2"/>
        </w:numPr>
        <w:spacing w:after="0" w:afterAutospacing="0" w:before="0" w:beforeAutospacing="0" w:line="360" w:lineRule="auto"/>
        <w:ind w:left="720" w:hanging="360"/>
        <w:rPr/>
      </w:pPr>
      <w:r w:rsidDel="00000000" w:rsidR="00000000" w:rsidRPr="00000000">
        <w:rPr>
          <w:rtl w:val="0"/>
        </w:rPr>
        <w:t xml:space="preserve">Strengthen my ability to critically assess and apply existing research to ensure evidence-based teaching practices.</w:t>
      </w:r>
    </w:p>
    <w:p w:rsidR="00000000" w:rsidDel="00000000" w:rsidP="00000000" w:rsidRDefault="00000000" w:rsidRPr="00000000" w14:paraId="00000054">
      <w:pPr>
        <w:numPr>
          <w:ilvl w:val="0"/>
          <w:numId w:val="2"/>
        </w:numPr>
        <w:spacing w:after="240" w:before="0" w:beforeAutospacing="0" w:line="360" w:lineRule="auto"/>
        <w:ind w:left="720" w:hanging="360"/>
        <w:rPr/>
      </w:pPr>
      <w:r w:rsidDel="00000000" w:rsidR="00000000" w:rsidRPr="00000000">
        <w:rPr>
          <w:rtl w:val="0"/>
        </w:rPr>
        <w:t xml:space="preserve">Gain insights into ethical considerations and best practices for working with neurodiverse learners in research and teaching (Mercer, 2007).</w:t>
      </w:r>
    </w:p>
    <w:p w:rsidR="00000000" w:rsidDel="00000000" w:rsidP="00000000" w:rsidRDefault="00000000" w:rsidRPr="00000000" w14:paraId="00000055">
      <w:pPr>
        <w:pStyle w:val="Heading2"/>
        <w:keepNext w:val="0"/>
        <w:keepLines w:val="0"/>
        <w:spacing w:before="280" w:line="360" w:lineRule="auto"/>
        <w:rPr/>
      </w:pPr>
      <w:bookmarkStart w:colFirst="0" w:colLast="0" w:name="_1qasd1725qmr" w:id="8"/>
      <w:bookmarkEnd w:id="8"/>
      <w:r w:rsidDel="00000000" w:rsidR="00000000" w:rsidRPr="00000000">
        <w:rPr>
          <w:rtl w:val="0"/>
        </w:rPr>
        <w:t xml:space="preserve">Ethics and Insider Research Considerations</w:t>
      </w:r>
    </w:p>
    <w:p w:rsidR="00000000" w:rsidDel="00000000" w:rsidP="00000000" w:rsidRDefault="00000000" w:rsidRPr="00000000" w14:paraId="00000056">
      <w:pPr>
        <w:spacing w:after="240" w:before="240" w:line="360" w:lineRule="auto"/>
        <w:rPr/>
      </w:pPr>
      <w:r w:rsidDel="00000000" w:rsidR="00000000" w:rsidRPr="00000000">
        <w:rPr>
          <w:rtl w:val="0"/>
        </w:rPr>
        <w:t xml:space="preserve">Working with neurodiverse students, the majority of which are under 18, necessitates careful ethical planning. Informed consent will be obtained from participants and their guardians, with clear explanations of the study’s purpose, voluntary nature, and withdrawal rights. To protect confidentiality, data will be anonymised, and personal information securely stored on a work laptop in a OneDrive account. As both the researcher and their vocal coach, I will address potential power dynamics by creating a supportive, non-coercive environment. Emotional support will be made available for participants discussing sensitive topics, aligning with Mercer’s (2007) guidance on ethical practices in educational research.</w:t>
      </w:r>
    </w:p>
    <w:p w:rsidR="00000000" w:rsidDel="00000000" w:rsidP="00000000" w:rsidRDefault="00000000" w:rsidRPr="00000000" w14:paraId="00000057">
      <w:pPr>
        <w:spacing w:line="360" w:lineRule="auto"/>
        <w:rPr/>
      </w:pPr>
      <w:r w:rsidDel="00000000" w:rsidR="00000000" w:rsidRPr="00000000">
        <w:rPr/>
        <w:drawing>
          <wp:inline distB="114300" distT="114300" distL="114300" distR="114300">
            <wp:extent cx="5444597" cy="3329753"/>
            <wp:effectExtent b="0" l="0" r="0" t="0"/>
            <wp:docPr id="26" name="image18.png"/>
            <a:graphic>
              <a:graphicData uri="http://schemas.openxmlformats.org/drawingml/2006/picture">
                <pic:pic>
                  <pic:nvPicPr>
                    <pic:cNvPr id="0" name="image18.png"/>
                    <pic:cNvPicPr preferRelativeResize="0"/>
                  </pic:nvPicPr>
                  <pic:blipFill>
                    <a:blip r:embed="rId6"/>
                    <a:srcRect b="0" l="0" r="0" t="0"/>
                    <a:stretch>
                      <a:fillRect/>
                    </a:stretch>
                  </pic:blipFill>
                  <pic:spPr>
                    <a:xfrm>
                      <a:off x="0" y="0"/>
                      <a:ext cx="5444597" cy="3329753"/>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jc w:val="center"/>
        <w:rPr/>
      </w:pPr>
      <w:r w:rsidDel="00000000" w:rsidR="00000000" w:rsidRPr="00000000">
        <w:rPr>
          <w:rtl w:val="0"/>
        </w:rPr>
        <w:t xml:space="preserve">(Figure 1)</w:t>
      </w:r>
      <w:r w:rsidDel="00000000" w:rsidR="00000000" w:rsidRPr="00000000">
        <w:rPr>
          <w:rtl w:val="0"/>
        </w:rPr>
      </w:r>
    </w:p>
    <w:p w:rsidR="00000000" w:rsidDel="00000000" w:rsidP="00000000" w:rsidRDefault="00000000" w:rsidRPr="00000000" w14:paraId="00000059">
      <w:pPr>
        <w:pStyle w:val="Heading1"/>
        <w:keepNext w:val="0"/>
        <w:keepLines w:val="0"/>
        <w:spacing w:before="280" w:line="360" w:lineRule="auto"/>
        <w:rPr/>
      </w:pPr>
      <w:bookmarkStart w:colFirst="0" w:colLast="0" w:name="_9nfxjis8bgjo" w:id="9"/>
      <w:bookmarkEnd w:id="9"/>
      <w:r w:rsidDel="00000000" w:rsidR="00000000" w:rsidRPr="00000000">
        <w:rPr>
          <w:rtl w:val="0"/>
        </w:rPr>
        <w:t xml:space="preserve">Introduction</w:t>
      </w:r>
    </w:p>
    <w:p w:rsidR="00000000" w:rsidDel="00000000" w:rsidP="00000000" w:rsidRDefault="00000000" w:rsidRPr="00000000" w14:paraId="0000005A">
      <w:pPr>
        <w:spacing w:after="240" w:before="240" w:line="360" w:lineRule="auto"/>
        <w:rPr/>
      </w:pPr>
      <w:r w:rsidDel="00000000" w:rsidR="00000000" w:rsidRPr="00000000">
        <w:rPr>
          <w:rtl w:val="0"/>
        </w:rPr>
        <w:t xml:space="preserve">This research examines the efficacy of tailored coping strategies to alleviate performance anxiety and enhance vocal confidence in neurodiverse students, specifically those with autism, ADHD, and anxiety disorders. In my role as a music teacher and vocal coach at a predominantly SEND (Special Educational Needs and Disabilities) college, I have observed the distinctive challenges these students face in performance contexts. Performance anxiety, which affects up to 15–25% of performers, can be particularly present in neurodiverse students due to overlapping cognitive and sensory challenges (Piscalkiene et al., 2024). Traditional vocal training often overlooks neurodiverse learners' unique challenges, hindering their development. Consequently, these students may struggle to fully participate in traditional music education, limiting their growth and enjoyment of music. Research also highlights broader educational challenges faced by neurodiverse students, including inadequate adaptations to curricula and assessments (Clouder, Karakus, &amp; Ferreyra, 2020).</w:t>
      </w:r>
    </w:p>
    <w:p w:rsidR="00000000" w:rsidDel="00000000" w:rsidP="00000000" w:rsidRDefault="00000000" w:rsidRPr="00000000" w14:paraId="0000005B">
      <w:pPr>
        <w:spacing w:after="240" w:before="240" w:line="360" w:lineRule="auto"/>
        <w:rPr/>
      </w:pPr>
      <w:r w:rsidDel="00000000" w:rsidR="00000000" w:rsidRPr="00000000">
        <w:rPr>
          <w:rtl w:val="0"/>
        </w:rPr>
        <w:t xml:space="preserve">The primary aim of this study is to identify and evaluate practical strategies,such as mindfulness, cognitive-behavioural techniques, and grounding exercises,that can be seamlessly integrated into vocal training to create a more inclusive and supportive learning environment. This project aims to fill a critical gap in existing pedagogical research by offering evidence-based insights for educators working with neurodiverse populations. Recent research by Steiner (2024) and Rosas-Pérez, Galbrun, and Stewart (2023) highlights how addressing sensory sensitivities and fostering psychological safety in educational environments can reduce barriers for neurodiverse learners.</w:t>
      </w:r>
    </w:p>
    <w:p w:rsidR="00000000" w:rsidDel="00000000" w:rsidP="00000000" w:rsidRDefault="00000000" w:rsidRPr="00000000" w14:paraId="0000005C">
      <w:pPr>
        <w:spacing w:after="240" w:before="240" w:line="360" w:lineRule="auto"/>
        <w:rPr/>
      </w:pPr>
      <w:r w:rsidDel="00000000" w:rsidR="00000000" w:rsidRPr="00000000">
        <w:rPr>
          <w:rtl w:val="0"/>
        </w:rPr>
        <w:t xml:space="preserve">The objectives of this research include assessing how tailored coping strategies reduce performance anxiety and enhance vocal performance in neurodiverse students, as well as determining the specific coping mechanisms that are most effective. The intended impact of this study is to inform and refine teaching practices, helping educators to better meet the needs of SEND learners and enhance their performance confidence. The expected learning outcomes include the development of a framework for implementing these strategies in music education and providing a model for other educators seeking to create more inclusive learning environments.</w:t>
      </w:r>
    </w:p>
    <w:p w:rsidR="00000000" w:rsidDel="00000000" w:rsidP="00000000" w:rsidRDefault="00000000" w:rsidRPr="00000000" w14:paraId="0000005D">
      <w:pPr>
        <w:spacing w:after="240" w:before="240" w:line="360" w:lineRule="auto"/>
        <w:rPr/>
      </w:pPr>
      <w:r w:rsidDel="00000000" w:rsidR="00000000" w:rsidRPr="00000000">
        <w:rPr>
          <w:rtl w:val="0"/>
        </w:rPr>
        <w:t xml:space="preserve">This research will contribute to improving the educational experiences of neurodiverse students by offering actionable insights into how tailored interventions can help overcome the barriers posed by performance anxiety, thereby fostering greater confidence and success in vocal performance. This aligns with Vasquez's (2022) call for cultivating inclusive educational environments that value diversity.</w:t>
      </w:r>
      <w:r w:rsidDel="00000000" w:rsidR="00000000" w:rsidRPr="00000000">
        <w:rPr>
          <w:rtl w:val="0"/>
        </w:rPr>
      </w:r>
    </w:p>
    <w:p w:rsidR="00000000" w:rsidDel="00000000" w:rsidP="00000000" w:rsidRDefault="00000000" w:rsidRPr="00000000" w14:paraId="0000005E">
      <w:pPr>
        <w:pStyle w:val="Heading1"/>
        <w:keepNext w:val="0"/>
        <w:keepLines w:val="0"/>
        <w:spacing w:before="280" w:line="360" w:lineRule="auto"/>
        <w:rPr/>
      </w:pPr>
      <w:bookmarkStart w:colFirst="0" w:colLast="0" w:name="_c7smnsir5qph" w:id="10"/>
      <w:bookmarkEnd w:id="10"/>
      <w:r w:rsidDel="00000000" w:rsidR="00000000" w:rsidRPr="00000000">
        <w:rPr>
          <w:rtl w:val="0"/>
        </w:rPr>
        <w:t xml:space="preserve">Literature Review </w:t>
      </w:r>
    </w:p>
    <w:p w:rsidR="00000000" w:rsidDel="00000000" w:rsidP="00000000" w:rsidRDefault="00000000" w:rsidRPr="00000000" w14:paraId="0000005F">
      <w:pPr>
        <w:pStyle w:val="Heading2"/>
        <w:spacing w:line="360" w:lineRule="auto"/>
        <w:rPr/>
      </w:pPr>
      <w:bookmarkStart w:colFirst="0" w:colLast="0" w:name="_qe9km1dxnxmm" w:id="11"/>
      <w:bookmarkEnd w:id="11"/>
      <w:r w:rsidDel="00000000" w:rsidR="00000000" w:rsidRPr="00000000">
        <w:rPr>
          <w:rtl w:val="0"/>
        </w:rPr>
        <w:t xml:space="preserve">Introduction: The Lack of Neurodiversity Training in Collegiate Vocal Education</w:t>
      </w:r>
    </w:p>
    <w:p w:rsidR="00000000" w:rsidDel="00000000" w:rsidP="00000000" w:rsidRDefault="00000000" w:rsidRPr="00000000" w14:paraId="00000060">
      <w:pPr>
        <w:spacing w:after="240" w:before="240" w:line="360" w:lineRule="auto"/>
        <w:rPr/>
      </w:pPr>
      <w:r w:rsidDel="00000000" w:rsidR="00000000" w:rsidRPr="00000000">
        <w:rPr>
          <w:rtl w:val="0"/>
        </w:rPr>
        <w:t xml:space="preserve">Limited neurodiversity training for vocal teachers perpetuates exclusion and reinforces limiting beliefs about neurodiverse students’ abilities, emphasising the need for inclusive strategies (Moxness, 2023; Steiner, 2024). Clarkson (2021) argues that the lack of neurodiversity training for vocal educators creates barriers to effective instruction, reinforcing the need for inclusive teaching practices. Existing research, such as Hopkins (2024) and Mirfin-Veitch and Jalota (2020), underscores the importance of frameworks addressing neurodiversity at all educational levels. This review examines strategies for reducing performance anxiety and improving vocal confidence among neurodiverse students, including those with autism, ADHD, and anxiety disorders, and explores their broader implications for vocal training.</w:t>
      </w:r>
      <w:r w:rsidDel="00000000" w:rsidR="00000000" w:rsidRPr="00000000">
        <w:rPr>
          <w:rtl w:val="0"/>
        </w:rPr>
      </w:r>
    </w:p>
    <w:p w:rsidR="00000000" w:rsidDel="00000000" w:rsidP="00000000" w:rsidRDefault="00000000" w:rsidRPr="00000000" w14:paraId="00000061">
      <w:pPr>
        <w:pStyle w:val="Heading2"/>
        <w:keepNext w:val="0"/>
        <w:keepLines w:val="0"/>
        <w:spacing w:after="40" w:before="240" w:line="360" w:lineRule="auto"/>
        <w:rPr/>
      </w:pPr>
      <w:bookmarkStart w:colFirst="0" w:colLast="0" w:name="_j7z1qyd4fylk" w:id="12"/>
      <w:bookmarkEnd w:id="12"/>
      <w:r w:rsidDel="00000000" w:rsidR="00000000" w:rsidRPr="00000000">
        <w:rPr>
          <w:rtl w:val="0"/>
        </w:rPr>
        <w:t xml:space="preserve">What is ADHD?</w:t>
      </w:r>
    </w:p>
    <w:p w:rsidR="00000000" w:rsidDel="00000000" w:rsidP="00000000" w:rsidRDefault="00000000" w:rsidRPr="00000000" w14:paraId="00000062">
      <w:pPr>
        <w:spacing w:after="240" w:before="240" w:line="360" w:lineRule="auto"/>
        <w:rPr/>
      </w:pPr>
      <w:r w:rsidDel="00000000" w:rsidR="00000000" w:rsidRPr="00000000">
        <w:rPr>
          <w:rtl w:val="0"/>
        </w:rPr>
        <w:t xml:space="preserve">Attention Deficit Hyperactivity Disorder (ADHD) is a neurodevelopmental condition characterised by persistent patterns of inattention, hyperactivity, and impulsivity that disrupt everyday functioning (Barkley, 1990; Anderson, 2024). According to the DSM-5, ADHD symptoms often overlap with other conditions, including anxiety and depression, complicating its presentation and management (Steiner, 2024). ADHD is associated with difficulties in sustaining attention, organising tasks, and managing time, which can pose challenges in educational settings and beyond (Gioia &amp; Isquith, 2002).</w:t>
      </w:r>
    </w:p>
    <w:p w:rsidR="00000000" w:rsidDel="00000000" w:rsidP="00000000" w:rsidRDefault="00000000" w:rsidRPr="00000000" w14:paraId="00000063">
      <w:pPr>
        <w:spacing w:after="240" w:before="240" w:line="360" w:lineRule="auto"/>
        <w:rPr/>
      </w:pPr>
      <w:r w:rsidDel="00000000" w:rsidR="00000000" w:rsidRPr="00000000">
        <w:rPr>
          <w:rtl w:val="0"/>
        </w:rPr>
        <w:t xml:space="preserve">In the context of music education, ADHD traits such as distractibility and impulsivity can create obstacles to focus and task completion. The condition’s interplay with performance-related stress underscores the importance of understanding ADHD’s effects on learners in music education environments (Rui, 2007).</w:t>
      </w:r>
    </w:p>
    <w:p w:rsidR="00000000" w:rsidDel="00000000" w:rsidP="00000000" w:rsidRDefault="00000000" w:rsidRPr="00000000" w14:paraId="00000064">
      <w:pPr>
        <w:pStyle w:val="Heading2"/>
        <w:keepNext w:val="0"/>
        <w:keepLines w:val="0"/>
        <w:spacing w:after="40" w:before="240" w:line="360" w:lineRule="auto"/>
        <w:rPr/>
      </w:pPr>
      <w:bookmarkStart w:colFirst="0" w:colLast="0" w:name="_26kd6mi7pky3" w:id="13"/>
      <w:bookmarkEnd w:id="13"/>
      <w:r w:rsidDel="00000000" w:rsidR="00000000" w:rsidRPr="00000000">
        <w:rPr>
          <w:rtl w:val="0"/>
        </w:rPr>
        <w:t xml:space="preserve">What is Autism?</w:t>
      </w:r>
    </w:p>
    <w:p w:rsidR="00000000" w:rsidDel="00000000" w:rsidP="00000000" w:rsidRDefault="00000000" w:rsidRPr="00000000" w14:paraId="00000065">
      <w:pPr>
        <w:spacing w:after="240" w:before="240" w:line="360" w:lineRule="auto"/>
        <w:rPr/>
      </w:pPr>
      <w:r w:rsidDel="00000000" w:rsidR="00000000" w:rsidRPr="00000000">
        <w:rPr>
          <w:rtl w:val="0"/>
        </w:rPr>
        <w:t xml:space="preserve">Autism Spectrum Condition (ASC) is a developmental condition that affects social communication, sensory processing, and repetitive behaviors (Volkmar, 2020). It encompasses a wide range of presentations, including those previously categorised as Asperger’s syndrome and PDD-NOS (Grandin, 2014). Sensory sensitivities, such as heightened responses to sound or touch, are particularly relevant in music education and can influence how students engage with performance and practice (Hurson &amp; Hutson, 2023). Schreibman et al. (2015) identify naturalistic interventions as an effective approach for supporting autistic learners, reinforcing the need for flexible teaching strategies in music education.</w:t>
      </w:r>
    </w:p>
    <w:p w:rsidR="00000000" w:rsidDel="00000000" w:rsidP="00000000" w:rsidRDefault="00000000" w:rsidRPr="00000000" w14:paraId="00000066">
      <w:pPr>
        <w:spacing w:after="240" w:before="240" w:line="360" w:lineRule="auto"/>
        <w:rPr>
          <w:b w:val="1"/>
        </w:rPr>
      </w:pPr>
      <w:r w:rsidDel="00000000" w:rsidR="00000000" w:rsidRPr="00000000">
        <w:rPr>
          <w:rtl w:val="0"/>
        </w:rPr>
        <w:t xml:space="preserve">Autistic students may thrive on structured routines and predictable environments but often face challenges with traditional teaching methods that do not accommodate their unique cognitive styles (Moxness, 2023). Misconceptions about autism in education can further exacerbate these challenges, highlighting the need for awareness and adaptation in specialised fields like music performance.</w:t>
      </w:r>
      <w:r w:rsidDel="00000000" w:rsidR="00000000" w:rsidRPr="00000000">
        <w:rPr>
          <w:rtl w:val="0"/>
        </w:rPr>
      </w:r>
    </w:p>
    <w:p w:rsidR="00000000" w:rsidDel="00000000" w:rsidP="00000000" w:rsidRDefault="00000000" w:rsidRPr="00000000" w14:paraId="00000067">
      <w:pPr>
        <w:pStyle w:val="Heading2"/>
        <w:keepNext w:val="0"/>
        <w:keepLines w:val="0"/>
        <w:spacing w:after="40" w:before="240" w:line="360" w:lineRule="auto"/>
        <w:rPr/>
      </w:pPr>
      <w:bookmarkStart w:colFirst="0" w:colLast="0" w:name="_sjru3od6le33" w:id="14"/>
      <w:bookmarkEnd w:id="14"/>
      <w:r w:rsidDel="00000000" w:rsidR="00000000" w:rsidRPr="00000000">
        <w:rPr>
          <w:rtl w:val="0"/>
        </w:rPr>
        <w:t xml:space="preserve">What is Music Performance Anxiety and How Does it Connect with Neurodiversity?</w:t>
      </w:r>
    </w:p>
    <w:p w:rsidR="00000000" w:rsidDel="00000000" w:rsidP="00000000" w:rsidRDefault="00000000" w:rsidRPr="00000000" w14:paraId="00000068">
      <w:pPr>
        <w:spacing w:after="240" w:before="240" w:line="360" w:lineRule="auto"/>
        <w:rPr/>
      </w:pPr>
      <w:r w:rsidDel="00000000" w:rsidR="00000000" w:rsidRPr="00000000">
        <w:rPr>
          <w:rtl w:val="0"/>
        </w:rPr>
        <w:t xml:space="preserve">MPA involves fear of evaluation, physical symptoms (e.g. shaking), and cognitive distortions like catastrophising (Kenny, 2011; Salmon, 1990). Neurodiverse students often experience MPA differently due to overlapping traits of autism and ADHD, such as sensory sensitivities and cognitive rigidity (Jones, 2020). These unique challenges necessitate strategies addressing their sensory, cognitive, and emotional needs (Faur et al., 2023). The lack of tailored approaches for managing MPA in neurodiverse learners represents a significant gap in music education research. Figure 2 shows the overlapping traits between ADHD, Autism and MPA. </w:t>
      </w:r>
      <w:r w:rsidDel="00000000" w:rsidR="00000000" w:rsidRPr="00000000">
        <w:rPr>
          <w:rtl w:val="0"/>
        </w:rPr>
      </w:r>
    </w:p>
    <w:p w:rsidR="00000000" w:rsidDel="00000000" w:rsidP="00000000" w:rsidRDefault="00000000" w:rsidRPr="00000000" w14:paraId="00000069">
      <w:pPr>
        <w:spacing w:after="240" w:before="240" w:line="360" w:lineRule="auto"/>
        <w:jc w:val="center"/>
        <w:rPr/>
      </w:pPr>
      <w:r w:rsidDel="00000000" w:rsidR="00000000" w:rsidRPr="00000000">
        <w:rPr/>
        <w:drawing>
          <wp:inline distB="114300" distT="114300" distL="114300" distR="114300">
            <wp:extent cx="3602399" cy="3602399"/>
            <wp:effectExtent b="0" l="0" r="0" t="0"/>
            <wp:docPr id="40" name="image45.png"/>
            <a:graphic>
              <a:graphicData uri="http://schemas.openxmlformats.org/drawingml/2006/picture">
                <pic:pic>
                  <pic:nvPicPr>
                    <pic:cNvPr id="0" name="image45.png"/>
                    <pic:cNvPicPr preferRelativeResize="0"/>
                  </pic:nvPicPr>
                  <pic:blipFill>
                    <a:blip r:embed="rId7"/>
                    <a:srcRect b="0" l="0" r="0" t="0"/>
                    <a:stretch>
                      <a:fillRect/>
                    </a:stretch>
                  </pic:blipFill>
                  <pic:spPr>
                    <a:xfrm>
                      <a:off x="0" y="0"/>
                      <a:ext cx="3602399" cy="3602399"/>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after="240" w:before="240" w:line="360" w:lineRule="auto"/>
        <w:jc w:val="center"/>
        <w:rPr>
          <w:color w:val="000000"/>
          <w:sz w:val="22"/>
          <w:szCs w:val="22"/>
        </w:rPr>
      </w:pPr>
      <w:r w:rsidDel="00000000" w:rsidR="00000000" w:rsidRPr="00000000">
        <w:rPr>
          <w:color w:val="000000"/>
          <w:sz w:val="22"/>
          <w:szCs w:val="22"/>
          <w:rtl w:val="0"/>
        </w:rPr>
        <w:t xml:space="preserve">(Figure 2)</w:t>
      </w:r>
    </w:p>
    <w:p w:rsidR="00000000" w:rsidDel="00000000" w:rsidP="00000000" w:rsidRDefault="00000000" w:rsidRPr="00000000" w14:paraId="0000006B">
      <w:pPr>
        <w:pStyle w:val="Heading2"/>
        <w:keepNext w:val="0"/>
        <w:keepLines w:val="0"/>
        <w:spacing w:after="40" w:before="240" w:line="360" w:lineRule="auto"/>
        <w:rPr/>
      </w:pPr>
      <w:bookmarkStart w:colFirst="0" w:colLast="0" w:name="_9qt229ld5gkd" w:id="15"/>
      <w:bookmarkEnd w:id="15"/>
      <w:r w:rsidDel="00000000" w:rsidR="00000000" w:rsidRPr="00000000">
        <w:rPr>
          <w:rtl w:val="0"/>
        </w:rPr>
        <w:t xml:space="preserve">Policies, Legislation, and Gaps in Current Research</w:t>
      </w:r>
    </w:p>
    <w:p w:rsidR="00000000" w:rsidDel="00000000" w:rsidP="00000000" w:rsidRDefault="00000000" w:rsidRPr="00000000" w14:paraId="0000006C">
      <w:pPr>
        <w:spacing w:after="240" w:before="240" w:line="360" w:lineRule="auto"/>
        <w:rPr/>
      </w:pPr>
      <w:r w:rsidDel="00000000" w:rsidR="00000000" w:rsidRPr="00000000">
        <w:rPr>
          <w:rtl w:val="0"/>
        </w:rPr>
        <w:t xml:space="preserve">The UK’s Equality Act (2010) provides a foundation for accessibility but lacks specific guidance for accommodating neurodiverse learners in music education. Adjustments like sensory-friendly rehearsal spaces or flexible assessments are inconsistently applied, particularly in managing Music Performance Anxiety (MPA).</w:t>
      </w:r>
    </w:p>
    <w:p w:rsidR="00000000" w:rsidDel="00000000" w:rsidP="00000000" w:rsidRDefault="00000000" w:rsidRPr="00000000" w14:paraId="0000006D">
      <w:pPr>
        <w:spacing w:after="240" w:before="240" w:line="360" w:lineRule="auto"/>
        <w:rPr/>
      </w:pPr>
      <w:r w:rsidDel="00000000" w:rsidR="00000000" w:rsidRPr="00000000">
        <w:rPr>
          <w:rtl w:val="0"/>
        </w:rPr>
        <w:t xml:space="preserve">Comparative studies show other nations systematically implement accommodations such as sensory breaks and alternative assessments, providing models for improving UK practices (Maseko, 2024). However, gaps remain in research on how neurodiverse conditions, including ADHD and autism, intersect with MPA in higher education (Vincent, 2017). Additionally, insufficient teacher training prevents effective implementation of inclusive strategies (Vasquez, 2022).</w:t>
      </w:r>
    </w:p>
    <w:p w:rsidR="00000000" w:rsidDel="00000000" w:rsidP="00000000" w:rsidRDefault="00000000" w:rsidRPr="00000000" w14:paraId="0000006E">
      <w:pPr>
        <w:spacing w:after="240" w:before="240" w:line="360" w:lineRule="auto"/>
        <w:rPr/>
      </w:pPr>
      <w:r w:rsidDel="00000000" w:rsidR="00000000" w:rsidRPr="00000000">
        <w:rPr>
          <w:rtl w:val="0"/>
        </w:rPr>
        <w:t xml:space="preserve">Universal Design for Learning (UDL) offers a promising framework by promoting flexible, inclusive teaching and assessment methods. Embedding UDL into training and institutional policies could help bridge these gaps and provide consistent support for neurodiverse students (Meyer et al., 2014).</w:t>
      </w:r>
      <w:r w:rsidDel="00000000" w:rsidR="00000000" w:rsidRPr="00000000">
        <w:rPr>
          <w:rtl w:val="0"/>
        </w:rPr>
      </w:r>
    </w:p>
    <w:p w:rsidR="00000000" w:rsidDel="00000000" w:rsidP="00000000" w:rsidRDefault="00000000" w:rsidRPr="00000000" w14:paraId="0000006F">
      <w:pPr>
        <w:pStyle w:val="Heading2"/>
        <w:keepNext w:val="0"/>
        <w:keepLines w:val="0"/>
        <w:spacing w:after="40" w:before="240" w:line="360" w:lineRule="auto"/>
        <w:rPr/>
      </w:pPr>
      <w:bookmarkStart w:colFirst="0" w:colLast="0" w:name="_3glfoh9rcbq2" w:id="16"/>
      <w:bookmarkEnd w:id="16"/>
      <w:r w:rsidDel="00000000" w:rsidR="00000000" w:rsidRPr="00000000">
        <w:rPr>
          <w:rtl w:val="0"/>
        </w:rPr>
        <w:t xml:space="preserve">Educational and Support Strategies for Neurodiverse Learners</w:t>
      </w:r>
    </w:p>
    <w:p w:rsidR="00000000" w:rsidDel="00000000" w:rsidP="00000000" w:rsidRDefault="00000000" w:rsidRPr="00000000" w14:paraId="00000070">
      <w:pPr>
        <w:spacing w:after="240" w:before="240" w:line="360" w:lineRule="auto"/>
        <w:rPr/>
      </w:pPr>
      <w:r w:rsidDel="00000000" w:rsidR="00000000" w:rsidRPr="00000000">
        <w:rPr>
          <w:rtl w:val="0"/>
        </w:rPr>
        <w:t xml:space="preserve">Supporting neurodiverse learners in managing Music Performance Anxiety (MPA) requires tailored strategies that address sensory, cognitive, and emotional needs. Bishop (2020) highlights the importance of multisensory approaches in music education, particularly for neurodiverse learners who benefit from structured and adaptable teaching methods. Grounding exercises (e.g., the 5-4-3-2-1 method) and sensory breaks reduce overstimulation, helping students manage anxiety and regain focus (Goodall, 2019; Brown, 2021).</w:t>
      </w:r>
    </w:p>
    <w:p w:rsidR="00000000" w:rsidDel="00000000" w:rsidP="00000000" w:rsidRDefault="00000000" w:rsidRPr="00000000" w14:paraId="00000071">
      <w:pPr>
        <w:spacing w:after="240" w:before="240" w:line="360" w:lineRule="auto"/>
        <w:rPr/>
      </w:pPr>
      <w:r w:rsidDel="00000000" w:rsidR="00000000" w:rsidRPr="00000000">
        <w:rPr>
          <w:rtl w:val="0"/>
        </w:rPr>
        <w:t xml:space="preserve">Mindfulness practices like diaphragmatic breathing and visualisation regulate stress and improve focus, especially for ADHD students needing sensory and cognitive engagement (Kabat-Zinn, 2003; Steiner, 2024).</w:t>
      </w:r>
    </w:p>
    <w:p w:rsidR="00000000" w:rsidDel="00000000" w:rsidP="00000000" w:rsidRDefault="00000000" w:rsidRPr="00000000" w14:paraId="00000072">
      <w:pPr>
        <w:spacing w:after="240" w:before="240" w:line="360" w:lineRule="auto"/>
        <w:rPr/>
      </w:pPr>
      <w:r w:rsidDel="00000000" w:rsidR="00000000" w:rsidRPr="00000000">
        <w:rPr>
          <w:rtl w:val="0"/>
        </w:rPr>
        <w:t xml:space="preserve">Cognitive strategies, including Cognitive Behavioral Therapy (CBT) and Acceptance and Commitment Therapy (ACT), help reframe negative thoughts and build resilience. Socratic questioning and cognitive restructuring challenge distortions like catastrophising, fostering confidence (Faur et al., 2023). Structured worksheets and ACT tools encourage personal growth over perfectionism (Anderson &amp; Lee, 2022).</w:t>
      </w:r>
    </w:p>
    <w:p w:rsidR="00000000" w:rsidDel="00000000" w:rsidP="00000000" w:rsidRDefault="00000000" w:rsidRPr="00000000" w14:paraId="00000073">
      <w:pPr>
        <w:spacing w:after="240" w:before="240" w:line="360" w:lineRule="auto"/>
        <w:rPr/>
      </w:pPr>
      <w:r w:rsidDel="00000000" w:rsidR="00000000" w:rsidRPr="00000000">
        <w:rPr>
          <w:rtl w:val="0"/>
        </w:rPr>
        <w:t xml:space="preserve">Universal Design for Learning (UDL) principles support inclusivity by addressing diverse needs through flexible teaching and assessment methods (Meyer et al., 2014). Tools like visual schedules and color-coded notation enhance accessibility, while process-focused assessments alleviate the stress of high-stakes performances (Shevidi, 2024). These strategies promote engagement, confidence, and participation.</w:t>
      </w:r>
    </w:p>
    <w:p w:rsidR="00000000" w:rsidDel="00000000" w:rsidP="00000000" w:rsidRDefault="00000000" w:rsidRPr="00000000" w14:paraId="00000074">
      <w:pPr>
        <w:spacing w:after="240" w:before="240" w:line="360" w:lineRule="auto"/>
        <w:rPr/>
      </w:pPr>
      <w:r w:rsidDel="00000000" w:rsidR="00000000" w:rsidRPr="00000000">
        <w:rPr>
          <w:rtl w:val="0"/>
        </w:rPr>
        <w:t xml:space="preserve">Teacher training and institutional support are essential for implementing these strategies effectively. Educators need practical tools for adapting lessons and managing MPA, while institutions should integrate neurodiversity-focused policies and sensory-friendly spaces (Vasquez, 2022). Comparative studies show that robust neurodiversity policies, such as those prioritising sensory breaks and flexible assessments, improve outcomes for learners (Maseko, 2024). Without institutional support, neurodiverse students risk exclusion from valuable opportunities in music education.</w:t>
      </w:r>
    </w:p>
    <w:p w:rsidR="00000000" w:rsidDel="00000000" w:rsidP="00000000" w:rsidRDefault="00000000" w:rsidRPr="00000000" w14:paraId="00000075">
      <w:pPr>
        <w:spacing w:after="240" w:before="240" w:line="360" w:lineRule="auto"/>
        <w:rPr/>
      </w:pPr>
      <w:r w:rsidDel="00000000" w:rsidR="00000000" w:rsidRPr="00000000">
        <w:rPr>
          <w:rtl w:val="0"/>
        </w:rPr>
      </w:r>
    </w:p>
    <w:p w:rsidR="00000000" w:rsidDel="00000000" w:rsidP="00000000" w:rsidRDefault="00000000" w:rsidRPr="00000000" w14:paraId="00000076">
      <w:pPr>
        <w:pStyle w:val="Heading2"/>
        <w:keepNext w:val="0"/>
        <w:keepLines w:val="0"/>
        <w:spacing w:before="280" w:line="360" w:lineRule="auto"/>
        <w:rPr/>
      </w:pPr>
      <w:bookmarkStart w:colFirst="0" w:colLast="0" w:name="_n6nhr0wrw1im" w:id="17"/>
      <w:bookmarkEnd w:id="17"/>
      <w:r w:rsidDel="00000000" w:rsidR="00000000" w:rsidRPr="00000000">
        <w:rPr>
          <w:rtl w:val="0"/>
        </w:rPr>
        <w:t xml:space="preserve">Literature Review Conclusion</w:t>
      </w:r>
    </w:p>
    <w:p w:rsidR="00000000" w:rsidDel="00000000" w:rsidP="00000000" w:rsidRDefault="00000000" w:rsidRPr="00000000" w14:paraId="00000077">
      <w:pPr>
        <w:spacing w:after="240" w:before="240" w:line="360" w:lineRule="auto"/>
        <w:rPr/>
      </w:pPr>
      <w:r w:rsidDel="00000000" w:rsidR="00000000" w:rsidRPr="00000000">
        <w:rPr>
          <w:rtl w:val="0"/>
        </w:rPr>
        <w:t xml:space="preserve">This literature review emphasises the need to address the unique challenges faced by neurodiverse learners, particularly in music performance contexts. A deeper understanding of ADHD, autism, and MPA reveals significant gaps in current educational practices and highlights the importance of implementing tailored strategies. Through sensory-inclusive techniques, cognitive interventions, and teacher training, educators can foster an inclusive and supportive environment that enables all students to thrive.</w:t>
      </w:r>
    </w:p>
    <w:p w:rsidR="00000000" w:rsidDel="00000000" w:rsidP="00000000" w:rsidRDefault="00000000" w:rsidRPr="00000000" w14:paraId="00000078">
      <w:pPr>
        <w:spacing w:after="240" w:before="240" w:line="360" w:lineRule="auto"/>
        <w:rPr/>
      </w:pPr>
      <w:r w:rsidDel="00000000" w:rsidR="00000000" w:rsidRPr="00000000">
        <w:rPr>
          <w:rtl w:val="0"/>
        </w:rPr>
      </w:r>
    </w:p>
    <w:p w:rsidR="00000000" w:rsidDel="00000000" w:rsidP="00000000" w:rsidRDefault="00000000" w:rsidRPr="00000000" w14:paraId="00000079">
      <w:pPr>
        <w:pStyle w:val="Heading1"/>
        <w:keepNext w:val="0"/>
        <w:keepLines w:val="0"/>
        <w:spacing w:line="360" w:lineRule="auto"/>
        <w:rPr/>
      </w:pPr>
      <w:bookmarkStart w:colFirst="0" w:colLast="0" w:name="_wz37kfbd0j0u" w:id="18"/>
      <w:bookmarkEnd w:id="18"/>
      <w:r w:rsidDel="00000000" w:rsidR="00000000" w:rsidRPr="00000000">
        <w:rPr>
          <w:rtl w:val="0"/>
        </w:rPr>
        <w:t xml:space="preserve">Methodology and Methods </w:t>
      </w:r>
    </w:p>
    <w:p w:rsidR="00000000" w:rsidDel="00000000" w:rsidP="00000000" w:rsidRDefault="00000000" w:rsidRPr="00000000" w14:paraId="0000007A">
      <w:pPr>
        <w:pStyle w:val="Heading2"/>
        <w:keepNext w:val="0"/>
        <w:keepLines w:val="0"/>
        <w:spacing w:before="280" w:line="360" w:lineRule="auto"/>
        <w:rPr/>
      </w:pPr>
      <w:bookmarkStart w:colFirst="0" w:colLast="0" w:name="_qw3pjtupbj6f" w:id="19"/>
      <w:bookmarkEnd w:id="19"/>
      <w:r w:rsidDel="00000000" w:rsidR="00000000" w:rsidRPr="00000000">
        <w:rPr>
          <w:rtl w:val="0"/>
        </w:rPr>
        <w:t xml:space="preserve">Research Paradigm</w:t>
      </w:r>
    </w:p>
    <w:p w:rsidR="00000000" w:rsidDel="00000000" w:rsidP="00000000" w:rsidRDefault="00000000" w:rsidRPr="00000000" w14:paraId="0000007B">
      <w:pPr>
        <w:spacing w:after="240" w:before="240" w:line="360" w:lineRule="auto"/>
        <w:rPr/>
      </w:pPr>
      <w:r w:rsidDel="00000000" w:rsidR="00000000" w:rsidRPr="00000000">
        <w:rPr>
          <w:rtl w:val="0"/>
        </w:rPr>
        <w:t xml:space="preserve">The study was grounded in an interpretivist paradigm, emphasising the co-creation of knowledge and the subjective realities of participants. This approach acknowledged the individualised experiences of neurodiverse learners and the complexity of performance anxiety, allowing for an inclusive and empathetic exploration of tailored interventions (Creswell &amp; Poth, 2018; Lincoln &amp; Guba, 1985). This paradigm is particularly suitable for neurodiverse participants as it prioritises their lived experiences and unique perspectives, aligning closely with the research aims of exploring their subjective challenges and coping mechanisms (Denzin &amp; Lincoln, 2011).</w:t>
      </w:r>
    </w:p>
    <w:p w:rsidR="00000000" w:rsidDel="00000000" w:rsidP="00000000" w:rsidRDefault="00000000" w:rsidRPr="00000000" w14:paraId="0000007C">
      <w:pPr>
        <w:pStyle w:val="Heading2"/>
        <w:keepNext w:val="0"/>
        <w:keepLines w:val="0"/>
        <w:spacing w:before="280" w:line="360" w:lineRule="auto"/>
        <w:rPr/>
      </w:pPr>
      <w:bookmarkStart w:colFirst="0" w:colLast="0" w:name="_hnbll3jflewk" w:id="20"/>
      <w:bookmarkEnd w:id="20"/>
      <w:r w:rsidDel="00000000" w:rsidR="00000000" w:rsidRPr="00000000">
        <w:rPr>
          <w:rtl w:val="0"/>
        </w:rPr>
        <w:t xml:space="preserve">Methodology Overview and Justification </w:t>
      </w:r>
    </w:p>
    <w:p w:rsidR="00000000" w:rsidDel="00000000" w:rsidP="00000000" w:rsidRDefault="00000000" w:rsidRPr="00000000" w14:paraId="0000007D">
      <w:pPr>
        <w:spacing w:after="240" w:before="240" w:line="360" w:lineRule="auto"/>
        <w:rPr/>
      </w:pPr>
      <w:r w:rsidDel="00000000" w:rsidR="00000000" w:rsidRPr="00000000">
        <w:rPr>
          <w:rtl w:val="0"/>
        </w:rPr>
        <w:t xml:space="preserve">This study employed a mixed-methods approach, integrating both quantitative and qualitative methods to assess the effectiveness of tailored interventions for neurodiverse students. The methodology ensured a comprehensive understanding of participants’ experiences and outcomes while adhering to ethical research standards. The mixed-methods approach employed here aligns with Creswell and Plano Clark’s (2018) recommendations for capturing complex phenomena through complementary quantitative and qualitative data. For example, the quantitative Performance Anxiety Inventory (PAI) scores provided measurable changes in anxiety levels, while qualitative interviews captured deeper insights into participants’ personal experiences. These methods complemented each other, with the interviews contextualising and expanding upon the numerical data from the PAI (Kenny, 2011; Gray, 2018).</w:t>
      </w:r>
      <w:r w:rsidDel="00000000" w:rsidR="00000000" w:rsidRPr="00000000">
        <w:rPr>
          <w:rtl w:val="0"/>
        </w:rPr>
      </w:r>
    </w:p>
    <w:p w:rsidR="00000000" w:rsidDel="00000000" w:rsidP="00000000" w:rsidRDefault="00000000" w:rsidRPr="00000000" w14:paraId="0000007E">
      <w:pPr>
        <w:pStyle w:val="Heading2"/>
        <w:keepNext w:val="0"/>
        <w:keepLines w:val="0"/>
        <w:spacing w:after="40" w:before="240" w:line="360" w:lineRule="auto"/>
        <w:rPr/>
      </w:pPr>
      <w:bookmarkStart w:colFirst="0" w:colLast="0" w:name="_xw1g0zu5p5bv" w:id="21"/>
      <w:bookmarkEnd w:id="21"/>
      <w:r w:rsidDel="00000000" w:rsidR="00000000" w:rsidRPr="00000000">
        <w:rPr>
          <w:rtl w:val="0"/>
        </w:rPr>
        <w:t xml:space="preserve">Quantitative Methods</w:t>
      </w:r>
    </w:p>
    <w:p w:rsidR="00000000" w:rsidDel="00000000" w:rsidP="00000000" w:rsidRDefault="00000000" w:rsidRPr="00000000" w14:paraId="0000007F">
      <w:pPr>
        <w:spacing w:after="240" w:before="240" w:line="360" w:lineRule="auto"/>
        <w:rPr/>
      </w:pPr>
      <w:r w:rsidDel="00000000" w:rsidR="00000000" w:rsidRPr="00000000">
        <w:rPr>
          <w:rtl w:val="0"/>
        </w:rPr>
        <w:t xml:space="preserve">The Performance Anxiety Inventory (PAI) was utilised to measure changes in participants’ anxiety levels before and after the intervention.Kenny (2011) validates the reliability of the PAI in assessing anxiety in musical contexts, supporting its inclusion in this study. This standardised tool provided objective data to assess the effectiveness of the strategies employed. The quantitative findings were particularly valuable in identifying trends in anxiety reduction across participants, such as the average decrease in PAI scores (Smith &amp; Johnson, 2020).</w:t>
      </w:r>
    </w:p>
    <w:p w:rsidR="00000000" w:rsidDel="00000000" w:rsidP="00000000" w:rsidRDefault="00000000" w:rsidRPr="00000000" w14:paraId="00000080">
      <w:pPr>
        <w:pStyle w:val="Heading2"/>
        <w:keepNext w:val="0"/>
        <w:keepLines w:val="0"/>
        <w:spacing w:after="40" w:before="240" w:line="360" w:lineRule="auto"/>
        <w:rPr/>
      </w:pPr>
      <w:bookmarkStart w:colFirst="0" w:colLast="0" w:name="_kmga8tufpp1o" w:id="22"/>
      <w:bookmarkEnd w:id="22"/>
      <w:r w:rsidDel="00000000" w:rsidR="00000000" w:rsidRPr="00000000">
        <w:rPr>
          <w:rtl w:val="0"/>
        </w:rPr>
        <w:t xml:space="preserve">Qualitative Methods</w:t>
      </w:r>
    </w:p>
    <w:p w:rsidR="00000000" w:rsidDel="00000000" w:rsidP="00000000" w:rsidRDefault="00000000" w:rsidRPr="00000000" w14:paraId="00000081">
      <w:pPr>
        <w:spacing w:after="240" w:before="240" w:line="360" w:lineRule="auto"/>
        <w:rPr/>
      </w:pPr>
      <w:r w:rsidDel="00000000" w:rsidR="00000000" w:rsidRPr="00000000">
        <w:rPr>
          <w:rtl w:val="0"/>
        </w:rPr>
        <w:t xml:space="preserve">Qualitative insights were collected through  semi-structured discussions based around their PAI. These methods captured the participants' subjective experiences with the interventions, offering detailed accounts of their challenges and successes. Discussion questions were carefully designed to align with the research objectives, focusing on participants’ emotional and cognitive responses to each intervention. For instance, one question asked, “How did grounding techniques help you manage pre-performance nerves?” This ensured alignment with the study’s aim of exploring the effectiveness of tailored strategies (Creswell &amp; Poth, 2018; Clarke &amp; Braun, 2016).</w:t>
      </w:r>
    </w:p>
    <w:p w:rsidR="00000000" w:rsidDel="00000000" w:rsidP="00000000" w:rsidRDefault="00000000" w:rsidRPr="00000000" w14:paraId="00000082">
      <w:pPr>
        <w:pStyle w:val="Heading2"/>
        <w:keepNext w:val="0"/>
        <w:keepLines w:val="0"/>
        <w:spacing w:after="40" w:before="240" w:line="360" w:lineRule="auto"/>
        <w:rPr/>
      </w:pPr>
      <w:bookmarkStart w:colFirst="0" w:colLast="0" w:name="_w4247gjsd7oo" w:id="23"/>
      <w:bookmarkEnd w:id="23"/>
      <w:r w:rsidDel="00000000" w:rsidR="00000000" w:rsidRPr="00000000">
        <w:rPr>
          <w:rtl w:val="0"/>
        </w:rPr>
        <w:t xml:space="preserve">Justification for Mixed-Methods</w:t>
      </w:r>
    </w:p>
    <w:p w:rsidR="00000000" w:rsidDel="00000000" w:rsidP="00000000" w:rsidRDefault="00000000" w:rsidRPr="00000000" w14:paraId="00000083">
      <w:pPr>
        <w:spacing w:after="240" w:before="240" w:line="360" w:lineRule="auto"/>
        <w:rPr/>
      </w:pPr>
      <w:r w:rsidDel="00000000" w:rsidR="00000000" w:rsidRPr="00000000">
        <w:rPr>
          <w:rtl w:val="0"/>
        </w:rPr>
        <w:t xml:space="preserve">A mixed-methods design addressed the complexity of performance anxiety by combining measurable quantitative outcomes with nuanced qualitative feedback (Gray, 2018; Creswell &amp; Plano Clark, 2018). For example, qualitative interviews helped identify why one participant’s PAI score showed minimal improvement—her disengagement was linked to dissatisfaction with the song choice. This insight would have been missed with quantitative data alone (Clark &amp; Thompson, 2020).</w:t>
      </w:r>
    </w:p>
    <w:p w:rsidR="00000000" w:rsidDel="00000000" w:rsidP="00000000" w:rsidRDefault="00000000" w:rsidRPr="00000000" w14:paraId="00000084">
      <w:pPr>
        <w:pStyle w:val="Heading2"/>
        <w:keepNext w:val="0"/>
        <w:keepLines w:val="0"/>
        <w:spacing w:before="280" w:line="360" w:lineRule="auto"/>
        <w:rPr/>
      </w:pPr>
      <w:bookmarkStart w:colFirst="0" w:colLast="0" w:name="_ukmjuop306or" w:id="24"/>
      <w:bookmarkEnd w:id="24"/>
      <w:r w:rsidDel="00000000" w:rsidR="00000000" w:rsidRPr="00000000">
        <w:rPr>
          <w:rtl w:val="0"/>
        </w:rPr>
        <w:t xml:space="preserve">Intervention Program</w:t>
      </w:r>
    </w:p>
    <w:p w:rsidR="00000000" w:rsidDel="00000000" w:rsidP="00000000" w:rsidRDefault="00000000" w:rsidRPr="00000000" w14:paraId="00000085">
      <w:pPr>
        <w:spacing w:after="240" w:before="240" w:line="360" w:lineRule="auto"/>
        <w:rPr/>
      </w:pPr>
      <w:r w:rsidDel="00000000" w:rsidR="00000000" w:rsidRPr="00000000">
        <w:rPr>
          <w:rtl w:val="0"/>
        </w:rPr>
        <w:t xml:space="preserve">The three-week intervention program addressed both the physiological and cognitive dimensions of performance anxiety in neurodiverse students, focusing on autism, ADHD, and anxiety disorders. Each week introduced specific, evidence-based techniques designed to be adaptable to participants' sensory and emotional needs, aiming to create a structured yet flexible framework for anxiety management.</w:t>
      </w:r>
    </w:p>
    <w:p w:rsidR="00000000" w:rsidDel="00000000" w:rsidP="00000000" w:rsidRDefault="00000000" w:rsidRPr="00000000" w14:paraId="00000086">
      <w:pPr>
        <w:pStyle w:val="Heading3"/>
        <w:keepNext w:val="0"/>
        <w:keepLines w:val="0"/>
        <w:spacing w:after="40" w:before="240" w:line="360" w:lineRule="auto"/>
        <w:rPr/>
      </w:pPr>
      <w:bookmarkStart w:colFirst="0" w:colLast="0" w:name="_vsrmasskoyq" w:id="25"/>
      <w:bookmarkEnd w:id="25"/>
      <w:r w:rsidDel="00000000" w:rsidR="00000000" w:rsidRPr="00000000">
        <w:rPr>
          <w:rtl w:val="0"/>
        </w:rPr>
        <w:t xml:space="preserve">Week 1: Diaphragmatic Breathing</w:t>
      </w:r>
    </w:p>
    <w:p w:rsidR="00000000" w:rsidDel="00000000" w:rsidP="00000000" w:rsidRDefault="00000000" w:rsidRPr="00000000" w14:paraId="00000087">
      <w:pPr>
        <w:spacing w:after="240" w:before="240" w:line="360" w:lineRule="auto"/>
        <w:rPr/>
      </w:pPr>
      <w:r w:rsidDel="00000000" w:rsidR="00000000" w:rsidRPr="00000000">
        <w:rPr>
          <w:rtl w:val="0"/>
        </w:rPr>
        <w:t xml:space="preserve">Participants were introduced to diaphragmatic breathing, a foundational strategy for managing the physical symptoms of anxiety. Jacobson (1938) pioneered the concept of progressive relaxation, which informs many modern breathing techniques used to manage performance anxiety, including those implemented in this study. Exercises such as 3-4-5 and 5-8 breathing, combined with visualisations like "inflating a balloon," helped participants engage the diaphragm to regulate breathing patterns and calm physiological arousal. These techniques are grounded in evidence suggesting that diaphragmatic breathing stimulates the vagus nerve, promoting relaxation and reducing stress responses (Kabat-Zinn, 2003). Visualisations provided an additional sensory focus, especially beneficial for ADHD learners who often require multisensory engagement (Steiner, 2024).</w:t>
      </w:r>
    </w:p>
    <w:p w:rsidR="00000000" w:rsidDel="00000000" w:rsidP="00000000" w:rsidRDefault="00000000" w:rsidRPr="00000000" w14:paraId="00000088">
      <w:pPr>
        <w:spacing w:after="240" w:before="240" w:line="360" w:lineRule="auto"/>
        <w:rPr/>
      </w:pPr>
      <w:r w:rsidDel="00000000" w:rsidR="00000000" w:rsidRPr="00000000">
        <w:rPr>
          <w:rtl w:val="0"/>
        </w:rPr>
        <w:t xml:space="preserve">In practice, students visualised their abdomen inflating and deflating, simulating the balloon exercise, while group discussions allowed for reflection. For instance, one participant noted feeling "more in control of my breathing," while another required modifications like shorter practice intervals to sustain focus. These adaptations align with Goodall's (2019) emphasis on tailoring interventions for sensory sensitivities.</w:t>
      </w:r>
    </w:p>
    <w:p w:rsidR="00000000" w:rsidDel="00000000" w:rsidP="00000000" w:rsidRDefault="00000000" w:rsidRPr="00000000" w14:paraId="00000089">
      <w:pPr>
        <w:pStyle w:val="Heading3"/>
        <w:keepNext w:val="0"/>
        <w:keepLines w:val="0"/>
        <w:spacing w:after="40" w:before="240" w:line="360" w:lineRule="auto"/>
        <w:rPr/>
      </w:pPr>
      <w:bookmarkStart w:colFirst="0" w:colLast="0" w:name="_4oeq6b1ny6gu" w:id="26"/>
      <w:bookmarkEnd w:id="26"/>
      <w:r w:rsidDel="00000000" w:rsidR="00000000" w:rsidRPr="00000000">
        <w:rPr>
          <w:rtl w:val="0"/>
        </w:rPr>
        <w:t xml:space="preserve">Week 2: Grounding Techniques</w:t>
      </w:r>
    </w:p>
    <w:p w:rsidR="00000000" w:rsidDel="00000000" w:rsidP="00000000" w:rsidRDefault="00000000" w:rsidRPr="00000000" w14:paraId="0000008A">
      <w:pPr>
        <w:spacing w:after="240" w:before="240" w:line="360" w:lineRule="auto"/>
        <w:rPr/>
      </w:pPr>
      <w:r w:rsidDel="00000000" w:rsidR="00000000" w:rsidRPr="00000000">
        <w:rPr>
          <w:rtl w:val="0"/>
        </w:rPr>
        <w:t xml:space="preserve">The second session emphasised grounding exercises to shift focus from anxious thoughts to present-moment sensory input. Techniques included the 5-4-3-2-1 method (identifying sensory details in a structured order) and body awareness activities, such as stomping feet or pressing palms together. Grounding helps regulate stress by engaging sensory systems, which is particularly effective for neurodiverse students managing sensory sensitivities or distractibility (Clark, 2024; Hopkins, 2024).</w:t>
      </w:r>
    </w:p>
    <w:p w:rsidR="00000000" w:rsidDel="00000000" w:rsidP="00000000" w:rsidRDefault="00000000" w:rsidRPr="00000000" w14:paraId="0000008B">
      <w:pPr>
        <w:spacing w:after="240" w:before="240" w:line="360" w:lineRule="auto"/>
        <w:rPr/>
      </w:pPr>
      <w:r w:rsidDel="00000000" w:rsidR="00000000" w:rsidRPr="00000000">
        <w:rPr>
          <w:rtl w:val="0"/>
        </w:rPr>
        <w:t xml:space="preserve">For example, students identified textures, sounds, and sensations, such as the feel of a chair or ambient noises. Body awareness exercises provided calming proprioceptive feedback, addressing sensory overload commonly experienced by autistic learners (Volkmar, 2020). Participants reported feeling "centered" and "grounded" after these exercises, with one stating, "It helped me ignore all the noise around me." These results echo Brown's (2021) findings on mindfulness enhancing focus in ADHD learners.</w:t>
      </w:r>
    </w:p>
    <w:p w:rsidR="00000000" w:rsidDel="00000000" w:rsidP="00000000" w:rsidRDefault="00000000" w:rsidRPr="00000000" w14:paraId="0000008C">
      <w:pPr>
        <w:pStyle w:val="Heading3"/>
        <w:keepNext w:val="0"/>
        <w:keepLines w:val="0"/>
        <w:spacing w:after="40" w:before="240" w:line="360" w:lineRule="auto"/>
        <w:rPr/>
      </w:pPr>
      <w:bookmarkStart w:colFirst="0" w:colLast="0" w:name="_jqnk2pox0751" w:id="27"/>
      <w:bookmarkEnd w:id="27"/>
      <w:r w:rsidDel="00000000" w:rsidR="00000000" w:rsidRPr="00000000">
        <w:rPr>
          <w:rtl w:val="0"/>
        </w:rPr>
        <w:t xml:space="preserve">Week 3: Socratic Questioning and Cognitive Restructuring</w:t>
      </w:r>
    </w:p>
    <w:p w:rsidR="00000000" w:rsidDel="00000000" w:rsidP="00000000" w:rsidRDefault="00000000" w:rsidRPr="00000000" w14:paraId="0000008D">
      <w:pPr>
        <w:spacing w:after="240" w:before="240" w:line="360" w:lineRule="auto"/>
        <w:rPr/>
      </w:pPr>
      <w:r w:rsidDel="00000000" w:rsidR="00000000" w:rsidRPr="00000000">
        <w:rPr>
          <w:rtl w:val="0"/>
        </w:rPr>
        <w:t xml:space="preserve">The final session introduced cognitive restructuring, guided by a Cognitive Restructuring Worksheet (Positive Psychology, 2020). Using Socratic questioning, participants critically evaluated anxiety-inducing thoughts, challenging distortions like catastrophising and perfectionism. Questions such as “What evidence supports this thought?” and “Am I interpreting this situation too negatively?” were used to reframe negative beliefs into balanced perspectives.</w:t>
      </w:r>
    </w:p>
    <w:p w:rsidR="00000000" w:rsidDel="00000000" w:rsidP="00000000" w:rsidRDefault="00000000" w:rsidRPr="00000000" w14:paraId="0000008E">
      <w:pPr>
        <w:spacing w:after="240" w:before="240" w:line="360" w:lineRule="auto"/>
        <w:rPr/>
      </w:pPr>
      <w:r w:rsidDel="00000000" w:rsidR="00000000" w:rsidRPr="00000000">
        <w:rPr>
          <w:rtl w:val="0"/>
        </w:rPr>
        <w:t xml:space="preserve">This approach, rooted in Cognitive Behavioral Therapy (CBT), is effective in reducing performance anxiety and fostering resilience (Faur et al., 2023). For neurodiverse students, the structured nature of these exercises aligns with their preference for logical, step-by-step frameworks (Goodall, 2019). One participant restructured the thought, “I’ll make a mistake, and everyone will laugh,” into “Even if I make a mistake, it’s a chance to learn.” Group reflections revealed shared progress, though emotional motivation varied; one participant remarked, “I didn’t like the song choice, so it was harder to focus.”</w:t>
      </w:r>
      <w:r w:rsidDel="00000000" w:rsidR="00000000" w:rsidRPr="00000000">
        <w:rPr>
          <w:rtl w:val="0"/>
        </w:rPr>
      </w:r>
    </w:p>
    <w:p w:rsidR="00000000" w:rsidDel="00000000" w:rsidP="00000000" w:rsidRDefault="00000000" w:rsidRPr="00000000" w14:paraId="0000008F">
      <w:pPr>
        <w:pStyle w:val="Heading2"/>
        <w:keepNext w:val="0"/>
        <w:keepLines w:val="0"/>
        <w:spacing w:before="280" w:line="360" w:lineRule="auto"/>
        <w:rPr/>
      </w:pPr>
      <w:bookmarkStart w:colFirst="0" w:colLast="0" w:name="_twt4eflxov36" w:id="28"/>
      <w:bookmarkEnd w:id="28"/>
      <w:r w:rsidDel="00000000" w:rsidR="00000000" w:rsidRPr="00000000">
        <w:rPr>
          <w:rtl w:val="0"/>
        </w:rPr>
        <w:t xml:space="preserve">Data Collection</w:t>
      </w:r>
    </w:p>
    <w:p w:rsidR="00000000" w:rsidDel="00000000" w:rsidP="00000000" w:rsidRDefault="00000000" w:rsidRPr="00000000" w14:paraId="00000090">
      <w:pPr>
        <w:spacing w:after="240" w:before="240" w:line="360" w:lineRule="auto"/>
        <w:rPr/>
      </w:pPr>
      <w:r w:rsidDel="00000000" w:rsidR="00000000" w:rsidRPr="00000000">
        <w:rPr>
          <w:rtl w:val="0"/>
        </w:rPr>
        <w:t xml:space="preserve">Data collection spanned the three-week intervention, combining quantitative and qualitative methods for a comprehensive evaluation. The Performance Anxiety Inventory (PAI) provided quantitative data, with participants completing the assessment at both the start and end of the programme. Qualitative data were gathered through pre-intervention interviews, capturing participants’ initial perceptions of performance anxiety.</w:t>
      </w:r>
    </w:p>
    <w:p w:rsidR="00000000" w:rsidDel="00000000" w:rsidP="00000000" w:rsidRDefault="00000000" w:rsidRPr="00000000" w14:paraId="00000091">
      <w:pPr>
        <w:spacing w:after="240" w:before="240" w:line="360" w:lineRule="auto"/>
        <w:rPr/>
      </w:pPr>
      <w:r w:rsidDel="00000000" w:rsidR="00000000" w:rsidRPr="00000000">
        <w:rPr>
          <w:rtl w:val="0"/>
        </w:rPr>
        <w:t xml:space="preserve">Following the intervention, semi-structured discussions were conducted after participants re-scored themselves on the PAI. These discussions mirrored the pre-intervention interviews, offering reflections on the techniques' effectiveness and challenges. This combination of numerical and narrative data enabled a nuanced understanding of the intervention's impact.</w:t>
      </w:r>
    </w:p>
    <w:p w:rsidR="00000000" w:rsidDel="00000000" w:rsidP="00000000" w:rsidRDefault="00000000" w:rsidRPr="00000000" w14:paraId="00000092">
      <w:pPr>
        <w:spacing w:after="240" w:before="240" w:line="360" w:lineRule="auto"/>
        <w:rPr/>
      </w:pPr>
      <w:r w:rsidDel="00000000" w:rsidR="00000000" w:rsidRPr="00000000">
        <w:rPr>
          <w:rtl w:val="0"/>
        </w:rPr>
        <w:t xml:space="preserve">Quantitative data analysis focused on reductions in PAI scores, calculated by subtracting final scores from baseline scores for each participant. Average reductions and percentage changes were determined to assess relative improvement. For qualitative data, Clarke and Braun’s (2016) six-phase thematic analysis framework was employed. This involved familiarisation with the data, coding, identifying and refining themes, and defining key patterns in participants’ experiences. Semi-structured interviews were transcribed and systematically analysed to reveal themes related to performance anxiety in neurodiverse learners.</w:t>
      </w:r>
    </w:p>
    <w:p w:rsidR="00000000" w:rsidDel="00000000" w:rsidP="00000000" w:rsidRDefault="00000000" w:rsidRPr="00000000" w14:paraId="00000093">
      <w:pPr>
        <w:spacing w:after="240" w:before="240" w:line="360" w:lineRule="auto"/>
        <w:rPr/>
      </w:pPr>
      <w:r w:rsidDel="00000000" w:rsidR="00000000" w:rsidRPr="00000000">
        <w:rPr>
          <w:rtl w:val="0"/>
        </w:rPr>
        <w:t xml:space="preserve">The process is summarised in the data analysis chart below (Figure 3), which details the steps from transcription to thematic analysis. This approach provided rich insights into the challenges and effective strategies for neurodiverse students, directly addressing the study’s aims.</w:t>
      </w:r>
      <w:r w:rsidDel="00000000" w:rsidR="00000000" w:rsidRPr="00000000">
        <w:rPr>
          <w:rtl w:val="0"/>
        </w:rPr>
      </w:r>
    </w:p>
    <w:p w:rsidR="00000000" w:rsidDel="00000000" w:rsidP="00000000" w:rsidRDefault="00000000" w:rsidRPr="00000000" w14:paraId="00000094">
      <w:pPr>
        <w:spacing w:after="240" w:before="240" w:line="360" w:lineRule="auto"/>
        <w:jc w:val="center"/>
        <w:rPr/>
      </w:pPr>
      <w:r w:rsidDel="00000000" w:rsidR="00000000" w:rsidRPr="00000000">
        <w:rPr/>
        <w:drawing>
          <wp:inline distB="114300" distT="114300" distL="114300" distR="114300">
            <wp:extent cx="5734050" cy="3939825"/>
            <wp:effectExtent b="0" l="0" r="0" t="0"/>
            <wp:docPr id="3" name="image23.png"/>
            <a:graphic>
              <a:graphicData uri="http://schemas.openxmlformats.org/drawingml/2006/picture">
                <pic:pic>
                  <pic:nvPicPr>
                    <pic:cNvPr id="0" name="image23.png"/>
                    <pic:cNvPicPr preferRelativeResize="0"/>
                  </pic:nvPicPr>
                  <pic:blipFill>
                    <a:blip r:embed="rId8"/>
                    <a:srcRect b="7877" l="0" r="0" t="0"/>
                    <a:stretch>
                      <a:fillRect/>
                    </a:stretch>
                  </pic:blipFill>
                  <pic:spPr>
                    <a:xfrm>
                      <a:off x="0" y="0"/>
                      <a:ext cx="5734050" cy="3939825"/>
                    </a:xfrm>
                    <a:prstGeom prst="rect"/>
                    <a:ln/>
                  </pic:spPr>
                </pic:pic>
              </a:graphicData>
            </a:graphic>
          </wp:inline>
        </w:drawing>
      </w:r>
      <w:r w:rsidDel="00000000" w:rsidR="00000000" w:rsidRPr="00000000">
        <w:rPr>
          <w:rtl w:val="0"/>
        </w:rPr>
        <w:t xml:space="preserve">(Figure 3)</w:t>
      </w:r>
    </w:p>
    <w:p w:rsidR="00000000" w:rsidDel="00000000" w:rsidP="00000000" w:rsidRDefault="00000000" w:rsidRPr="00000000" w14:paraId="00000095">
      <w:pPr>
        <w:pStyle w:val="Heading1"/>
        <w:keepNext w:val="0"/>
        <w:keepLines w:val="0"/>
        <w:spacing w:line="360" w:lineRule="auto"/>
        <w:rPr/>
      </w:pPr>
      <w:bookmarkStart w:colFirst="0" w:colLast="0" w:name="_o8iaeecconfs" w:id="29"/>
      <w:bookmarkEnd w:id="29"/>
      <w:r w:rsidDel="00000000" w:rsidR="00000000" w:rsidRPr="00000000">
        <w:rPr>
          <w:rtl w:val="0"/>
        </w:rPr>
        <w:t xml:space="preserve">Project Timeline and Implementation</w:t>
      </w:r>
    </w:p>
    <w:p w:rsidR="00000000" w:rsidDel="00000000" w:rsidP="00000000" w:rsidRDefault="00000000" w:rsidRPr="00000000" w14:paraId="00000096">
      <w:pPr>
        <w:spacing w:after="240" w:before="240" w:line="360" w:lineRule="auto"/>
        <w:rPr/>
      </w:pPr>
      <w:r w:rsidDel="00000000" w:rsidR="00000000" w:rsidRPr="00000000">
        <w:rPr>
          <w:rtl w:val="0"/>
        </w:rPr>
        <w:t xml:space="preserve">The project was initially designed as a six-week intervention but was condensed to three weeks due to recruitment delays. Despite the shortened time frame, the program provided valuable insights into managing performance anxiety among neurodiverse learners.</w:t>
      </w:r>
    </w:p>
    <w:p w:rsidR="00000000" w:rsidDel="00000000" w:rsidP="00000000" w:rsidRDefault="00000000" w:rsidRPr="00000000" w14:paraId="00000097">
      <w:pPr>
        <w:pStyle w:val="Heading3"/>
        <w:keepNext w:val="0"/>
        <w:keepLines w:val="0"/>
        <w:spacing w:line="360" w:lineRule="auto"/>
        <w:rPr/>
      </w:pPr>
      <w:bookmarkStart w:colFirst="0" w:colLast="0" w:name="_jt6e3v7514ea" w:id="30"/>
      <w:bookmarkEnd w:id="30"/>
      <w:r w:rsidDel="00000000" w:rsidR="00000000" w:rsidRPr="00000000">
        <w:rPr>
          <w:rtl w:val="0"/>
        </w:rPr>
        <w:t xml:space="preserve">Preparation Phase</w:t>
      </w:r>
    </w:p>
    <w:p w:rsidR="00000000" w:rsidDel="00000000" w:rsidP="00000000" w:rsidRDefault="00000000" w:rsidRPr="00000000" w14:paraId="00000098">
      <w:pPr>
        <w:spacing w:after="240" w:before="240" w:line="360" w:lineRule="auto"/>
        <w:rPr/>
      </w:pPr>
      <w:r w:rsidDel="00000000" w:rsidR="00000000" w:rsidRPr="00000000">
        <w:rPr>
          <w:rtl w:val="0"/>
        </w:rPr>
        <w:t xml:space="preserve">This phase involved developing recruitment materials, undergoing ethical review, and planning intervention sessions. Recruitment challenges, such as low response rates, highlighted the need for more direct engagement with parents and guardians (Mercer, 2007).</w:t>
      </w:r>
    </w:p>
    <w:p w:rsidR="00000000" w:rsidDel="00000000" w:rsidP="00000000" w:rsidRDefault="00000000" w:rsidRPr="00000000" w14:paraId="00000099">
      <w:pPr>
        <w:pStyle w:val="Heading3"/>
        <w:keepNext w:val="0"/>
        <w:keepLines w:val="0"/>
        <w:spacing w:line="360" w:lineRule="auto"/>
        <w:rPr/>
      </w:pPr>
      <w:bookmarkStart w:colFirst="0" w:colLast="0" w:name="_7oasrcbs4com" w:id="31"/>
      <w:bookmarkEnd w:id="31"/>
      <w:r w:rsidDel="00000000" w:rsidR="00000000" w:rsidRPr="00000000">
        <w:rPr>
          <w:rtl w:val="0"/>
        </w:rPr>
        <w:t xml:space="preserve">Recruitment Phase</w:t>
      </w:r>
    </w:p>
    <w:p w:rsidR="00000000" w:rsidDel="00000000" w:rsidP="00000000" w:rsidRDefault="00000000" w:rsidRPr="00000000" w14:paraId="0000009A">
      <w:pPr>
        <w:spacing w:after="240" w:before="240" w:line="360" w:lineRule="auto"/>
        <w:rPr/>
      </w:pPr>
      <w:r w:rsidDel="00000000" w:rsidR="00000000" w:rsidRPr="00000000">
        <w:rPr>
          <w:rtl w:val="0"/>
        </w:rPr>
        <w:t xml:space="preserve">Efforts included outreach to parents and guardians with detailed information sheets. Despite this, only three participants completed the consent process, underscoring barriers in educational research with neurodiverse populations.</w:t>
      </w:r>
    </w:p>
    <w:p w:rsidR="00000000" w:rsidDel="00000000" w:rsidP="00000000" w:rsidRDefault="00000000" w:rsidRPr="00000000" w14:paraId="0000009B">
      <w:pPr>
        <w:pStyle w:val="Heading3"/>
        <w:keepNext w:val="0"/>
        <w:keepLines w:val="0"/>
        <w:spacing w:line="360" w:lineRule="auto"/>
        <w:rPr/>
      </w:pPr>
      <w:bookmarkStart w:colFirst="0" w:colLast="0" w:name="_6hktlr4p53r3" w:id="32"/>
      <w:bookmarkEnd w:id="32"/>
      <w:r w:rsidDel="00000000" w:rsidR="00000000" w:rsidRPr="00000000">
        <w:rPr>
          <w:rtl w:val="0"/>
        </w:rPr>
        <w:t xml:space="preserve">Intervention Phase</w:t>
      </w:r>
    </w:p>
    <w:p w:rsidR="00000000" w:rsidDel="00000000" w:rsidP="00000000" w:rsidRDefault="00000000" w:rsidRPr="00000000" w14:paraId="0000009C">
      <w:pPr>
        <w:spacing w:after="240" w:before="240" w:line="360" w:lineRule="auto"/>
        <w:rPr/>
      </w:pPr>
      <w:r w:rsidDel="00000000" w:rsidR="00000000" w:rsidRPr="00000000">
        <w:rPr>
          <w:rtl w:val="0"/>
        </w:rPr>
        <w:t xml:space="preserve">The condensed three-week intervention incorporated diaphragmatic breathing, grounding techniques, and Socratic questioning, as outlined above. Each session was designed to build on the previous week’s skills, fostering both immediate and long-term strategies for managing anxiety.</w:t>
      </w:r>
    </w:p>
    <w:p w:rsidR="00000000" w:rsidDel="00000000" w:rsidP="00000000" w:rsidRDefault="00000000" w:rsidRPr="00000000" w14:paraId="0000009D">
      <w:pPr>
        <w:pStyle w:val="Heading2"/>
        <w:keepNext w:val="0"/>
        <w:keepLines w:val="0"/>
        <w:spacing w:line="360" w:lineRule="auto"/>
        <w:rPr/>
      </w:pPr>
      <w:bookmarkStart w:colFirst="0" w:colLast="0" w:name="_ldd4hz6e7d2p" w:id="33"/>
      <w:bookmarkEnd w:id="33"/>
      <w:r w:rsidDel="00000000" w:rsidR="00000000" w:rsidRPr="00000000">
        <w:rPr>
          <w:rtl w:val="0"/>
        </w:rPr>
        <w:t xml:space="preserve">Limitations</w:t>
      </w:r>
    </w:p>
    <w:p w:rsidR="00000000" w:rsidDel="00000000" w:rsidP="00000000" w:rsidRDefault="00000000" w:rsidRPr="00000000" w14:paraId="0000009E">
      <w:pPr>
        <w:spacing w:after="240" w:before="240" w:line="360" w:lineRule="auto"/>
        <w:rPr/>
      </w:pPr>
      <w:r w:rsidDel="00000000" w:rsidR="00000000" w:rsidRPr="00000000">
        <w:rPr>
          <w:rtl w:val="0"/>
        </w:rPr>
        <w:t xml:space="preserve">The study faced two key limitations:</w:t>
      </w:r>
    </w:p>
    <w:p w:rsidR="00000000" w:rsidDel="00000000" w:rsidP="00000000" w:rsidRDefault="00000000" w:rsidRPr="00000000" w14:paraId="0000009F">
      <w:pPr>
        <w:spacing w:after="240" w:before="240" w:line="360" w:lineRule="auto"/>
        <w:rPr/>
      </w:pPr>
      <w:r w:rsidDel="00000000" w:rsidR="00000000" w:rsidRPr="00000000">
        <w:rPr>
          <w:rtl w:val="0"/>
        </w:rPr>
        <w:t xml:space="preserve">Sample Size: With only three participants, the findings cannot be generalised to broader populations but allowed for rich qualitative exploration.</w:t>
      </w:r>
    </w:p>
    <w:p w:rsidR="00000000" w:rsidDel="00000000" w:rsidP="00000000" w:rsidRDefault="00000000" w:rsidRPr="00000000" w14:paraId="000000A0">
      <w:pPr>
        <w:spacing w:after="240" w:before="240" w:line="360" w:lineRule="auto"/>
        <w:rPr/>
      </w:pPr>
      <w:r w:rsidDel="00000000" w:rsidR="00000000" w:rsidRPr="00000000">
        <w:rPr>
          <w:rtl w:val="0"/>
        </w:rPr>
        <w:t xml:space="preserve">Intervention Duration: The reduced timeline limited the opportunity for participants to establish long-term coping mechanisms, as consistent practice is essential for embedding new skills (Kenny, 2011).</w:t>
      </w:r>
    </w:p>
    <w:p w:rsidR="00000000" w:rsidDel="00000000" w:rsidP="00000000" w:rsidRDefault="00000000" w:rsidRPr="00000000" w14:paraId="000000A1">
      <w:pPr>
        <w:pStyle w:val="Heading1"/>
        <w:keepNext w:val="0"/>
        <w:keepLines w:val="0"/>
        <w:spacing w:line="360" w:lineRule="auto"/>
        <w:rPr/>
      </w:pPr>
      <w:bookmarkStart w:colFirst="0" w:colLast="0" w:name="_c124jfhj125p" w:id="34"/>
      <w:bookmarkEnd w:id="34"/>
      <w:r w:rsidDel="00000000" w:rsidR="00000000" w:rsidRPr="00000000">
        <w:rPr>
          <w:rtl w:val="0"/>
        </w:rPr>
        <w:t xml:space="preserve">Ethical Considerations</w:t>
      </w:r>
    </w:p>
    <w:p w:rsidR="00000000" w:rsidDel="00000000" w:rsidP="00000000" w:rsidRDefault="00000000" w:rsidRPr="00000000" w14:paraId="000000A2">
      <w:pPr>
        <w:spacing w:after="240" w:before="240" w:line="360" w:lineRule="auto"/>
        <w:rPr/>
      </w:pPr>
      <w:r w:rsidDel="00000000" w:rsidR="00000000" w:rsidRPr="00000000">
        <w:rPr>
          <w:rtl w:val="0"/>
        </w:rPr>
        <w:t xml:space="preserve">This study adhered to the ethical guidelines of the University of Wales Research Ethics and Integrity Code of Practice, with particular attention to the complexities of working with neurodiverse participants.</w:t>
      </w:r>
    </w:p>
    <w:p w:rsidR="00000000" w:rsidDel="00000000" w:rsidP="00000000" w:rsidRDefault="00000000" w:rsidRPr="00000000" w14:paraId="000000A3">
      <w:pPr>
        <w:pStyle w:val="Heading2"/>
        <w:keepNext w:val="0"/>
        <w:keepLines w:val="0"/>
        <w:spacing w:after="40" w:before="240" w:line="360" w:lineRule="auto"/>
        <w:rPr/>
      </w:pPr>
      <w:bookmarkStart w:colFirst="0" w:colLast="0" w:name="_u0oq6sc3en3h" w:id="35"/>
      <w:bookmarkEnd w:id="35"/>
      <w:r w:rsidDel="00000000" w:rsidR="00000000" w:rsidRPr="00000000">
        <w:rPr>
          <w:rtl w:val="0"/>
        </w:rPr>
        <w:t xml:space="preserve">Informed Consent</w:t>
      </w:r>
    </w:p>
    <w:p w:rsidR="00000000" w:rsidDel="00000000" w:rsidP="00000000" w:rsidRDefault="00000000" w:rsidRPr="00000000" w14:paraId="000000A4">
      <w:pPr>
        <w:spacing w:after="240" w:before="240" w:line="360" w:lineRule="auto"/>
        <w:rPr/>
      </w:pPr>
      <w:r w:rsidDel="00000000" w:rsidR="00000000" w:rsidRPr="00000000">
        <w:rPr>
          <w:rtl w:val="0"/>
        </w:rPr>
        <w:t xml:space="preserve">Participants and their guardians received detailed information sheets outlining the study’s purpose and potential risks. Written consent was obtained prior to participation, though logistical challenges, such as reliance on email communication, delayed recruitment.</w:t>
      </w:r>
    </w:p>
    <w:p w:rsidR="00000000" w:rsidDel="00000000" w:rsidP="00000000" w:rsidRDefault="00000000" w:rsidRPr="00000000" w14:paraId="000000A5">
      <w:pPr>
        <w:pStyle w:val="Heading2"/>
        <w:keepNext w:val="0"/>
        <w:keepLines w:val="0"/>
        <w:spacing w:after="40" w:before="240" w:line="360" w:lineRule="auto"/>
        <w:rPr/>
      </w:pPr>
      <w:bookmarkStart w:colFirst="0" w:colLast="0" w:name="_sngf8lmpms2u" w:id="36"/>
      <w:bookmarkEnd w:id="36"/>
      <w:r w:rsidDel="00000000" w:rsidR="00000000" w:rsidRPr="00000000">
        <w:rPr>
          <w:rtl w:val="0"/>
        </w:rPr>
        <w:t xml:space="preserve">Confidentiality</w:t>
      </w:r>
    </w:p>
    <w:p w:rsidR="00000000" w:rsidDel="00000000" w:rsidP="00000000" w:rsidRDefault="00000000" w:rsidRPr="00000000" w14:paraId="000000A6">
      <w:pPr>
        <w:spacing w:after="240" w:before="240" w:line="360" w:lineRule="auto"/>
        <w:rPr/>
      </w:pPr>
      <w:r w:rsidDel="00000000" w:rsidR="00000000" w:rsidRPr="00000000">
        <w:rPr>
          <w:rtl w:val="0"/>
        </w:rPr>
        <w:t xml:space="preserve">To ensure participant privacy, data was anonymised using pseudonyms, and personal information was securely stored. Participant identifiers were separated from research data, minimising risks of disclosure (Liu &amp; Gao, 2024).</w:t>
      </w:r>
    </w:p>
    <w:p w:rsidR="00000000" w:rsidDel="00000000" w:rsidP="00000000" w:rsidRDefault="00000000" w:rsidRPr="00000000" w14:paraId="000000A7">
      <w:pPr>
        <w:pStyle w:val="Heading2"/>
        <w:keepNext w:val="0"/>
        <w:keepLines w:val="0"/>
        <w:spacing w:after="40" w:before="240" w:line="360" w:lineRule="auto"/>
        <w:rPr/>
      </w:pPr>
      <w:bookmarkStart w:colFirst="0" w:colLast="0" w:name="_y734zjbeahln" w:id="37"/>
      <w:bookmarkEnd w:id="37"/>
      <w:r w:rsidDel="00000000" w:rsidR="00000000" w:rsidRPr="00000000">
        <w:rPr>
          <w:rtl w:val="0"/>
        </w:rPr>
        <w:t xml:space="preserve">Voluntary Participation</w:t>
      </w:r>
    </w:p>
    <w:p w:rsidR="00000000" w:rsidDel="00000000" w:rsidP="00000000" w:rsidRDefault="00000000" w:rsidRPr="00000000" w14:paraId="000000A8">
      <w:pPr>
        <w:spacing w:after="240" w:before="240" w:line="360" w:lineRule="auto"/>
        <w:rPr/>
      </w:pPr>
      <w:r w:rsidDel="00000000" w:rsidR="00000000" w:rsidRPr="00000000">
        <w:rPr>
          <w:rtl w:val="0"/>
        </w:rPr>
        <w:t xml:space="preserve">Participation was entirely voluntary, with students reminded of their right to withdraw at any time without consequences. This approach supported participant autonomy, a critical principle in educational research (Cohen, Manion, &amp; Morrison, 2011).</w:t>
      </w:r>
    </w:p>
    <w:p w:rsidR="00000000" w:rsidDel="00000000" w:rsidP="00000000" w:rsidRDefault="00000000" w:rsidRPr="00000000" w14:paraId="000000A9">
      <w:pPr>
        <w:pStyle w:val="Heading2"/>
        <w:keepNext w:val="0"/>
        <w:keepLines w:val="0"/>
        <w:spacing w:after="40" w:before="240" w:line="360" w:lineRule="auto"/>
        <w:rPr/>
      </w:pPr>
      <w:bookmarkStart w:colFirst="0" w:colLast="0" w:name="_h4re7vruxo59" w:id="38"/>
      <w:bookmarkEnd w:id="38"/>
      <w:r w:rsidDel="00000000" w:rsidR="00000000" w:rsidRPr="00000000">
        <w:rPr>
          <w:rtl w:val="0"/>
        </w:rPr>
        <w:t xml:space="preserve">Risk Mitigation</w:t>
      </w:r>
    </w:p>
    <w:p w:rsidR="00000000" w:rsidDel="00000000" w:rsidP="00000000" w:rsidRDefault="00000000" w:rsidRPr="00000000" w14:paraId="000000AA">
      <w:pPr>
        <w:spacing w:after="240" w:before="240" w:line="360" w:lineRule="auto"/>
        <w:rPr/>
      </w:pPr>
      <w:r w:rsidDel="00000000" w:rsidR="00000000" w:rsidRPr="00000000">
        <w:rPr>
          <w:rtl w:val="0"/>
        </w:rPr>
        <w:t xml:space="preserve">Interventions were designed to be non-invasive, prioritising student well-being. Exercises such as mindfulness and grounding techniques were adapted to avoid triggering distress. Participants were encouraged to modify exercises as needed and communicate any discomfort during sessions (Drennan, 2024).</w:t>
      </w:r>
    </w:p>
    <w:p w:rsidR="00000000" w:rsidDel="00000000" w:rsidP="00000000" w:rsidRDefault="00000000" w:rsidRPr="00000000" w14:paraId="000000AB">
      <w:pPr>
        <w:pStyle w:val="Heading2"/>
        <w:keepNext w:val="0"/>
        <w:keepLines w:val="0"/>
        <w:spacing w:before="280" w:line="360" w:lineRule="auto"/>
        <w:rPr/>
      </w:pPr>
      <w:bookmarkStart w:colFirst="0" w:colLast="0" w:name="_3smuvg9obg22" w:id="39"/>
      <w:bookmarkEnd w:id="39"/>
      <w:r w:rsidDel="00000000" w:rsidR="00000000" w:rsidRPr="00000000">
        <w:rPr>
          <w:rtl w:val="0"/>
        </w:rPr>
        <w:t xml:space="preserve">Insider Research Challenges</w:t>
      </w:r>
    </w:p>
    <w:p w:rsidR="00000000" w:rsidDel="00000000" w:rsidP="00000000" w:rsidRDefault="00000000" w:rsidRPr="00000000" w14:paraId="000000AC">
      <w:pPr>
        <w:spacing w:after="240" w:before="240" w:line="360" w:lineRule="auto"/>
        <w:rPr/>
      </w:pPr>
      <w:r w:rsidDel="00000000" w:rsidR="00000000" w:rsidRPr="00000000">
        <w:rPr>
          <w:rtl w:val="0"/>
        </w:rPr>
        <w:t xml:space="preserve">Conducting research in a familiar environment posed potential risks, including power imbalances and bias. To address these concerns:</w:t>
      </w:r>
    </w:p>
    <w:p w:rsidR="00000000" w:rsidDel="00000000" w:rsidP="00000000" w:rsidRDefault="00000000" w:rsidRPr="00000000" w14:paraId="000000AD">
      <w:pPr>
        <w:numPr>
          <w:ilvl w:val="0"/>
          <w:numId w:val="3"/>
        </w:numPr>
        <w:spacing w:after="0" w:afterAutospacing="0" w:before="240" w:line="360" w:lineRule="auto"/>
        <w:ind w:left="720" w:hanging="360"/>
        <w:rPr/>
      </w:pPr>
      <w:r w:rsidDel="00000000" w:rsidR="00000000" w:rsidRPr="00000000">
        <w:rPr>
          <w:rtl w:val="0"/>
        </w:rPr>
        <w:t xml:space="preserve">Professional Boundaries: Participation was framed as voluntary, and the researcher maintained a neutral stance.</w:t>
      </w:r>
    </w:p>
    <w:p w:rsidR="00000000" w:rsidDel="00000000" w:rsidP="00000000" w:rsidRDefault="00000000" w:rsidRPr="00000000" w14:paraId="000000AE">
      <w:pPr>
        <w:numPr>
          <w:ilvl w:val="0"/>
          <w:numId w:val="3"/>
        </w:numPr>
        <w:spacing w:after="240" w:before="0" w:beforeAutospacing="0" w:line="360" w:lineRule="auto"/>
        <w:ind w:left="720" w:hanging="360"/>
        <w:rPr/>
      </w:pPr>
      <w:r w:rsidDel="00000000" w:rsidR="00000000" w:rsidRPr="00000000">
        <w:rPr>
          <w:rtl w:val="0"/>
        </w:rPr>
        <w:t xml:space="preserve">External Oversight: Supervisors provided objective oversight of data collection and analysis (Mercer, 2007).</w:t>
      </w:r>
      <w:r w:rsidDel="00000000" w:rsidR="00000000" w:rsidRPr="00000000">
        <w:rPr>
          <w:rtl w:val="0"/>
        </w:rPr>
      </w:r>
    </w:p>
    <w:p w:rsidR="00000000" w:rsidDel="00000000" w:rsidP="00000000" w:rsidRDefault="00000000" w:rsidRPr="00000000" w14:paraId="000000AF">
      <w:pPr>
        <w:pStyle w:val="Heading1"/>
        <w:keepNext w:val="0"/>
        <w:keepLines w:val="0"/>
        <w:spacing w:before="280" w:line="360" w:lineRule="auto"/>
        <w:rPr/>
      </w:pPr>
      <w:bookmarkStart w:colFirst="0" w:colLast="0" w:name="_f8d9lo6yrtjz" w:id="40"/>
      <w:bookmarkEnd w:id="40"/>
      <w:r w:rsidDel="00000000" w:rsidR="00000000" w:rsidRPr="00000000">
        <w:rPr>
          <w:rtl w:val="0"/>
        </w:rPr>
        <w:t xml:space="preserve">Findings and Discussion</w:t>
      </w:r>
    </w:p>
    <w:p w:rsidR="00000000" w:rsidDel="00000000" w:rsidP="00000000" w:rsidRDefault="00000000" w:rsidRPr="00000000" w14:paraId="000000B0">
      <w:pPr>
        <w:pStyle w:val="Heading2"/>
        <w:keepNext w:val="0"/>
        <w:keepLines w:val="0"/>
        <w:spacing w:after="40" w:before="240" w:line="360" w:lineRule="auto"/>
        <w:rPr/>
      </w:pPr>
      <w:bookmarkStart w:colFirst="0" w:colLast="0" w:name="_8bzi2jkye3m0" w:id="41"/>
      <w:bookmarkEnd w:id="41"/>
      <w:r w:rsidDel="00000000" w:rsidR="00000000" w:rsidRPr="00000000">
        <w:rPr>
          <w:rtl w:val="0"/>
        </w:rPr>
        <w:t xml:space="preserve">Introduction to the Findings</w:t>
      </w:r>
    </w:p>
    <w:p w:rsidR="00000000" w:rsidDel="00000000" w:rsidP="00000000" w:rsidRDefault="00000000" w:rsidRPr="00000000" w14:paraId="000000B1">
      <w:pPr>
        <w:spacing w:after="240" w:before="240" w:line="360" w:lineRule="auto"/>
        <w:rPr/>
      </w:pPr>
      <w:r w:rsidDel="00000000" w:rsidR="00000000" w:rsidRPr="00000000">
        <w:rPr>
          <w:rtl w:val="0"/>
        </w:rPr>
        <w:t xml:space="preserve">This study assessed the impact of tailored interventions—diaphragmatic breathing, grounding techniques, and cognitive restructuring—on performance anxiety in neurodiverse students. Findings were structured around four key themes: managing physical symptoms, addressing cognitive and emotional barriers, sensory regulation, and engagement. The three-week intervention period, although shorter than planned, aligned with the students' end-of-year gig, providing insights into how strategies performed in a live performance setting. While the small sample size limits generalisability, the study yielded valuable qualitative insights consistent with Creswell and Poth’s (2018) recommendations for exploring individual experiences. Improvements in physical anxiety and focus align with Kabat-Zinn’s (2003) findings on breathing techniques and Brown’s (2021) research on mindfulness in ADHD learners, contributing to inclusive pedagogy frameworks such as Steiner’s (2024) guidance on neurodivergent teaching practices.</w:t>
      </w:r>
      <w:r w:rsidDel="00000000" w:rsidR="00000000" w:rsidRPr="00000000">
        <w:rPr>
          <w:rtl w:val="0"/>
        </w:rPr>
      </w:r>
    </w:p>
    <w:p w:rsidR="00000000" w:rsidDel="00000000" w:rsidP="00000000" w:rsidRDefault="00000000" w:rsidRPr="00000000" w14:paraId="000000B2">
      <w:pPr>
        <w:spacing w:after="240" w:before="240" w:line="360" w:lineRule="auto"/>
        <w:jc w:val="center"/>
        <w:rPr/>
      </w:pPr>
      <w:r w:rsidDel="00000000" w:rsidR="00000000" w:rsidRPr="00000000">
        <w:rPr/>
        <w:drawing>
          <wp:inline distB="114300" distT="114300" distL="114300" distR="114300">
            <wp:extent cx="5178263" cy="8330643"/>
            <wp:effectExtent b="0" l="0" r="0" t="0"/>
            <wp:docPr id="10"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178263" cy="8330643"/>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keepNext w:val="0"/>
        <w:keepLines w:val="0"/>
        <w:spacing w:after="40" w:before="240" w:line="360" w:lineRule="auto"/>
        <w:jc w:val="center"/>
        <w:rPr/>
      </w:pPr>
      <w:r w:rsidDel="00000000" w:rsidR="00000000" w:rsidRPr="00000000">
        <w:rPr>
          <w:rtl w:val="0"/>
        </w:rPr>
        <w:t xml:space="preserve">(Figure 4)</w:t>
      </w:r>
    </w:p>
    <w:p w:rsidR="00000000" w:rsidDel="00000000" w:rsidP="00000000" w:rsidRDefault="00000000" w:rsidRPr="00000000" w14:paraId="000000B4">
      <w:pPr>
        <w:pStyle w:val="Heading2"/>
        <w:keepNext w:val="0"/>
        <w:keepLines w:val="0"/>
        <w:spacing w:after="40" w:before="240" w:line="360" w:lineRule="auto"/>
        <w:rPr/>
      </w:pPr>
      <w:bookmarkStart w:colFirst="0" w:colLast="0" w:name="_eg34bwfjmj1f" w:id="42"/>
      <w:bookmarkEnd w:id="42"/>
      <w:r w:rsidDel="00000000" w:rsidR="00000000" w:rsidRPr="00000000">
        <w:rPr>
          <w:rtl w:val="0"/>
        </w:rPr>
        <w:t xml:space="preserve">Theme 1: Managing Physical Symptoms</w:t>
      </w:r>
    </w:p>
    <w:p w:rsidR="00000000" w:rsidDel="00000000" w:rsidP="00000000" w:rsidRDefault="00000000" w:rsidRPr="00000000" w14:paraId="000000B5">
      <w:pPr>
        <w:spacing w:after="240" w:before="240" w:line="360" w:lineRule="auto"/>
        <w:rPr/>
      </w:pPr>
      <w:r w:rsidDel="00000000" w:rsidR="00000000" w:rsidRPr="00000000">
        <w:rPr>
          <w:rtl w:val="0"/>
        </w:rPr>
        <w:t xml:space="preserve">Physical symptoms of performance anxiety, such as shaking hands and muscle tension, were addressed through diaphragmatic breathing, with all participants reporting reductions in physical tension (Figure 5). Visualisation exercises, such as imagining an inflating balloon, were particularly effective for one ADHD participant, helping them focus on controlled breathing. These results align with Kabat-Zinn’s (2003) research on vagus nerve stimulation as a stress reduction mechanism. Quantitative PAI data supported these findings, with Student Alpha stating, “The breathing exercises helped me stop shaking so much. I could feel my body calming down.”</w:t>
      </w:r>
    </w:p>
    <w:p w:rsidR="00000000" w:rsidDel="00000000" w:rsidP="00000000" w:rsidRDefault="00000000" w:rsidRPr="00000000" w14:paraId="000000B6">
      <w:pPr>
        <w:pStyle w:val="Heading2"/>
        <w:keepNext w:val="0"/>
        <w:keepLines w:val="0"/>
        <w:spacing w:after="40" w:before="240" w:line="360" w:lineRule="auto"/>
        <w:rPr/>
      </w:pPr>
      <w:bookmarkStart w:colFirst="0" w:colLast="0" w:name="_x42amach24ee" w:id="43"/>
      <w:bookmarkEnd w:id="43"/>
      <w:r w:rsidDel="00000000" w:rsidR="00000000" w:rsidRPr="00000000">
        <w:rPr>
          <w:rtl w:val="0"/>
        </w:rPr>
        <w:t xml:space="preserve">Theme 2: Cognitive and Emotional Barriers</w:t>
      </w:r>
    </w:p>
    <w:p w:rsidR="00000000" w:rsidDel="00000000" w:rsidP="00000000" w:rsidRDefault="00000000" w:rsidRPr="00000000" w14:paraId="000000B7">
      <w:pPr>
        <w:spacing w:after="240" w:before="240" w:line="360" w:lineRule="auto"/>
        <w:rPr/>
      </w:pPr>
      <w:r w:rsidDel="00000000" w:rsidR="00000000" w:rsidRPr="00000000">
        <w:rPr>
          <w:rtl w:val="0"/>
        </w:rPr>
        <w:t xml:space="preserve">Challenges such as catastrophising, perfectionism, and emotional dysregulation were significant barriers that limited students’ progress. These barriers were explored using the Cognitive Restructuring Worksheet during Week 3 of the intervention, where participants were encouraged to critically evaluate anxiety-inducing thoughts through Socratic questioning.</w:t>
      </w:r>
      <w:r w:rsidDel="00000000" w:rsidR="00000000" w:rsidRPr="00000000">
        <w:rPr>
          <w:b w:val="1"/>
          <w:rtl w:val="0"/>
        </w:rPr>
        <w:t xml:space="preserve"> </w:t>
      </w:r>
      <w:r w:rsidDel="00000000" w:rsidR="00000000" w:rsidRPr="00000000">
        <w:rPr>
          <w:rtl w:val="0"/>
        </w:rPr>
        <w:t xml:space="preserve">Despite physical improvements, Student Alpha continued to experience high levels of self-criticism, particularly in relation to fear of making mistakes. Emotional disengagement also emerged as a challenge; for instance, Student Charlie’s dissatisfaction with song choices reduced the efficacy of the interventions. Reflecting on these experiences, Student Alpha noted, “I keep thinking I’ll mess up, and everyone will notice. It’s hard to stop that thought,” while Student Charlie admitted, “I didn’t like the song, so it was hard to focus.”</w:t>
      </w:r>
    </w:p>
    <w:p w:rsidR="00000000" w:rsidDel="00000000" w:rsidP="00000000" w:rsidRDefault="00000000" w:rsidRPr="00000000" w14:paraId="000000B8">
      <w:pPr>
        <w:spacing w:after="240" w:before="240" w:line="360" w:lineRule="auto"/>
        <w:rPr/>
      </w:pPr>
      <w:r w:rsidDel="00000000" w:rsidR="00000000" w:rsidRPr="00000000">
        <w:rPr>
          <w:rtl w:val="0"/>
        </w:rPr>
        <w:t xml:space="preserve">The persistence of these barriers highlights the need for extended practice of cognitive restructuring techniques to fully address deeply ingrained thought patterns. The alignment between these findings and Clark and Thompson’s (2020) research on cognitive distortions underscores the importance of combining cognitive and physical strategies to manage performance anxiety.</w:t>
      </w:r>
    </w:p>
    <w:p w:rsidR="00000000" w:rsidDel="00000000" w:rsidP="00000000" w:rsidRDefault="00000000" w:rsidRPr="00000000" w14:paraId="000000B9">
      <w:pPr>
        <w:pStyle w:val="Heading2"/>
        <w:keepNext w:val="0"/>
        <w:keepLines w:val="0"/>
        <w:spacing w:after="40" w:before="240" w:line="360" w:lineRule="auto"/>
        <w:rPr/>
      </w:pPr>
      <w:bookmarkStart w:colFirst="0" w:colLast="0" w:name="_q8ktz2oth4k4" w:id="44"/>
      <w:bookmarkEnd w:id="44"/>
      <w:r w:rsidDel="00000000" w:rsidR="00000000" w:rsidRPr="00000000">
        <w:rPr>
          <w:rtl w:val="0"/>
        </w:rPr>
        <w:t xml:space="preserve">Theme 3: Sensory Strategies and Focus</w:t>
      </w:r>
    </w:p>
    <w:p w:rsidR="00000000" w:rsidDel="00000000" w:rsidP="00000000" w:rsidRDefault="00000000" w:rsidRPr="00000000" w14:paraId="000000BA">
      <w:pPr>
        <w:spacing w:after="240" w:before="240" w:line="360" w:lineRule="auto"/>
        <w:rPr/>
      </w:pPr>
      <w:r w:rsidDel="00000000" w:rsidR="00000000" w:rsidRPr="00000000">
        <w:rPr>
          <w:rtl w:val="0"/>
        </w:rPr>
        <w:t xml:space="preserve">This theme examines the use of grounding techniques, such as the 5-4-3-2-1 method, to manage sensory sensitivities and improve focus during performance.The identified themes in Figure 4 also highlight the importance of sensory regulation strategies, which participants reported as critical for reducing distractions and improving their focus during performances. Grounding exercises were particularly effective for Student Bravo, who reported increased focus during live performances. Techniques like stomping feet and pressing palms together provided physical grounding, which helped participants manage pre-performance nerves. Student Bravo shared, “Focusing on my feet or the chair texture helped me ignore all the noise around me.”</w:t>
      </w:r>
    </w:p>
    <w:p w:rsidR="00000000" w:rsidDel="00000000" w:rsidP="00000000" w:rsidRDefault="00000000" w:rsidRPr="00000000" w14:paraId="000000BB">
      <w:pPr>
        <w:spacing w:after="240" w:before="240" w:line="360" w:lineRule="auto"/>
        <w:rPr/>
      </w:pPr>
      <w:r w:rsidDel="00000000" w:rsidR="00000000" w:rsidRPr="00000000">
        <w:rPr>
          <w:rtl w:val="0"/>
        </w:rPr>
        <w:t xml:space="preserve">These findings echo Goodall’s (2019) research on grounding techniques providing proprioceptive feedback and Brown’s (2021) emphasis on mindfulness enhancing focus in ADHD learners.</w:t>
      </w:r>
    </w:p>
    <w:p w:rsidR="00000000" w:rsidDel="00000000" w:rsidP="00000000" w:rsidRDefault="00000000" w:rsidRPr="00000000" w14:paraId="000000BC">
      <w:pPr>
        <w:pStyle w:val="Heading2"/>
        <w:keepNext w:val="0"/>
        <w:keepLines w:val="0"/>
        <w:spacing w:after="40" w:before="240" w:line="360" w:lineRule="auto"/>
        <w:rPr/>
      </w:pPr>
      <w:bookmarkStart w:colFirst="0" w:colLast="0" w:name="_tshcodvfh8jp" w:id="45"/>
      <w:bookmarkEnd w:id="45"/>
      <w:r w:rsidDel="00000000" w:rsidR="00000000" w:rsidRPr="00000000">
        <w:rPr>
          <w:rtl w:val="0"/>
        </w:rPr>
        <w:t xml:space="preserve">Theme 4: Engagement and Motivation</w:t>
      </w:r>
    </w:p>
    <w:p w:rsidR="00000000" w:rsidDel="00000000" w:rsidP="00000000" w:rsidRDefault="00000000" w:rsidRPr="00000000" w14:paraId="000000BD">
      <w:pPr>
        <w:spacing w:after="240" w:before="240" w:line="360" w:lineRule="auto"/>
        <w:rPr/>
      </w:pPr>
      <w:r w:rsidDel="00000000" w:rsidR="00000000" w:rsidRPr="00000000">
        <w:rPr>
          <w:rtl w:val="0"/>
        </w:rPr>
        <w:t xml:space="preserve">This theme explores the factors influencing students’ willingness and ability to engage with the interventions. Student Bravo demonstrated enthusiasm and an inflated sense of improvement, reflecting ADHD-related traits. Conversely, Student Charlie’s lack of engagement highlighted the importance of considering individual preferences and emotional motivation in intervention design. As Student Bravo enthusiastically remarked, “I think I’ve mastered it—I didn’t feel nervous at all this time!” In contrast, Student Charlie observed, “I just didn’t feel like the exercises would help me.”</w:t>
      </w:r>
    </w:p>
    <w:p w:rsidR="00000000" w:rsidDel="00000000" w:rsidP="00000000" w:rsidRDefault="00000000" w:rsidRPr="00000000" w14:paraId="000000BE">
      <w:pPr>
        <w:spacing w:after="240" w:before="240" w:line="360" w:lineRule="auto"/>
        <w:rPr/>
      </w:pPr>
      <w:r w:rsidDel="00000000" w:rsidR="00000000" w:rsidRPr="00000000">
        <w:rPr>
          <w:rtl w:val="0"/>
        </w:rPr>
        <w:t xml:space="preserve">These observations align with Moxness’s (2023) findings that ADHD students often need engaging, interactive interventions to maintain motivation and participation</w:t>
      </w:r>
    </w:p>
    <w:p w:rsidR="00000000" w:rsidDel="00000000" w:rsidP="00000000" w:rsidRDefault="00000000" w:rsidRPr="00000000" w14:paraId="000000BF">
      <w:pPr>
        <w:pStyle w:val="Heading2"/>
        <w:keepNext w:val="0"/>
        <w:keepLines w:val="0"/>
        <w:spacing w:after="40" w:before="240" w:line="360" w:lineRule="auto"/>
        <w:rPr/>
      </w:pPr>
      <w:bookmarkStart w:colFirst="0" w:colLast="0" w:name="_pwco7zwagzq4" w:id="46"/>
      <w:bookmarkEnd w:id="46"/>
      <w:r w:rsidDel="00000000" w:rsidR="00000000" w:rsidRPr="00000000">
        <w:rPr>
          <w:rtl w:val="0"/>
        </w:rPr>
        <w:t xml:space="preserve">Universal Design for Learning (UDL) Framework</w:t>
      </w:r>
    </w:p>
    <w:p w:rsidR="00000000" w:rsidDel="00000000" w:rsidP="00000000" w:rsidRDefault="00000000" w:rsidRPr="00000000" w14:paraId="000000C0">
      <w:pPr>
        <w:spacing w:after="240" w:before="240" w:line="360" w:lineRule="auto"/>
        <w:rPr/>
      </w:pPr>
      <w:r w:rsidDel="00000000" w:rsidR="00000000" w:rsidRPr="00000000">
        <w:rPr>
          <w:rtl w:val="0"/>
        </w:rPr>
        <w:t xml:space="preserve">The findings of this study align closely with the principles of Universal Design for Learning (UDL), which emphasise flexibility and inclusivity by providing multiple means of engagement, representation, and expression (Meyer et al., 2014). By situating the interventions within this framework, the study demonstrates how UDL principles can mitigate performance anxiety and foster confidence in neurodiverse learners.</w:t>
      </w:r>
    </w:p>
    <w:p w:rsidR="00000000" w:rsidDel="00000000" w:rsidP="00000000" w:rsidRDefault="00000000" w:rsidRPr="00000000" w14:paraId="000000C1">
      <w:pPr>
        <w:pStyle w:val="Heading2"/>
        <w:keepNext w:val="0"/>
        <w:keepLines w:val="0"/>
        <w:spacing w:after="40" w:before="240" w:line="360" w:lineRule="auto"/>
        <w:rPr/>
      </w:pPr>
      <w:bookmarkStart w:colFirst="0" w:colLast="0" w:name="_m1lpn2oo9x6t" w:id="47"/>
      <w:bookmarkEnd w:id="47"/>
      <w:r w:rsidDel="00000000" w:rsidR="00000000" w:rsidRPr="00000000">
        <w:rPr>
          <w:rtl w:val="0"/>
        </w:rPr>
        <w:t xml:space="preserve">Multiple Means of Engagement</w:t>
      </w:r>
    </w:p>
    <w:p w:rsidR="00000000" w:rsidDel="00000000" w:rsidP="00000000" w:rsidRDefault="00000000" w:rsidRPr="00000000" w14:paraId="000000C2">
      <w:pPr>
        <w:spacing w:after="240" w:before="240" w:line="360" w:lineRule="auto"/>
        <w:rPr/>
      </w:pPr>
      <w:r w:rsidDel="00000000" w:rsidR="00000000" w:rsidRPr="00000000">
        <w:rPr>
          <w:rtl w:val="0"/>
        </w:rPr>
        <w:t xml:space="preserve">To enhance student motivation and emotional connection, the study incorporated strategies such as grounding exercises, mindfulness practices, and participant choice in song selection. These align with UDL’s emphasis on engaging learners through methods that cater to their individual preferences and interests (Hallam, 2015). For example, Student Bravo’s enthusiasm for the 5-4-3-2-1 grounding technique demonstrates how sensory-focused approaches can reduce anxiety and improve focus. Conversely, Student Charlie’s disengagement highlights the importance of incorporating gamified or interactive elements to sustain motivation (Moxness, 2023). This is consistent with findings from Rosas-Pérez, Galbrun, and Stewart (2023), who emphasise the role of emotionally resonant strategies in creating inclusive learning environments.</w:t>
      </w:r>
    </w:p>
    <w:p w:rsidR="00000000" w:rsidDel="00000000" w:rsidP="00000000" w:rsidRDefault="00000000" w:rsidRPr="00000000" w14:paraId="000000C3">
      <w:pPr>
        <w:pStyle w:val="Heading2"/>
        <w:keepNext w:val="0"/>
        <w:keepLines w:val="0"/>
        <w:spacing w:after="40" w:before="240" w:line="360" w:lineRule="auto"/>
        <w:rPr/>
      </w:pPr>
      <w:bookmarkStart w:colFirst="0" w:colLast="0" w:name="_ai4y3q6y9s98" w:id="48"/>
      <w:bookmarkEnd w:id="48"/>
      <w:r w:rsidDel="00000000" w:rsidR="00000000" w:rsidRPr="00000000">
        <w:rPr>
          <w:rtl w:val="0"/>
        </w:rPr>
        <w:t xml:space="preserve">Multiple Means of Representation</w:t>
      </w:r>
    </w:p>
    <w:p w:rsidR="00000000" w:rsidDel="00000000" w:rsidP="00000000" w:rsidRDefault="00000000" w:rsidRPr="00000000" w14:paraId="000000C4">
      <w:pPr>
        <w:spacing w:after="240" w:before="240" w:line="360" w:lineRule="auto"/>
        <w:rPr/>
      </w:pPr>
      <w:r w:rsidDel="00000000" w:rsidR="00000000" w:rsidRPr="00000000">
        <w:rPr>
          <w:rtl w:val="0"/>
        </w:rPr>
        <w:t xml:space="preserve">The interventions utilised multisensory techniques to ensure accessibility for all participants. For instance, diaphragmatic breathing exercises were accompanied by visualisations, such as the “inflating balloon” exercise, which provided both verbal and visual cues. This approach aligns with research showing that neurodiverse learners often benefit from structured and multisensory engagement (Steiner, 2024). Similarly, grounding techniques like stomping feet provided proprioceptive feedback, which has been shown to improve focus in students with ADHD (Goodall, 2019; Brown, 2021). By presenting information through varied modalities, the study adhered to UDL’s principle of offering multiple means of representation (Meyer et al., 2014).</w:t>
      </w:r>
    </w:p>
    <w:p w:rsidR="00000000" w:rsidDel="00000000" w:rsidP="00000000" w:rsidRDefault="00000000" w:rsidRPr="00000000" w14:paraId="000000C5">
      <w:pPr>
        <w:pStyle w:val="Heading2"/>
        <w:keepNext w:val="0"/>
        <w:keepLines w:val="0"/>
        <w:spacing w:after="40" w:before="240" w:line="360" w:lineRule="auto"/>
        <w:rPr/>
      </w:pPr>
      <w:bookmarkStart w:colFirst="0" w:colLast="0" w:name="_f5c1jqnpddh4" w:id="49"/>
      <w:bookmarkEnd w:id="49"/>
      <w:r w:rsidDel="00000000" w:rsidR="00000000" w:rsidRPr="00000000">
        <w:rPr>
          <w:rtl w:val="0"/>
        </w:rPr>
        <w:t xml:space="preserve">Multiple Means of Action and Expression</w:t>
      </w:r>
    </w:p>
    <w:p w:rsidR="00000000" w:rsidDel="00000000" w:rsidP="00000000" w:rsidRDefault="00000000" w:rsidRPr="00000000" w14:paraId="000000C6">
      <w:pPr>
        <w:spacing w:after="240" w:before="240" w:line="360" w:lineRule="auto"/>
        <w:rPr/>
      </w:pPr>
      <w:r w:rsidDel="00000000" w:rsidR="00000000" w:rsidRPr="00000000">
        <w:rPr>
          <w:rtl w:val="0"/>
        </w:rPr>
        <w:t xml:space="preserve">Flexibility in assessment was another key feature of the interventions, reflecting UDL’s principle of allowing learners to demonstrate progress in ways that align with their strengths. Rather than relying solely on performance outcomes, the study included reflective discussions and qualitative feedback to capture participants’ nuanced experiences. For example, Student Alpha’s progress was evident in her ability to articulate how diaphragmatic breathing reduced her physical anxiety, even though cognitive distortions remained a challenge. This aligns with the findings of Faur et al., (2023), who advocate for flexible, process-oriented assessments to support neurodiverse learners.</w:t>
      </w:r>
    </w:p>
    <w:p w:rsidR="00000000" w:rsidDel="00000000" w:rsidP="00000000" w:rsidRDefault="00000000" w:rsidRPr="00000000" w14:paraId="000000C7">
      <w:pPr>
        <w:spacing w:after="240" w:before="240" w:line="360" w:lineRule="auto"/>
        <w:rPr/>
      </w:pPr>
      <w:r w:rsidDel="00000000" w:rsidR="00000000" w:rsidRPr="00000000">
        <w:rPr>
          <w:rtl w:val="0"/>
        </w:rPr>
        <w:t xml:space="preserve">By framing the study’s interventions within the UDL framework, it becomes clear how inclusive pedagogical practices can address the varied sensory, cognitive, and emotional needs of neurodiverse learners. These findings reinforce calls for the adoption of UDL principles in music education to create environments that are both accessible and supportive (Jellison, 2015; Vasquez, 2022).</w:t>
      </w:r>
    </w:p>
    <w:p w:rsidR="00000000" w:rsidDel="00000000" w:rsidP="00000000" w:rsidRDefault="00000000" w:rsidRPr="00000000" w14:paraId="000000C8">
      <w:pPr>
        <w:spacing w:after="240" w:before="240" w:line="360" w:lineRule="auto"/>
        <w:rPr/>
      </w:pPr>
      <w:r w:rsidDel="00000000" w:rsidR="00000000" w:rsidRPr="00000000">
        <w:rPr>
          <w:shd w:fill="efefef" w:val="clear"/>
        </w:rPr>
        <w:drawing>
          <wp:inline distB="114300" distT="114300" distL="114300" distR="114300">
            <wp:extent cx="5731200" cy="4279900"/>
            <wp:effectExtent b="0" l="0" r="0" t="0"/>
            <wp:docPr id="5" name="image22.png"/>
            <a:graphic>
              <a:graphicData uri="http://schemas.openxmlformats.org/drawingml/2006/picture">
                <pic:pic>
                  <pic:nvPicPr>
                    <pic:cNvPr id="0" name="image22.png"/>
                    <pic:cNvPicPr preferRelativeResize="0"/>
                  </pic:nvPicPr>
                  <pic:blipFill>
                    <a:blip r:embed="rId10"/>
                    <a:srcRect b="0" l="0" r="0" t="0"/>
                    <a:stretch>
                      <a:fillRect/>
                    </a:stretch>
                  </pic:blipFill>
                  <pic:spPr>
                    <a:xfrm>
                      <a:off x="0" y="0"/>
                      <a:ext cx="5731200" cy="4279900"/>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keepNext w:val="0"/>
        <w:keepLines w:val="0"/>
        <w:spacing w:after="40" w:before="240" w:line="360" w:lineRule="auto"/>
        <w:jc w:val="center"/>
        <w:rPr/>
      </w:pPr>
      <w:r w:rsidDel="00000000" w:rsidR="00000000" w:rsidRPr="00000000">
        <w:rPr>
          <w:rtl w:val="0"/>
        </w:rPr>
        <w:t xml:space="preserve">(Figure 5)</w:t>
      </w:r>
    </w:p>
    <w:p w:rsidR="00000000" w:rsidDel="00000000" w:rsidP="00000000" w:rsidRDefault="00000000" w:rsidRPr="00000000" w14:paraId="000000CA">
      <w:pPr>
        <w:pStyle w:val="Heading2"/>
        <w:keepNext w:val="0"/>
        <w:keepLines w:val="0"/>
        <w:spacing w:after="40" w:before="240" w:line="360" w:lineRule="auto"/>
        <w:rPr/>
      </w:pPr>
      <w:bookmarkStart w:colFirst="0" w:colLast="0" w:name="_s1qr0q8w6eek" w:id="50"/>
      <w:bookmarkEnd w:id="50"/>
      <w:r w:rsidDel="00000000" w:rsidR="00000000" w:rsidRPr="00000000">
        <w:rPr>
          <w:rtl w:val="0"/>
        </w:rPr>
        <w:t xml:space="preserve">Participant-Specific Outcomes: Impact of Interventions on Performance Anxiety</w:t>
      </w:r>
    </w:p>
    <w:p w:rsidR="00000000" w:rsidDel="00000000" w:rsidP="00000000" w:rsidRDefault="00000000" w:rsidRPr="00000000" w14:paraId="000000CB">
      <w:pPr>
        <w:spacing w:after="240" w:before="240" w:line="360" w:lineRule="auto"/>
        <w:rPr/>
      </w:pPr>
      <w:r w:rsidDel="00000000" w:rsidR="00000000" w:rsidRPr="00000000">
        <w:rPr>
          <w:rtl w:val="0"/>
        </w:rPr>
        <w:t xml:space="preserve">While the thematic analysis highlighted trends across all participants, a closer examination of individual outcomes reveals important nuances in how each student experienced the interventions.</w:t>
      </w:r>
    </w:p>
    <w:p w:rsidR="00000000" w:rsidDel="00000000" w:rsidP="00000000" w:rsidRDefault="00000000" w:rsidRPr="00000000" w14:paraId="000000CC">
      <w:pPr>
        <w:spacing w:after="240" w:before="240" w:line="360" w:lineRule="auto"/>
        <w:rPr/>
      </w:pPr>
      <w:r w:rsidDel="00000000" w:rsidR="00000000" w:rsidRPr="00000000">
        <w:rPr>
          <w:b w:val="1"/>
          <w:rtl w:val="0"/>
        </w:rPr>
        <w:t xml:space="preserve">Student Alpha (Autism and Severe Anxiety):</w:t>
      </w:r>
      <w:r w:rsidDel="00000000" w:rsidR="00000000" w:rsidRPr="00000000">
        <w:rPr>
          <w:rtl w:val="0"/>
        </w:rPr>
        <w:t xml:space="preserve"> Student Alpha, diagnosed with autism and severe anxiety, exhibited a 9-point improvement in her PAI score. She reported reductions in physical symptoms such as shaking hands and muscle tension during performances, which had previously hindered her ability to engage fully. However, her self-reported anxiety levels remained high, particularly in relation to self-criticism and fear of making mistakes. This aligns with Clark and Thompson’s (2020) findings that neurodivergent individuals often experience heightened cognitive anxiety, which can exacerbate difficulties in emotional regulation. While diaphragmatic breathing effectively addressed her physical symptoms, her persistent cognitive distortions suggest the need for more targeted interventions, such as cognitive restructuring or Socratic questioning (Steiner, 2024). This dual challenge of physical and cognitive anxiety highlights the importance of a multifaceted approach.</w:t>
      </w:r>
    </w:p>
    <w:p w:rsidR="00000000" w:rsidDel="00000000" w:rsidP="00000000" w:rsidRDefault="00000000" w:rsidRPr="00000000" w14:paraId="000000CD">
      <w:pPr>
        <w:spacing w:after="240" w:before="240" w:line="360" w:lineRule="auto"/>
        <w:rPr/>
      </w:pPr>
      <w:r w:rsidDel="00000000" w:rsidR="00000000" w:rsidRPr="00000000">
        <w:rPr>
          <w:b w:val="1"/>
          <w:rtl w:val="0"/>
        </w:rPr>
        <w:t xml:space="preserve">Student Bravo (Autism and ADHD):</w:t>
      </w:r>
      <w:r w:rsidDel="00000000" w:rsidR="00000000" w:rsidRPr="00000000">
        <w:rPr>
          <w:rtl w:val="0"/>
        </w:rPr>
        <w:t xml:space="preserve"> Student Bravo showed the most significant improvement, with a 14-point reduction in his PAI score. Grounding exercises and breathing techniques were particularly effective in helping him manage distractibility and hyperactivity, allowing for greater focus during performances. His growing confidence aligns with Brown’s (2021) findings on the role of mindfulness in improving performance self-regulation. However, his self-assessment appeared somewhat inflated, a common ADHD trait linked to challenges in self-reflection and regulation (Steiner, 2024). His use of humour as a coping mechanism further illustrates the unique ways neurodivergent students may manage anxiety.</w:t>
      </w:r>
    </w:p>
    <w:p w:rsidR="00000000" w:rsidDel="00000000" w:rsidP="00000000" w:rsidRDefault="00000000" w:rsidRPr="00000000" w14:paraId="000000CE">
      <w:pPr>
        <w:spacing w:after="240" w:before="240" w:line="360" w:lineRule="auto"/>
        <w:rPr/>
      </w:pPr>
      <w:r w:rsidDel="00000000" w:rsidR="00000000" w:rsidRPr="00000000">
        <w:rPr>
          <w:b w:val="1"/>
          <w:rtl w:val="0"/>
        </w:rPr>
        <w:t xml:space="preserve">Student Charlie (ADHD):</w:t>
      </w:r>
      <w:r w:rsidDel="00000000" w:rsidR="00000000" w:rsidRPr="00000000">
        <w:rPr>
          <w:rtl w:val="0"/>
        </w:rPr>
        <w:t xml:space="preserve"> Student Charlie’s progress was the least pronounced, with only a 2-point improvement in her PAI score. While diaphragmatic breathing techniques alleviated some physical symptoms, her emotional dysregulation and dissatisfaction with song choices hindered her engagement. This aligns with Steiner’s (2024) findings that ADHD often leads to difficulties with emotional regulation, impacting the effectiveness of interventions. Her experience underscores the importance of designing strategies that account for emotional motivation and individual preferences.</w:t>
      </w:r>
    </w:p>
    <w:p w:rsidR="00000000" w:rsidDel="00000000" w:rsidP="00000000" w:rsidRDefault="00000000" w:rsidRPr="00000000" w14:paraId="000000CF">
      <w:pPr>
        <w:pStyle w:val="Heading2"/>
        <w:keepNext w:val="0"/>
        <w:keepLines w:val="0"/>
        <w:spacing w:after="40" w:before="240" w:line="360" w:lineRule="auto"/>
        <w:rPr/>
      </w:pPr>
      <w:bookmarkStart w:colFirst="0" w:colLast="0" w:name="_7s6f46b3xu0e" w:id="51"/>
      <w:bookmarkEnd w:id="51"/>
      <w:r w:rsidDel="00000000" w:rsidR="00000000" w:rsidRPr="00000000">
        <w:rPr>
          <w:rtl w:val="0"/>
        </w:rPr>
        <w:t xml:space="preserve">Application in Performance Context</w:t>
      </w:r>
    </w:p>
    <w:p w:rsidR="00000000" w:rsidDel="00000000" w:rsidP="00000000" w:rsidRDefault="00000000" w:rsidRPr="00000000" w14:paraId="000000D0">
      <w:pPr>
        <w:spacing w:after="240" w:before="240" w:line="360" w:lineRule="auto"/>
        <w:rPr/>
      </w:pPr>
      <w:r w:rsidDel="00000000" w:rsidR="00000000" w:rsidRPr="00000000">
        <w:rPr>
          <w:rtl w:val="0"/>
        </w:rPr>
        <w:t xml:space="preserve">The timing of the intervention period coinciding with the students' end-of-year gig at Hanger Farm provided a unique opportunity to observe how the coping strategies were applied in a real-world performance setting.This live performance context added ecological validity to the findings, offering insights into how the strategies translated from practice sessions to actual performances. For instance, Student Bravo effectively used grounding techniques to stay focused on his performance despite environmental distractions, demonstrating the practicality of these interventions in high-stakes scenarios (Brown, 2021; Smith &amp; Johnson, 2020). Brown (2021) highlights the importance of live performance contexts in evaluating the practical efficacy of anxiety-reducing techniques, and the findings from this study reflect this perspective.</w:t>
      </w:r>
    </w:p>
    <w:p w:rsidR="00000000" w:rsidDel="00000000" w:rsidP="00000000" w:rsidRDefault="00000000" w:rsidRPr="00000000" w14:paraId="000000D1">
      <w:pPr>
        <w:spacing w:after="240" w:before="240" w:line="360" w:lineRule="auto"/>
        <w:rPr/>
      </w:pPr>
      <w:r w:rsidDel="00000000" w:rsidR="00000000" w:rsidRPr="00000000">
        <w:rPr>
          <w:b w:val="1"/>
          <w:rtl w:val="0"/>
        </w:rPr>
        <w:t xml:space="preserve">Student Alpha’s Performance:</w:t>
      </w:r>
      <w:r w:rsidDel="00000000" w:rsidR="00000000" w:rsidRPr="00000000">
        <w:rPr>
          <w:rtl w:val="0"/>
        </w:rPr>
        <w:t xml:space="preserve"> Student Alpha reported feeling less physically overwhelmed during the gig, which she attributed to the breathing techniques. However, her anxiety continued to interfere with her ability to fully focus on the music. This aligns with Clark and Thompson’s (2020) research suggesting that physical anxiety may decrease while cognitive distortions persist, highlighting the need for interventions that address both dimensions.</w:t>
      </w:r>
    </w:p>
    <w:p w:rsidR="00000000" w:rsidDel="00000000" w:rsidP="00000000" w:rsidRDefault="00000000" w:rsidRPr="00000000" w14:paraId="000000D2">
      <w:pPr>
        <w:spacing w:after="240" w:before="240" w:line="360" w:lineRule="auto"/>
        <w:rPr/>
      </w:pPr>
      <w:r w:rsidDel="00000000" w:rsidR="00000000" w:rsidRPr="00000000">
        <w:rPr>
          <w:b w:val="1"/>
          <w:rtl w:val="0"/>
        </w:rPr>
        <w:t xml:space="preserve">Student Bravo’s Performance:</w:t>
      </w:r>
      <w:r w:rsidDel="00000000" w:rsidR="00000000" w:rsidRPr="00000000">
        <w:rPr>
          <w:rtl w:val="0"/>
        </w:rPr>
        <w:t xml:space="preserve"> Student Bravo exhibited noticeable improvement, using grounding techniques and diaphragmatic breathing to stay focused on the music rather than environmental distractions. His ability to maintain focus and regulate anxiety in a live setting reflects Brown’s (2021) findings on mindfulness and grounding techniques.Although there was a noticeable improvement, there was still evidence of anxiety through the humour he used on stage as a coping mechanism.</w:t>
      </w:r>
    </w:p>
    <w:p w:rsidR="00000000" w:rsidDel="00000000" w:rsidP="00000000" w:rsidRDefault="00000000" w:rsidRPr="00000000" w14:paraId="000000D3">
      <w:pPr>
        <w:spacing w:after="240" w:before="240" w:line="360" w:lineRule="auto"/>
        <w:rPr/>
      </w:pPr>
      <w:r w:rsidDel="00000000" w:rsidR="00000000" w:rsidRPr="00000000">
        <w:rPr>
          <w:b w:val="1"/>
          <w:rtl w:val="0"/>
        </w:rPr>
        <w:t xml:space="preserve">Student Charlie’s Performance:</w:t>
      </w:r>
      <w:r w:rsidDel="00000000" w:rsidR="00000000" w:rsidRPr="00000000">
        <w:rPr>
          <w:rtl w:val="0"/>
        </w:rPr>
        <w:t xml:space="preserve"> Despite reporting less physical discomfort, Student Charlie struggled to engage fully with the performance due to emotional disengagement and dissatisfaction with the song choices. This highlights the need for interventions that prioritise emotional engagement, particularly for ADHD students who may face challenges with motivation (Barkley, 1990).</w:t>
      </w:r>
      <w:r w:rsidDel="00000000" w:rsidR="00000000" w:rsidRPr="00000000">
        <w:rPr>
          <w:rtl w:val="0"/>
        </w:rPr>
      </w:r>
    </w:p>
    <w:p w:rsidR="00000000" w:rsidDel="00000000" w:rsidP="00000000" w:rsidRDefault="00000000" w:rsidRPr="00000000" w14:paraId="000000D4">
      <w:pPr>
        <w:pStyle w:val="Heading1"/>
        <w:keepNext w:val="0"/>
        <w:keepLines w:val="0"/>
        <w:spacing w:before="280" w:line="360" w:lineRule="auto"/>
        <w:rPr/>
      </w:pPr>
      <w:bookmarkStart w:colFirst="0" w:colLast="0" w:name="_hnujoa9ua1mj" w:id="52"/>
      <w:bookmarkEnd w:id="52"/>
      <w:r w:rsidDel="00000000" w:rsidR="00000000" w:rsidRPr="00000000">
        <w:rPr>
          <w:rtl w:val="0"/>
        </w:rPr>
        <w:t xml:space="preserve">Limitations and Recommendations for Future Research</w:t>
      </w:r>
    </w:p>
    <w:p w:rsidR="00000000" w:rsidDel="00000000" w:rsidP="00000000" w:rsidRDefault="00000000" w:rsidRPr="00000000" w14:paraId="000000D5">
      <w:pPr>
        <w:spacing w:after="240" w:before="240" w:line="360" w:lineRule="auto"/>
        <w:rPr/>
      </w:pPr>
      <w:r w:rsidDel="00000000" w:rsidR="00000000" w:rsidRPr="00000000">
        <w:rPr>
          <w:rtl w:val="0"/>
        </w:rPr>
        <w:t xml:space="preserve">This study faced several limitations that influenced the depth and breadth of its findings. Reflecting on these constraints has provided valuable insights into how future research could be improved to better assess the effectiveness of tailored coping strategies for neurodiverse students.</w:t>
      </w:r>
    </w:p>
    <w:p w:rsidR="00000000" w:rsidDel="00000000" w:rsidP="00000000" w:rsidRDefault="00000000" w:rsidRPr="00000000" w14:paraId="000000D6">
      <w:pPr>
        <w:pStyle w:val="Heading2"/>
        <w:keepNext w:val="0"/>
        <w:keepLines w:val="0"/>
        <w:spacing w:after="40" w:before="240" w:line="360" w:lineRule="auto"/>
        <w:rPr/>
      </w:pPr>
      <w:bookmarkStart w:colFirst="0" w:colLast="0" w:name="_5xqs9z9j6ow2" w:id="53"/>
      <w:bookmarkEnd w:id="53"/>
      <w:r w:rsidDel="00000000" w:rsidR="00000000" w:rsidRPr="00000000">
        <w:rPr>
          <w:rtl w:val="0"/>
        </w:rPr>
        <w:t xml:space="preserve">Limitations</w:t>
      </w:r>
    </w:p>
    <w:p w:rsidR="00000000" w:rsidDel="00000000" w:rsidP="00000000" w:rsidRDefault="00000000" w:rsidRPr="00000000" w14:paraId="000000D7">
      <w:pPr>
        <w:spacing w:after="240" w:before="240" w:line="360" w:lineRule="auto"/>
        <w:rPr/>
      </w:pPr>
      <w:r w:rsidDel="00000000" w:rsidR="00000000" w:rsidRPr="00000000">
        <w:rPr>
          <w:rtl w:val="0"/>
        </w:rPr>
        <w:t xml:space="preserve">One of the most significant limitations was the reduced intervention period. Initially planned as a 6-week programme, the study was condensed to just three weeks due to recruitment delays. This shortened time frame limited participants’ ability to fully internalise and practise the coping strategies, making it difficult to evaluate the long-term sustainability of these interventions.Participants struggled to master techniques in the short timeframe, emphasising the need for consistent practice to achieve lasting effects (Clark &amp; Thompson, 2020). Future research should aim for a longer intervention period to provide sufficient time for skill development and reinforcement. For example, extending the intervention to six weeks would allow participants to engage in iterative feedback cycles, reinforcing the techniques’ effectiveness (Kenny, 2011; Steiner, 2024).</w:t>
      </w:r>
    </w:p>
    <w:p w:rsidR="00000000" w:rsidDel="00000000" w:rsidP="00000000" w:rsidRDefault="00000000" w:rsidRPr="00000000" w14:paraId="000000D8">
      <w:pPr>
        <w:spacing w:after="240" w:before="240" w:line="360" w:lineRule="auto"/>
        <w:rPr/>
      </w:pPr>
      <w:r w:rsidDel="00000000" w:rsidR="00000000" w:rsidRPr="00000000">
        <w:rPr>
          <w:rtl w:val="0"/>
        </w:rPr>
        <w:t xml:space="preserve">A small sample of three participants limited generalisability, highlighting the need for targeted strategies to engage more participants in neurodiverse research (Mercer, 2007) While the small sample size allowed for in-depth qualitative exploration, a larger, more diverse cohort would enable researchers to identify broader trends and better understand how neurodivergent traits like autism and ADHD influence intervention outcomes. Expanding sample sizes, as suggested by Rosas-Pérez et al. (2023), is critical for capturing the diversity of sensory and cognitive needs within neurodiverse populations.</w:t>
      </w:r>
    </w:p>
    <w:p w:rsidR="00000000" w:rsidDel="00000000" w:rsidP="00000000" w:rsidRDefault="00000000" w:rsidRPr="00000000" w14:paraId="000000D9">
      <w:pPr>
        <w:spacing w:after="240" w:before="240" w:line="360" w:lineRule="auto"/>
        <w:rPr/>
      </w:pPr>
      <w:r w:rsidDel="00000000" w:rsidR="00000000" w:rsidRPr="00000000">
        <w:rPr>
          <w:rtl w:val="0"/>
        </w:rPr>
        <w:t xml:space="preserve">Engagement and motivation emerged as another limitation, particularly for Student Charlie, whose lack of interest in the material and her college course hindered her progress. This highlights the importance of tailoring interventions to individual preferences and providing engaging, interactive learning experiences, as noted by Moxness (2023). Future studies should explore ways to personalise materials and create incentives to enhance student participation.</w:t>
      </w:r>
    </w:p>
    <w:p w:rsidR="00000000" w:rsidDel="00000000" w:rsidP="00000000" w:rsidRDefault="00000000" w:rsidRPr="00000000" w14:paraId="000000DA">
      <w:pPr>
        <w:spacing w:after="240" w:before="240" w:line="360" w:lineRule="auto"/>
        <w:rPr/>
      </w:pPr>
      <w:r w:rsidDel="00000000" w:rsidR="00000000" w:rsidRPr="00000000">
        <w:rPr>
          <w:rtl w:val="0"/>
        </w:rPr>
        <w:t xml:space="preserve">Another notable limitation is the potential influence of social desirability bias,a phenomenon where participants provide responses they believe will be viewed favourably by the researcher or align with perceived expectations (Grimm, 2010). Given the close relationship between the researcher and participants, as their music teacher, it is possible that the students’ self-reported experiences were influenced by a desire to please the researcher or reflect what they believed were “correct” or “desirable” outcomes of the interventions.</w:t>
      </w:r>
    </w:p>
    <w:p w:rsidR="00000000" w:rsidDel="00000000" w:rsidP="00000000" w:rsidRDefault="00000000" w:rsidRPr="00000000" w14:paraId="000000DB">
      <w:pPr>
        <w:spacing w:after="240" w:before="240" w:line="360" w:lineRule="auto"/>
        <w:rPr>
          <w:b w:val="1"/>
          <w:color w:val="000000"/>
          <w:sz w:val="22"/>
          <w:szCs w:val="22"/>
        </w:rPr>
      </w:pPr>
      <w:r w:rsidDel="00000000" w:rsidR="00000000" w:rsidRPr="00000000">
        <w:rPr>
          <w:rtl w:val="0"/>
        </w:rPr>
        <w:t xml:space="preserve">This bias may have led to inflated reports of improvement or masked ongoing challenges, particularly in the qualitative data gathered during discussions. For example, Student Bravo’s enthusiasm and reported improvements might partially reflect his perception of the researcher’s expectations, rather than an entirely accurate reflection of his experience. Similarly, Student Charlie’s disengagement could have been downplayed to avoid disappointing the researcher.</w:t>
      </w:r>
      <w:r w:rsidDel="00000000" w:rsidR="00000000" w:rsidRPr="00000000">
        <w:rPr>
          <w:rtl w:val="0"/>
        </w:rPr>
      </w:r>
    </w:p>
    <w:p w:rsidR="00000000" w:rsidDel="00000000" w:rsidP="00000000" w:rsidRDefault="00000000" w:rsidRPr="00000000" w14:paraId="000000DC">
      <w:pPr>
        <w:pStyle w:val="Heading2"/>
        <w:keepNext w:val="0"/>
        <w:keepLines w:val="0"/>
        <w:spacing w:before="280" w:line="360" w:lineRule="auto"/>
        <w:rPr/>
      </w:pPr>
      <w:bookmarkStart w:colFirst="0" w:colLast="0" w:name="_j1cuix67wlo1" w:id="54"/>
      <w:bookmarkEnd w:id="54"/>
      <w:r w:rsidDel="00000000" w:rsidR="00000000" w:rsidRPr="00000000">
        <w:rPr>
          <w:rtl w:val="0"/>
        </w:rPr>
        <w:t xml:space="preserve">Recommendations for Future Research</w:t>
      </w:r>
    </w:p>
    <w:p w:rsidR="00000000" w:rsidDel="00000000" w:rsidP="00000000" w:rsidRDefault="00000000" w:rsidRPr="00000000" w14:paraId="000000DD">
      <w:pPr>
        <w:spacing w:after="240" w:before="240" w:line="360" w:lineRule="auto"/>
        <w:rPr/>
      </w:pPr>
      <w:r w:rsidDel="00000000" w:rsidR="00000000" w:rsidRPr="00000000">
        <w:rPr>
          <w:rtl w:val="0"/>
        </w:rPr>
        <w:t xml:space="preserve">To address the limitations identified in this study, several strategies are recommended for future research to enhance the robustness and applicability of findings on tailored coping strategies for neurodiverse students.</w:t>
      </w:r>
    </w:p>
    <w:p w:rsidR="00000000" w:rsidDel="00000000" w:rsidP="00000000" w:rsidRDefault="00000000" w:rsidRPr="00000000" w14:paraId="000000DE">
      <w:pPr>
        <w:pStyle w:val="Heading3"/>
        <w:keepNext w:val="0"/>
        <w:keepLines w:val="0"/>
        <w:spacing w:after="40" w:before="240" w:line="360" w:lineRule="auto"/>
        <w:rPr/>
      </w:pPr>
      <w:bookmarkStart w:colFirst="0" w:colLast="0" w:name="_pe3xrb91jhqt" w:id="55"/>
      <w:bookmarkEnd w:id="55"/>
      <w:r w:rsidDel="00000000" w:rsidR="00000000" w:rsidRPr="00000000">
        <w:rPr>
          <w:rtl w:val="0"/>
        </w:rPr>
        <w:t xml:space="preserve">Extend the Intervention Period</w:t>
      </w:r>
    </w:p>
    <w:p w:rsidR="00000000" w:rsidDel="00000000" w:rsidP="00000000" w:rsidRDefault="00000000" w:rsidRPr="00000000" w14:paraId="000000DF">
      <w:pPr>
        <w:spacing w:after="240" w:before="240" w:line="360" w:lineRule="auto"/>
        <w:rPr/>
      </w:pPr>
      <w:r w:rsidDel="00000000" w:rsidR="00000000" w:rsidRPr="00000000">
        <w:rPr>
          <w:rtl w:val="0"/>
        </w:rPr>
        <w:t xml:space="preserve">The condensed three-week intervention limited participants’ ability to fully internalise and practise the coping strategies, thereby restricting the evaluation of long-term impacts. Future studies should extend the intervention duration to at least six weeks or more. This extended period would provide participants with adequate time to master the techniques, reinforce skills through repetition, and allow researchers to collect more comprehensive data. Longer interventions would also enable iterative feedback and refinement, ensuring the techniques remain adaptable and effective (Brown, 2021).</w:t>
      </w:r>
    </w:p>
    <w:p w:rsidR="00000000" w:rsidDel="00000000" w:rsidP="00000000" w:rsidRDefault="00000000" w:rsidRPr="00000000" w14:paraId="000000E0">
      <w:pPr>
        <w:pStyle w:val="Heading3"/>
        <w:keepNext w:val="0"/>
        <w:keepLines w:val="0"/>
        <w:spacing w:after="40" w:before="240" w:line="360" w:lineRule="auto"/>
        <w:rPr/>
      </w:pPr>
      <w:bookmarkStart w:colFirst="0" w:colLast="0" w:name="_e89545yy1nkc" w:id="56"/>
      <w:bookmarkEnd w:id="56"/>
      <w:r w:rsidDel="00000000" w:rsidR="00000000" w:rsidRPr="00000000">
        <w:rPr>
          <w:rtl w:val="0"/>
        </w:rPr>
        <w:t xml:space="preserve">Increase Sample Size and Diversity</w:t>
      </w:r>
    </w:p>
    <w:p w:rsidR="00000000" w:rsidDel="00000000" w:rsidP="00000000" w:rsidRDefault="00000000" w:rsidRPr="00000000" w14:paraId="000000E1">
      <w:pPr>
        <w:spacing w:after="240" w:before="240" w:line="360" w:lineRule="auto"/>
        <w:rPr/>
      </w:pPr>
      <w:r w:rsidDel="00000000" w:rsidR="00000000" w:rsidRPr="00000000">
        <w:rPr>
          <w:rtl w:val="0"/>
        </w:rPr>
        <w:t xml:space="preserve">The small sample size of three participants restricted the generalisability of findings. To overcome this limitation, researchers should employ targeted recruitment strategies to attract a larger and more diverse participant group. Collaborating with schools, community organisations, and online platforms that support neurodiverse populations could broaden the reach of future studies. A larger cohort would enhance the generalisability of findings and offer richer insights into how neurodivergent traits, such as autism and ADHD, influence intervention outcomes (Rosás-Pérez et al., 2023).</w:t>
      </w:r>
    </w:p>
    <w:p w:rsidR="00000000" w:rsidDel="00000000" w:rsidP="00000000" w:rsidRDefault="00000000" w:rsidRPr="00000000" w14:paraId="000000E2">
      <w:pPr>
        <w:pStyle w:val="Heading3"/>
        <w:keepNext w:val="0"/>
        <w:keepLines w:val="0"/>
        <w:spacing w:after="40" w:before="240" w:line="360" w:lineRule="auto"/>
        <w:rPr/>
      </w:pPr>
      <w:bookmarkStart w:colFirst="0" w:colLast="0" w:name="_y351b1t2vs7j" w:id="57"/>
      <w:bookmarkEnd w:id="57"/>
      <w:r w:rsidDel="00000000" w:rsidR="00000000" w:rsidRPr="00000000">
        <w:rPr>
          <w:rtl w:val="0"/>
        </w:rPr>
        <w:t xml:space="preserve">Tailor Interventions to Increase Engagement</w:t>
      </w:r>
    </w:p>
    <w:p w:rsidR="00000000" w:rsidDel="00000000" w:rsidP="00000000" w:rsidRDefault="00000000" w:rsidRPr="00000000" w14:paraId="000000E3">
      <w:pPr>
        <w:spacing w:after="240" w:before="240" w:line="360" w:lineRule="auto"/>
        <w:rPr/>
      </w:pPr>
      <w:r w:rsidDel="00000000" w:rsidR="00000000" w:rsidRPr="00000000">
        <w:rPr>
          <w:rtl w:val="0"/>
        </w:rPr>
        <w:t xml:space="preserve">Engagement and motivation were identified as challenges, particularly for participants who found some aspects of the intervention misaligned with their preferences. To address this, future interventions should be tailored to better match participants’ interests and needs. Future studies should personalise materials, such as song choices, to improve student engagement and participation. Gamified elements, interactive tools, or reward-based systems may also enhance engagement, especially for individuals with ADHD who benefit from stimulating and dynamic activities (Moxness, 2023).</w:t>
      </w:r>
    </w:p>
    <w:p w:rsidR="00000000" w:rsidDel="00000000" w:rsidP="00000000" w:rsidRDefault="00000000" w:rsidRPr="00000000" w14:paraId="000000E4">
      <w:pPr>
        <w:pStyle w:val="Heading3"/>
        <w:keepNext w:val="0"/>
        <w:keepLines w:val="0"/>
        <w:spacing w:after="40" w:before="240" w:line="360" w:lineRule="auto"/>
        <w:rPr/>
      </w:pPr>
      <w:bookmarkStart w:colFirst="0" w:colLast="0" w:name="_lqa6tpsykl3h" w:id="58"/>
      <w:bookmarkEnd w:id="58"/>
      <w:r w:rsidDel="00000000" w:rsidR="00000000" w:rsidRPr="00000000">
        <w:rPr>
          <w:rtl w:val="0"/>
        </w:rPr>
        <w:t xml:space="preserve">Mitigate Social Desirability Bias</w:t>
      </w:r>
    </w:p>
    <w:p w:rsidR="00000000" w:rsidDel="00000000" w:rsidP="00000000" w:rsidRDefault="00000000" w:rsidRPr="00000000" w14:paraId="000000E5">
      <w:pPr>
        <w:spacing w:after="240" w:before="240" w:line="360" w:lineRule="auto"/>
        <w:rPr/>
      </w:pPr>
      <w:r w:rsidDel="00000000" w:rsidR="00000000" w:rsidRPr="00000000">
        <w:rPr>
          <w:rtl w:val="0"/>
        </w:rPr>
        <w:t xml:space="preserve">Social desirability bias may have influenced participants to report favourable outcomes to meet perceived expectations. To reduce this bias, future research should:</w:t>
      </w:r>
    </w:p>
    <w:p w:rsidR="00000000" w:rsidDel="00000000" w:rsidP="00000000" w:rsidRDefault="00000000" w:rsidRPr="00000000" w14:paraId="000000E6">
      <w:pPr>
        <w:numPr>
          <w:ilvl w:val="0"/>
          <w:numId w:val="1"/>
        </w:numPr>
        <w:spacing w:after="0" w:afterAutospacing="0" w:before="240" w:line="360" w:lineRule="auto"/>
        <w:ind w:left="720" w:hanging="360"/>
      </w:pPr>
      <w:r w:rsidDel="00000000" w:rsidR="00000000" w:rsidRPr="00000000">
        <w:rPr>
          <w:rtl w:val="0"/>
        </w:rPr>
        <w:t xml:space="preserve">Engage independent researchers to collect and analyse qualitative data, minimising the influence of pre-existing relationships (Podsakoff et al., 2003).</w:t>
      </w:r>
    </w:p>
    <w:p w:rsidR="00000000" w:rsidDel="00000000" w:rsidP="00000000" w:rsidRDefault="00000000" w:rsidRPr="00000000" w14:paraId="000000E7">
      <w:pPr>
        <w:numPr>
          <w:ilvl w:val="0"/>
          <w:numId w:val="1"/>
        </w:numPr>
        <w:spacing w:after="0" w:afterAutospacing="0" w:before="0" w:beforeAutospacing="0" w:line="360" w:lineRule="auto"/>
        <w:ind w:left="720" w:hanging="360"/>
      </w:pPr>
      <w:r w:rsidDel="00000000" w:rsidR="00000000" w:rsidRPr="00000000">
        <w:rPr>
          <w:rtl w:val="0"/>
        </w:rPr>
        <w:t xml:space="preserve">Use anonymous data collection methods, such as written surveys or digital tools, to encourage more honest responses (Nederhof, 1985).</w:t>
      </w:r>
    </w:p>
    <w:p w:rsidR="00000000" w:rsidDel="00000000" w:rsidP="00000000" w:rsidRDefault="00000000" w:rsidRPr="00000000" w14:paraId="000000E8">
      <w:pPr>
        <w:numPr>
          <w:ilvl w:val="0"/>
          <w:numId w:val="1"/>
        </w:numPr>
        <w:spacing w:after="0" w:afterAutospacing="0" w:before="0" w:beforeAutospacing="0" w:line="360" w:lineRule="auto"/>
        <w:ind w:left="720" w:hanging="360"/>
      </w:pPr>
      <w:r w:rsidDel="00000000" w:rsidR="00000000" w:rsidRPr="00000000">
        <w:rPr>
          <w:rtl w:val="0"/>
        </w:rPr>
        <w:t xml:space="preserve">Triangulate data sources by combining self-reports with objective performance assessments, peer observations, or video analysis.</w:t>
      </w:r>
    </w:p>
    <w:p w:rsidR="00000000" w:rsidDel="00000000" w:rsidP="00000000" w:rsidRDefault="00000000" w:rsidRPr="00000000" w14:paraId="000000E9">
      <w:pPr>
        <w:numPr>
          <w:ilvl w:val="0"/>
          <w:numId w:val="1"/>
        </w:numPr>
        <w:spacing w:after="240" w:before="0" w:beforeAutospacing="0" w:line="360" w:lineRule="auto"/>
        <w:ind w:left="720" w:hanging="360"/>
      </w:pPr>
      <w:r w:rsidDel="00000000" w:rsidR="00000000" w:rsidRPr="00000000">
        <w:rPr>
          <w:rtl w:val="0"/>
        </w:rPr>
        <w:t xml:space="preserve">Include a standardised social desirability scale, such as the Marlowe-Crowne Social Desirability Scale, to identify and account for response biases (Crowne &amp; Marlowe, 1960).</w:t>
      </w:r>
    </w:p>
    <w:p w:rsidR="00000000" w:rsidDel="00000000" w:rsidP="00000000" w:rsidRDefault="00000000" w:rsidRPr="00000000" w14:paraId="000000EA">
      <w:pPr>
        <w:pStyle w:val="Heading3"/>
        <w:keepNext w:val="0"/>
        <w:keepLines w:val="0"/>
        <w:spacing w:after="40" w:before="240" w:line="360" w:lineRule="auto"/>
        <w:rPr/>
      </w:pPr>
      <w:bookmarkStart w:colFirst="0" w:colLast="0" w:name="_a049eusl0std" w:id="59"/>
      <w:bookmarkEnd w:id="59"/>
      <w:r w:rsidDel="00000000" w:rsidR="00000000" w:rsidRPr="00000000">
        <w:rPr>
          <w:rtl w:val="0"/>
        </w:rPr>
        <w:t xml:space="preserve">Implement Objective Performance Metrics</w:t>
      </w:r>
    </w:p>
    <w:p w:rsidR="00000000" w:rsidDel="00000000" w:rsidP="00000000" w:rsidRDefault="00000000" w:rsidRPr="00000000" w14:paraId="000000EB">
      <w:pPr>
        <w:spacing w:after="240" w:before="240" w:line="360" w:lineRule="auto"/>
        <w:rPr/>
      </w:pPr>
      <w:r w:rsidDel="00000000" w:rsidR="00000000" w:rsidRPr="00000000">
        <w:rPr>
          <w:rtl w:val="0"/>
        </w:rPr>
        <w:t xml:space="preserve">Future studies should incorporate a performance grading matrix to quantitatively assess specific vocal abilities, such as breath control, pitch accuracy, timbre, dynamics, and overall musicality. While this study designed such a matrix, it was not implemented due to time constraints. Using objective measures alongside self-reports would strengthen the validity of findings and align with Taylor’s (2018) recommendation for more rigorous evaluation methods. For instance, grounding techniques could be assessed for their impact on breath control, while mindfulness practices could be evaluated for their influence on vocal dynamics and timbre (Faur et al., 2023).</w:t>
      </w:r>
    </w:p>
    <w:p w:rsidR="00000000" w:rsidDel="00000000" w:rsidP="00000000" w:rsidRDefault="00000000" w:rsidRPr="00000000" w14:paraId="000000EC">
      <w:pPr>
        <w:pStyle w:val="Heading3"/>
        <w:keepNext w:val="0"/>
        <w:keepLines w:val="0"/>
        <w:spacing w:after="40" w:before="240" w:line="360" w:lineRule="auto"/>
        <w:rPr/>
      </w:pPr>
      <w:bookmarkStart w:colFirst="0" w:colLast="0" w:name="_ojdjer44omcw" w:id="60"/>
      <w:bookmarkEnd w:id="60"/>
      <w:r w:rsidDel="00000000" w:rsidR="00000000" w:rsidRPr="00000000">
        <w:rPr>
          <w:rtl w:val="0"/>
        </w:rPr>
        <w:t xml:space="preserve">Conduct Follow-Up Assessments</w:t>
      </w:r>
    </w:p>
    <w:p w:rsidR="00000000" w:rsidDel="00000000" w:rsidP="00000000" w:rsidRDefault="00000000" w:rsidRPr="00000000" w14:paraId="000000ED">
      <w:pPr>
        <w:spacing w:after="240" w:before="240" w:line="360" w:lineRule="auto"/>
        <w:rPr/>
      </w:pPr>
      <w:r w:rsidDel="00000000" w:rsidR="00000000" w:rsidRPr="00000000">
        <w:rPr>
          <w:rtl w:val="0"/>
        </w:rPr>
        <w:t xml:space="preserve">Follow-up assessments several months after the intervention are essential for evaluating the long-term retention and real-world application of coping strategies. These assessments would provide valuable insights into the sustainability of the interventions and their ongoing impact on participants’ vocal confidence and performance anxiety management. Incorporating reflective diaries or longitudinal case studies could further enrich the data by capturing participants’ evolving experiences over time (Anderson &amp; Lee, 2022).</w:t>
      </w:r>
    </w:p>
    <w:p w:rsidR="00000000" w:rsidDel="00000000" w:rsidP="00000000" w:rsidRDefault="00000000" w:rsidRPr="00000000" w14:paraId="000000EE">
      <w:pPr>
        <w:spacing w:after="240" w:before="240" w:line="360" w:lineRule="auto"/>
        <w:rPr>
          <w:b w:val="1"/>
        </w:rPr>
      </w:pPr>
      <w:r w:rsidDel="00000000" w:rsidR="00000000" w:rsidRPr="00000000">
        <w:rPr>
          <w:rtl w:val="0"/>
        </w:rPr>
        <w:t xml:space="preserve">By addressing these limitations and implementing the outlined recommendations, future research can build on the insights gained from this study to create more effective, inclusive, and impactful interventions for neurodiverse students in music education.</w:t>
      </w:r>
      <w:r w:rsidDel="00000000" w:rsidR="00000000" w:rsidRPr="00000000">
        <w:rPr>
          <w:rtl w:val="0"/>
        </w:rPr>
      </w:r>
    </w:p>
    <w:p w:rsidR="00000000" w:rsidDel="00000000" w:rsidP="00000000" w:rsidRDefault="00000000" w:rsidRPr="00000000" w14:paraId="000000EF">
      <w:pPr>
        <w:pStyle w:val="Heading1"/>
        <w:keepNext w:val="0"/>
        <w:keepLines w:val="0"/>
        <w:spacing w:before="280" w:line="360" w:lineRule="auto"/>
        <w:rPr/>
      </w:pPr>
      <w:bookmarkStart w:colFirst="0" w:colLast="0" w:name="_5zat3k95kfjl" w:id="61"/>
      <w:bookmarkEnd w:id="61"/>
      <w:r w:rsidDel="00000000" w:rsidR="00000000" w:rsidRPr="00000000">
        <w:rPr>
          <w:rtl w:val="0"/>
        </w:rPr>
        <w:t xml:space="preserve">Conclusion </w:t>
      </w:r>
    </w:p>
    <w:p w:rsidR="00000000" w:rsidDel="00000000" w:rsidP="00000000" w:rsidRDefault="00000000" w:rsidRPr="00000000" w14:paraId="000000F0">
      <w:pPr>
        <w:spacing w:after="240" w:before="240" w:line="360" w:lineRule="auto"/>
        <w:rPr/>
      </w:pPr>
      <w:r w:rsidDel="00000000" w:rsidR="00000000" w:rsidRPr="00000000">
        <w:rPr>
          <w:rtl w:val="0"/>
        </w:rPr>
        <w:t xml:space="preserve">This research has critically examined the efficacy of tailored coping strategies in reducing performance anxiety and enhancing vocal confidence among neurodiverse students. The study focused on three participants with autism, ADHD, and anxiety disorders, yielding insights into how these interventions can support engagement and performance in music education. The findings revealed the significant potential of these strategies to mitigate anxiety, though they also highlighted the complexities of addressing the individualised needs of neurodivergent learners. Wilde (2019) underscores the significance of music education in fostering confidence and skill development among SEND students, reinforcing the value of inclusive vocal training strategies.</w:t>
      </w:r>
    </w:p>
    <w:p w:rsidR="00000000" w:rsidDel="00000000" w:rsidP="00000000" w:rsidRDefault="00000000" w:rsidRPr="00000000" w14:paraId="000000F1">
      <w:pPr>
        <w:spacing w:after="240" w:before="240" w:line="360" w:lineRule="auto"/>
        <w:rPr/>
      </w:pPr>
      <w:r w:rsidDel="00000000" w:rsidR="00000000" w:rsidRPr="00000000">
        <w:rPr>
          <w:rtl w:val="0"/>
        </w:rPr>
        <w:t xml:space="preserve">The use of qualitative feedback in the semi-structured interviews proved invaluable in capturing the participants' experiences and highlighting areas for improvement. For example, Student Alpha emphasised the importance of combining physical and cognitive techniques to address dual challenges, while Student Bravo’s progress illustrated the effectiveness of grounding exercises in enhancing focus and self-regulation. These outcomes reinforce the need for future research to incorporate personalised strategies that cater to the specific strengths and challenges of neurodiverse learners.</w:t>
      </w:r>
    </w:p>
    <w:p w:rsidR="00000000" w:rsidDel="00000000" w:rsidP="00000000" w:rsidRDefault="00000000" w:rsidRPr="00000000" w14:paraId="000000F2">
      <w:pPr>
        <w:spacing w:after="240" w:before="240" w:line="360" w:lineRule="auto"/>
        <w:rPr/>
      </w:pPr>
      <w:r w:rsidDel="00000000" w:rsidR="00000000" w:rsidRPr="00000000">
        <w:rPr>
          <w:rtl w:val="0"/>
        </w:rPr>
        <w:t xml:space="preserve">From a personal perspective, this study has significantly informed my teaching practice, emphasising the value of individualised, flexible approaches to vocal training. Integrating mindfulness and cognitive-behavioral techniques has enhanced my ability to create a more inclusive and empathetic learning environment for neurodiverse students. The research has deepened my understanding of performance anxiety in neurodiverse individuals, equipping me with practical tools to better support their needs.</w:t>
      </w:r>
    </w:p>
    <w:p w:rsidR="00000000" w:rsidDel="00000000" w:rsidP="00000000" w:rsidRDefault="00000000" w:rsidRPr="00000000" w14:paraId="000000F3">
      <w:pPr>
        <w:spacing w:after="240" w:before="240" w:line="360" w:lineRule="auto"/>
        <w:rPr/>
      </w:pPr>
      <w:r w:rsidDel="00000000" w:rsidR="00000000" w:rsidRPr="00000000">
        <w:rPr>
          <w:rtl w:val="0"/>
        </w:rPr>
        <w:t xml:space="preserve">Looking ahead, this research opens new avenues for exploration in neurodiverse pedagogy. Future studies should focus on extending intervention durations, increasing sample sizes, and implementing performance grading matrices to objectively measure the effectiveness of interventions. Further research into the long-term effects of tailored strategies and their sustainability is essential. Collaborative efforts with educators and neurodivergent students will also help develop innovative approaches to managing performance anxiety, fostering confidence, and ensuring greater inclusivity in music education. These efforts align with Vasquez's (2022) call for greater inclusivity and Hopkins's (2024) emphasis on teacher training.</w:t>
      </w:r>
    </w:p>
    <w:p w:rsidR="00000000" w:rsidDel="00000000" w:rsidP="00000000" w:rsidRDefault="00000000" w:rsidRPr="00000000" w14:paraId="000000F4">
      <w:pPr>
        <w:spacing w:after="240" w:before="240" w:line="360" w:lineRule="auto"/>
        <w:rPr/>
      </w:pPr>
      <w:r w:rsidDel="00000000" w:rsidR="00000000" w:rsidRPr="00000000">
        <w:rPr>
          <w:rtl w:val="0"/>
        </w:rPr>
        <w:t xml:space="preserve">This study has highlighted both the successes and challenges of integrating tailored coping strategies into vocal training for neurodivergent students. While the findings underscore the promise of these techniques, the study’s limitations indicate a need for continued research and adaptation. This research has advanced understanding in this area and has provided practical insights that will contribute to more inclusive and supportive learning environments in music education.</w:t>
      </w:r>
    </w:p>
    <w:p w:rsidR="00000000" w:rsidDel="00000000" w:rsidP="00000000" w:rsidRDefault="00000000" w:rsidRPr="00000000" w14:paraId="000000F5">
      <w:pPr>
        <w:pStyle w:val="Heading1"/>
        <w:spacing w:after="240" w:before="240" w:line="360" w:lineRule="auto"/>
        <w:rPr/>
      </w:pPr>
      <w:bookmarkStart w:colFirst="0" w:colLast="0" w:name="_mbhmo2u7ppnh" w:id="62"/>
      <w:bookmarkEnd w:id="62"/>
      <w:r w:rsidDel="00000000" w:rsidR="00000000" w:rsidRPr="00000000">
        <w:rPr>
          <w:rtl w:val="0"/>
        </w:rPr>
        <w:t xml:space="preserve">References </w:t>
      </w:r>
    </w:p>
    <w:p w:rsidR="00000000" w:rsidDel="00000000" w:rsidP="00000000" w:rsidRDefault="00000000" w:rsidRPr="00000000" w14:paraId="000000F6">
      <w:pPr>
        <w:spacing w:after="240" w:before="240" w:line="360" w:lineRule="auto"/>
        <w:rPr/>
      </w:pPr>
      <w:r w:rsidDel="00000000" w:rsidR="00000000" w:rsidRPr="00000000">
        <w:rPr>
          <w:rtl w:val="0"/>
        </w:rPr>
        <w:t xml:space="preserve">Anderson, G.M., Shaywitz, S.E., &amp; Shaywitz, B.A. (2024). Evaluation of children with attention deficit disorder. In </w:t>
      </w:r>
      <w:r w:rsidDel="00000000" w:rsidR="00000000" w:rsidRPr="00000000">
        <w:rPr>
          <w:i w:val="1"/>
          <w:rtl w:val="0"/>
        </w:rPr>
        <w:t xml:space="preserve">The Clinical Evaluation of Food Additives</w:t>
      </w:r>
      <w:r w:rsidDel="00000000" w:rsidR="00000000" w:rsidRPr="00000000">
        <w:rPr>
          <w:rtl w:val="0"/>
        </w:rPr>
        <w:t xml:space="preserve"> (pp. 255–266). CRC Press.</w:t>
      </w:r>
    </w:p>
    <w:p w:rsidR="00000000" w:rsidDel="00000000" w:rsidP="00000000" w:rsidRDefault="00000000" w:rsidRPr="00000000" w14:paraId="000000F7">
      <w:pPr>
        <w:spacing w:after="240" w:before="240" w:line="360" w:lineRule="auto"/>
        <w:rPr/>
      </w:pPr>
      <w:r w:rsidDel="00000000" w:rsidR="00000000" w:rsidRPr="00000000">
        <w:rPr>
          <w:rtl w:val="0"/>
        </w:rPr>
        <w:t xml:space="preserve">Anderson, J., &amp; Lee, K. (2022). Acceptance and commitment therapy for the treatment of music performance anxiety. </w:t>
      </w:r>
      <w:r w:rsidDel="00000000" w:rsidR="00000000" w:rsidRPr="00000000">
        <w:rPr>
          <w:i w:val="1"/>
          <w:rtl w:val="0"/>
        </w:rPr>
        <w:t xml:space="preserve">Music Psychology Review, 14</w:t>
      </w:r>
      <w:r w:rsidDel="00000000" w:rsidR="00000000" w:rsidRPr="00000000">
        <w:rPr>
          <w:rtl w:val="0"/>
        </w:rPr>
        <w:t xml:space="preserve">(2), 123–135.</w:t>
      </w:r>
    </w:p>
    <w:p w:rsidR="00000000" w:rsidDel="00000000" w:rsidP="00000000" w:rsidRDefault="00000000" w:rsidRPr="00000000" w14:paraId="000000F8">
      <w:pPr>
        <w:spacing w:after="240" w:before="240" w:line="360" w:lineRule="auto"/>
        <w:rPr/>
      </w:pPr>
      <w:r w:rsidDel="00000000" w:rsidR="00000000" w:rsidRPr="00000000">
        <w:rPr>
          <w:rtl w:val="0"/>
        </w:rPr>
        <w:t xml:space="preserve">Barkley, R.A. (1990). Attention deficit disorders: History, definition, and diagnosis. In </w:t>
      </w:r>
      <w:r w:rsidDel="00000000" w:rsidR="00000000" w:rsidRPr="00000000">
        <w:rPr>
          <w:i w:val="1"/>
          <w:rtl w:val="0"/>
        </w:rPr>
        <w:t xml:space="preserve">Handbook of Developmental Psychopathology</w:t>
      </w:r>
      <w:r w:rsidDel="00000000" w:rsidR="00000000" w:rsidRPr="00000000">
        <w:rPr>
          <w:rtl w:val="0"/>
        </w:rPr>
        <w:t xml:space="preserve"> (pp. 65–75).</w:t>
      </w:r>
    </w:p>
    <w:p w:rsidR="00000000" w:rsidDel="00000000" w:rsidP="00000000" w:rsidRDefault="00000000" w:rsidRPr="00000000" w14:paraId="000000F9">
      <w:pPr>
        <w:spacing w:after="240" w:before="240" w:line="360" w:lineRule="auto"/>
        <w:rPr/>
      </w:pPr>
      <w:r w:rsidDel="00000000" w:rsidR="00000000" w:rsidRPr="00000000">
        <w:rPr>
          <w:rtl w:val="0"/>
        </w:rPr>
        <w:t xml:space="preserve">Bishop, T. (2020). </w:t>
      </w:r>
      <w:r w:rsidDel="00000000" w:rsidR="00000000" w:rsidRPr="00000000">
        <w:rPr>
          <w:i w:val="1"/>
          <w:rtl w:val="0"/>
        </w:rPr>
        <w:t xml:space="preserve">Teaching music to neurodiverse students: Strategies for inclusion</w:t>
      </w:r>
      <w:r w:rsidDel="00000000" w:rsidR="00000000" w:rsidRPr="00000000">
        <w:rPr>
          <w:rtl w:val="0"/>
        </w:rPr>
        <w:t xml:space="preserve">. London: Routledge.</w:t>
      </w:r>
    </w:p>
    <w:p w:rsidR="00000000" w:rsidDel="00000000" w:rsidP="00000000" w:rsidRDefault="00000000" w:rsidRPr="00000000" w14:paraId="000000FA">
      <w:pPr>
        <w:spacing w:after="240" w:before="240" w:line="360" w:lineRule="auto"/>
        <w:rPr/>
      </w:pPr>
      <w:r w:rsidDel="00000000" w:rsidR="00000000" w:rsidRPr="00000000">
        <w:rPr>
          <w:rtl w:val="0"/>
        </w:rPr>
        <w:t xml:space="preserve">Brown, L. (2021). Development of flow state self-regulation skills and coping with musical performance anxiety. </w:t>
      </w:r>
      <w:r w:rsidDel="00000000" w:rsidR="00000000" w:rsidRPr="00000000">
        <w:rPr>
          <w:i w:val="1"/>
          <w:rtl w:val="0"/>
        </w:rPr>
        <w:t xml:space="preserve">Journal of Music Therapy, 58</w:t>
      </w:r>
      <w:r w:rsidDel="00000000" w:rsidR="00000000" w:rsidRPr="00000000">
        <w:rPr>
          <w:rtl w:val="0"/>
        </w:rPr>
        <w:t xml:space="preserve">(3), 215–230.</w:t>
      </w:r>
    </w:p>
    <w:p w:rsidR="00000000" w:rsidDel="00000000" w:rsidP="00000000" w:rsidRDefault="00000000" w:rsidRPr="00000000" w14:paraId="000000FB">
      <w:pPr>
        <w:spacing w:after="240" w:before="240" w:line="360" w:lineRule="auto"/>
        <w:rPr/>
      </w:pPr>
      <w:r w:rsidDel="00000000" w:rsidR="00000000" w:rsidRPr="00000000">
        <w:rPr>
          <w:rtl w:val="0"/>
        </w:rPr>
        <w:t xml:space="preserve">Clark, C.L. (2024). Teachers’ perceptions of professional development for teaching attention-deficit/hyperactivity disorder students. (Doctoral dissertation, The University of West Florida).</w:t>
      </w:r>
    </w:p>
    <w:p w:rsidR="00000000" w:rsidDel="00000000" w:rsidP="00000000" w:rsidRDefault="00000000" w:rsidRPr="00000000" w14:paraId="000000FC">
      <w:pPr>
        <w:spacing w:after="240" w:before="240" w:line="360" w:lineRule="auto"/>
        <w:rPr/>
      </w:pPr>
      <w:r w:rsidDel="00000000" w:rsidR="00000000" w:rsidRPr="00000000">
        <w:rPr>
          <w:rtl w:val="0"/>
        </w:rPr>
        <w:t xml:space="preserve">Clark, H., &amp; Thompson, M. (2020). Comparing effects of cognitive behavioral and mindfulness interventions on performance anxiety in a music context. </w:t>
      </w:r>
      <w:r w:rsidDel="00000000" w:rsidR="00000000" w:rsidRPr="00000000">
        <w:rPr>
          <w:i w:val="1"/>
          <w:rtl w:val="0"/>
        </w:rPr>
        <w:t xml:space="preserve">Psychology of Music, 48</w:t>
      </w:r>
      <w:r w:rsidDel="00000000" w:rsidR="00000000" w:rsidRPr="00000000">
        <w:rPr>
          <w:rtl w:val="0"/>
        </w:rPr>
        <w:t xml:space="preserve">(4), 425–438.</w:t>
      </w:r>
    </w:p>
    <w:p w:rsidR="00000000" w:rsidDel="00000000" w:rsidP="00000000" w:rsidRDefault="00000000" w:rsidRPr="00000000" w14:paraId="000000FD">
      <w:pPr>
        <w:spacing w:after="240" w:before="240" w:line="360" w:lineRule="auto"/>
        <w:rPr>
          <w:sz w:val="20"/>
          <w:szCs w:val="20"/>
        </w:rPr>
      </w:pPr>
      <w:r w:rsidDel="00000000" w:rsidR="00000000" w:rsidRPr="00000000">
        <w:rPr>
          <w:rtl w:val="0"/>
        </w:rPr>
        <w:t xml:space="preserve">Clarke, V. and Braun, V. (2016) ‘Thematic analysis’, </w:t>
      </w:r>
      <w:r w:rsidDel="00000000" w:rsidR="00000000" w:rsidRPr="00000000">
        <w:rPr>
          <w:i w:val="1"/>
          <w:rtl w:val="0"/>
        </w:rPr>
        <w:t xml:space="preserve">The Journal of Positive Psychology</w:t>
      </w:r>
      <w:r w:rsidDel="00000000" w:rsidR="00000000" w:rsidRPr="00000000">
        <w:rPr>
          <w:rtl w:val="0"/>
        </w:rPr>
        <w:t xml:space="preserve">, 12(3), pp. 297–298. doi: 10.1080/17439760.2016.1262613.</w:t>
      </w:r>
      <w:r w:rsidDel="00000000" w:rsidR="00000000" w:rsidRPr="00000000">
        <w:rPr>
          <w:rtl w:val="0"/>
        </w:rPr>
      </w:r>
    </w:p>
    <w:p w:rsidR="00000000" w:rsidDel="00000000" w:rsidP="00000000" w:rsidRDefault="00000000" w:rsidRPr="00000000" w14:paraId="000000FE">
      <w:pPr>
        <w:spacing w:after="240" w:before="240" w:line="360" w:lineRule="auto"/>
        <w:rPr/>
      </w:pPr>
      <w:r w:rsidDel="00000000" w:rsidR="00000000" w:rsidRPr="00000000">
        <w:rPr>
          <w:rtl w:val="0"/>
        </w:rPr>
        <w:t xml:space="preserve">Clarkson, J. (2021). </w:t>
      </w:r>
      <w:r w:rsidDel="00000000" w:rsidR="00000000" w:rsidRPr="00000000">
        <w:rPr>
          <w:i w:val="1"/>
          <w:rtl w:val="0"/>
        </w:rPr>
        <w:t xml:space="preserve">Teaching performance skills to students with learning differences.</w:t>
      </w:r>
      <w:r w:rsidDel="00000000" w:rsidR="00000000" w:rsidRPr="00000000">
        <w:rPr>
          <w:rtl w:val="0"/>
        </w:rPr>
        <w:t xml:space="preserve"> New York: Routledge.</w:t>
      </w:r>
    </w:p>
    <w:p w:rsidR="00000000" w:rsidDel="00000000" w:rsidP="00000000" w:rsidRDefault="00000000" w:rsidRPr="00000000" w14:paraId="000000FF">
      <w:pPr>
        <w:spacing w:after="240" w:before="240" w:line="360" w:lineRule="auto"/>
        <w:rPr/>
      </w:pPr>
      <w:r w:rsidDel="00000000" w:rsidR="00000000" w:rsidRPr="00000000">
        <w:rPr>
          <w:rtl w:val="0"/>
        </w:rPr>
        <w:t xml:space="preserve">Clouder, C., Karakus, M., &amp; Ferreyra, E. (2020). Challenges and adaptations in the higher education experience of neurodiverse students. </w:t>
      </w:r>
      <w:r w:rsidDel="00000000" w:rsidR="00000000" w:rsidRPr="00000000">
        <w:rPr>
          <w:i w:val="1"/>
          <w:rtl w:val="0"/>
        </w:rPr>
        <w:t xml:space="preserve">Higher Education for Neurodiverse Learners, 13</w:t>
      </w:r>
      <w:r w:rsidDel="00000000" w:rsidR="00000000" w:rsidRPr="00000000">
        <w:rPr>
          <w:rtl w:val="0"/>
        </w:rPr>
        <w:t xml:space="preserve">(2), 89-101.</w:t>
      </w:r>
    </w:p>
    <w:p w:rsidR="00000000" w:rsidDel="00000000" w:rsidP="00000000" w:rsidRDefault="00000000" w:rsidRPr="00000000" w14:paraId="00000100">
      <w:pPr>
        <w:spacing w:after="240" w:before="240" w:line="360" w:lineRule="auto"/>
        <w:rPr/>
      </w:pPr>
      <w:r w:rsidDel="00000000" w:rsidR="00000000" w:rsidRPr="00000000">
        <w:rPr>
          <w:rtl w:val="0"/>
        </w:rPr>
        <w:t xml:space="preserve">Cohen, L., Manion, L., &amp; Morrison, K. (2011). </w:t>
      </w:r>
      <w:r w:rsidDel="00000000" w:rsidR="00000000" w:rsidRPr="00000000">
        <w:rPr>
          <w:i w:val="1"/>
          <w:rtl w:val="0"/>
        </w:rPr>
        <w:t xml:space="preserve">Research methods in education</w:t>
      </w:r>
      <w:r w:rsidDel="00000000" w:rsidR="00000000" w:rsidRPr="00000000">
        <w:rPr>
          <w:rtl w:val="0"/>
        </w:rPr>
        <w:t xml:space="preserve"> (7th ed.). London: Routledge.</w:t>
      </w:r>
    </w:p>
    <w:p w:rsidR="00000000" w:rsidDel="00000000" w:rsidP="00000000" w:rsidRDefault="00000000" w:rsidRPr="00000000" w14:paraId="00000101">
      <w:pPr>
        <w:spacing w:after="240" w:before="240" w:line="360" w:lineRule="auto"/>
        <w:rPr/>
      </w:pPr>
      <w:r w:rsidDel="00000000" w:rsidR="00000000" w:rsidRPr="00000000">
        <w:rPr>
          <w:rtl w:val="0"/>
        </w:rPr>
        <w:t xml:space="preserve">Creswell, J.W., &amp; Plano Clark, V.L. (2018). </w:t>
      </w:r>
      <w:r w:rsidDel="00000000" w:rsidR="00000000" w:rsidRPr="00000000">
        <w:rPr>
          <w:i w:val="1"/>
          <w:rtl w:val="0"/>
        </w:rPr>
        <w:t xml:space="preserve">Designing and conducting mixed methods research</w:t>
      </w:r>
      <w:r w:rsidDel="00000000" w:rsidR="00000000" w:rsidRPr="00000000">
        <w:rPr>
          <w:rtl w:val="0"/>
        </w:rPr>
        <w:t xml:space="preserve"> (3rd ed.). London: SAGE Publications.</w:t>
      </w:r>
    </w:p>
    <w:p w:rsidR="00000000" w:rsidDel="00000000" w:rsidP="00000000" w:rsidRDefault="00000000" w:rsidRPr="00000000" w14:paraId="00000102">
      <w:pPr>
        <w:spacing w:after="240" w:before="240" w:line="360" w:lineRule="auto"/>
        <w:rPr/>
      </w:pPr>
      <w:r w:rsidDel="00000000" w:rsidR="00000000" w:rsidRPr="00000000">
        <w:rPr>
          <w:rtl w:val="0"/>
        </w:rPr>
        <w:t xml:space="preserve">Creswell, J.W., &amp; Poth, C.N. (2018). </w:t>
      </w:r>
      <w:r w:rsidDel="00000000" w:rsidR="00000000" w:rsidRPr="00000000">
        <w:rPr>
          <w:i w:val="1"/>
          <w:rtl w:val="0"/>
        </w:rPr>
        <w:t xml:space="preserve">Qualitative inquiry and research design: Choosing among five approaches</w:t>
      </w:r>
      <w:r w:rsidDel="00000000" w:rsidR="00000000" w:rsidRPr="00000000">
        <w:rPr>
          <w:rtl w:val="0"/>
        </w:rPr>
        <w:t xml:space="preserve"> (4th ed.). London: SAGE Publications.</w:t>
      </w:r>
    </w:p>
    <w:p w:rsidR="00000000" w:rsidDel="00000000" w:rsidP="00000000" w:rsidRDefault="00000000" w:rsidRPr="00000000" w14:paraId="00000103">
      <w:pPr>
        <w:spacing w:after="240" w:before="240" w:line="360" w:lineRule="auto"/>
        <w:rPr/>
      </w:pPr>
      <w:r w:rsidDel="00000000" w:rsidR="00000000" w:rsidRPr="00000000">
        <w:rPr>
          <w:rtl w:val="0"/>
        </w:rPr>
        <w:t xml:space="preserve">Crowne, D. P., &amp; Marlowe, D. (1960). A new scale of social desirability independent of psychopathology. </w:t>
      </w:r>
      <w:r w:rsidDel="00000000" w:rsidR="00000000" w:rsidRPr="00000000">
        <w:rPr>
          <w:i w:val="1"/>
          <w:rtl w:val="0"/>
        </w:rPr>
        <w:t xml:space="preserve">Journal of Consulting Psychology, 24</w:t>
      </w:r>
      <w:r w:rsidDel="00000000" w:rsidR="00000000" w:rsidRPr="00000000">
        <w:rPr>
          <w:rtl w:val="0"/>
        </w:rPr>
        <w:t xml:space="preserve">(4), 349–354.</w:t>
      </w:r>
      <w:r w:rsidDel="00000000" w:rsidR="00000000" w:rsidRPr="00000000">
        <w:rPr>
          <w:rtl w:val="0"/>
        </w:rPr>
      </w:r>
    </w:p>
    <w:p w:rsidR="00000000" w:rsidDel="00000000" w:rsidP="00000000" w:rsidRDefault="00000000" w:rsidRPr="00000000" w14:paraId="00000104">
      <w:pPr>
        <w:spacing w:after="240" w:before="240" w:line="360" w:lineRule="auto"/>
        <w:rPr/>
      </w:pPr>
      <w:r w:rsidDel="00000000" w:rsidR="00000000" w:rsidRPr="00000000">
        <w:rPr>
          <w:rtl w:val="0"/>
        </w:rPr>
        <w:t xml:space="preserve">Denzin, N.K., &amp; Lincoln, Y.S. (2011). </w:t>
      </w:r>
      <w:r w:rsidDel="00000000" w:rsidR="00000000" w:rsidRPr="00000000">
        <w:rPr>
          <w:i w:val="1"/>
          <w:rtl w:val="0"/>
        </w:rPr>
        <w:t xml:space="preserve">The SAGE handbook of qualitative research</w:t>
      </w:r>
      <w:r w:rsidDel="00000000" w:rsidR="00000000" w:rsidRPr="00000000">
        <w:rPr>
          <w:rtl w:val="0"/>
        </w:rPr>
        <w:t xml:space="preserve"> (4th ed.). London: SAGE Publications.</w:t>
      </w:r>
    </w:p>
    <w:p w:rsidR="00000000" w:rsidDel="00000000" w:rsidP="00000000" w:rsidRDefault="00000000" w:rsidRPr="00000000" w14:paraId="00000105">
      <w:pPr>
        <w:spacing w:after="240" w:before="240" w:line="360" w:lineRule="auto"/>
        <w:rPr>
          <w:b w:val="1"/>
        </w:rPr>
      </w:pPr>
      <w:r w:rsidDel="00000000" w:rsidR="00000000" w:rsidRPr="00000000">
        <w:rPr>
          <w:rtl w:val="0"/>
        </w:rPr>
        <w:t xml:space="preserve">Drennan, J.M. (2024). Experiences of belonging and flourishing for autistic postsecondary students. </w:t>
      </w:r>
      <w:r w:rsidDel="00000000" w:rsidR="00000000" w:rsidRPr="00000000">
        <w:rPr>
          <w:i w:val="1"/>
          <w:rtl w:val="0"/>
        </w:rPr>
        <w:t xml:space="preserve">Frontiers in Education, 9</w:t>
      </w:r>
      <w:r w:rsidDel="00000000" w:rsidR="00000000" w:rsidRPr="00000000">
        <w:rPr>
          <w:rtl w:val="0"/>
        </w:rPr>
        <w:t xml:space="preserve">(2), 123–137.</w:t>
      </w:r>
      <w:r w:rsidDel="00000000" w:rsidR="00000000" w:rsidRPr="00000000">
        <w:rPr>
          <w:rtl w:val="0"/>
        </w:rPr>
      </w:r>
    </w:p>
    <w:p w:rsidR="00000000" w:rsidDel="00000000" w:rsidP="00000000" w:rsidRDefault="00000000" w:rsidRPr="00000000" w14:paraId="00000106">
      <w:pPr>
        <w:spacing w:after="240" w:before="240" w:line="360" w:lineRule="auto"/>
        <w:rPr/>
      </w:pPr>
      <w:r w:rsidDel="00000000" w:rsidR="00000000" w:rsidRPr="00000000">
        <w:rPr>
          <w:rtl w:val="0"/>
        </w:rPr>
        <w:t xml:space="preserve">Equality Act (2010). </w:t>
      </w:r>
      <w:r w:rsidDel="00000000" w:rsidR="00000000" w:rsidRPr="00000000">
        <w:rPr>
          <w:i w:val="1"/>
          <w:rtl w:val="0"/>
        </w:rPr>
        <w:t xml:space="preserve">Legislation.gov.uk</w:t>
      </w:r>
      <w:r w:rsidDel="00000000" w:rsidR="00000000" w:rsidRPr="00000000">
        <w:rPr>
          <w:rtl w:val="0"/>
        </w:rPr>
        <w:t xml:space="preserve">. Retrieved January 12, 2025, from </w:t>
      </w:r>
      <w:hyperlink r:id="rId11">
        <w:r w:rsidDel="00000000" w:rsidR="00000000" w:rsidRPr="00000000">
          <w:rPr>
            <w:color w:val="1155cc"/>
            <w:u w:val="single"/>
            <w:rtl w:val="0"/>
          </w:rPr>
          <w:t xml:space="preserve">https://www.legislation.gov.uk/ukpga/2010/15/contents/enacted</w:t>
        </w:r>
      </w:hyperlink>
      <w:r w:rsidDel="00000000" w:rsidR="00000000" w:rsidRPr="00000000">
        <w:rPr>
          <w:rtl w:val="0"/>
        </w:rPr>
      </w:r>
    </w:p>
    <w:p w:rsidR="00000000" w:rsidDel="00000000" w:rsidP="00000000" w:rsidRDefault="00000000" w:rsidRPr="00000000" w14:paraId="00000107">
      <w:pPr>
        <w:spacing w:after="240" w:before="240" w:line="360" w:lineRule="auto"/>
        <w:rPr>
          <w:sz w:val="20"/>
          <w:szCs w:val="20"/>
        </w:rPr>
      </w:pPr>
      <w:r w:rsidDel="00000000" w:rsidR="00000000" w:rsidRPr="00000000">
        <w:rPr>
          <w:rtl w:val="0"/>
        </w:rPr>
        <w:t xml:space="preserve">Faur, A. L., Pintea, S., Vaida, S., &amp; Opre, A. N. (2023). The efficacy of cognitive and behavioral interventions upon music performance anxiety: A meta-analysis. </w:t>
      </w:r>
      <w:r w:rsidDel="00000000" w:rsidR="00000000" w:rsidRPr="00000000">
        <w:rPr>
          <w:i w:val="1"/>
          <w:rtl w:val="0"/>
        </w:rPr>
        <w:t xml:space="preserve">Psychology of Music</w:t>
      </w:r>
      <w:r w:rsidDel="00000000" w:rsidR="00000000" w:rsidRPr="00000000">
        <w:rPr>
          <w:rtl w:val="0"/>
        </w:rPr>
        <w:t xml:space="preserve">, </w:t>
      </w:r>
      <w:r w:rsidDel="00000000" w:rsidR="00000000" w:rsidRPr="00000000">
        <w:rPr>
          <w:i w:val="1"/>
          <w:rtl w:val="0"/>
        </w:rPr>
        <w:t xml:space="preserve">51</w:t>
      </w:r>
      <w:r w:rsidDel="00000000" w:rsidR="00000000" w:rsidRPr="00000000">
        <w:rPr>
          <w:rtl w:val="0"/>
        </w:rPr>
        <w:t xml:space="preserve">(2), 357-372. </w:t>
      </w:r>
      <w:hyperlink r:id="rId12">
        <w:r w:rsidDel="00000000" w:rsidR="00000000" w:rsidRPr="00000000">
          <w:rPr>
            <w:u w:val="single"/>
            <w:rtl w:val="0"/>
          </w:rPr>
          <w:t xml:space="preserve">https://doi.org/10.1177/03057356221115461</w:t>
        </w:r>
      </w:hyperlink>
      <w:r w:rsidDel="00000000" w:rsidR="00000000" w:rsidRPr="00000000">
        <w:rPr>
          <w:rtl w:val="0"/>
        </w:rPr>
      </w:r>
    </w:p>
    <w:p w:rsidR="00000000" w:rsidDel="00000000" w:rsidP="00000000" w:rsidRDefault="00000000" w:rsidRPr="00000000" w14:paraId="00000108">
      <w:pPr>
        <w:spacing w:after="240" w:before="240" w:line="360" w:lineRule="auto"/>
        <w:rPr/>
      </w:pPr>
      <w:r w:rsidDel="00000000" w:rsidR="00000000" w:rsidRPr="00000000">
        <w:rPr>
          <w:rtl w:val="0"/>
        </w:rPr>
        <w:t xml:space="preserve">Gioia, G.A., &amp; Isquith, P.K. (2002). New perspectives on educating children with ADHD: Contributions of the executive functions. </w:t>
      </w:r>
      <w:r w:rsidDel="00000000" w:rsidR="00000000" w:rsidRPr="00000000">
        <w:rPr>
          <w:i w:val="1"/>
          <w:rtl w:val="0"/>
        </w:rPr>
        <w:t xml:space="preserve">J. Health Care L. &amp; Pol'y, 5</w:t>
      </w:r>
      <w:r w:rsidDel="00000000" w:rsidR="00000000" w:rsidRPr="00000000">
        <w:rPr>
          <w:rtl w:val="0"/>
        </w:rPr>
        <w:t xml:space="preserve">, 124.</w:t>
      </w:r>
    </w:p>
    <w:p w:rsidR="00000000" w:rsidDel="00000000" w:rsidP="00000000" w:rsidRDefault="00000000" w:rsidRPr="00000000" w14:paraId="00000109">
      <w:pPr>
        <w:spacing w:after="240" w:before="240" w:line="360" w:lineRule="auto"/>
        <w:rPr/>
      </w:pPr>
      <w:r w:rsidDel="00000000" w:rsidR="00000000" w:rsidRPr="00000000">
        <w:rPr>
          <w:rtl w:val="0"/>
        </w:rPr>
        <w:t xml:space="preserve">Goodall, C. (2019). </w:t>
      </w:r>
      <w:r w:rsidDel="00000000" w:rsidR="00000000" w:rsidRPr="00000000">
        <w:rPr>
          <w:i w:val="1"/>
          <w:rtl w:val="0"/>
        </w:rPr>
        <w:t xml:space="preserve">Understanding the voices and educational experiences of autistic young people: From research to practice.</w:t>
      </w:r>
      <w:r w:rsidDel="00000000" w:rsidR="00000000" w:rsidRPr="00000000">
        <w:rPr>
          <w:rtl w:val="0"/>
        </w:rPr>
        <w:t xml:space="preserve"> London: Routledge.</w:t>
      </w:r>
    </w:p>
    <w:p w:rsidR="00000000" w:rsidDel="00000000" w:rsidP="00000000" w:rsidRDefault="00000000" w:rsidRPr="00000000" w14:paraId="0000010A">
      <w:pPr>
        <w:spacing w:after="240" w:before="240" w:line="360" w:lineRule="auto"/>
        <w:rPr/>
      </w:pPr>
      <w:r w:rsidDel="00000000" w:rsidR="00000000" w:rsidRPr="00000000">
        <w:rPr>
          <w:rtl w:val="0"/>
        </w:rPr>
        <w:t xml:space="preserve">Grandin, T. (2014). </w:t>
      </w:r>
      <w:r w:rsidDel="00000000" w:rsidR="00000000" w:rsidRPr="00000000">
        <w:rPr>
          <w:i w:val="1"/>
          <w:rtl w:val="0"/>
        </w:rPr>
        <w:t xml:space="preserve">The autistic brain: Thinking across the spectrum.</w:t>
      </w:r>
      <w:r w:rsidDel="00000000" w:rsidR="00000000" w:rsidRPr="00000000">
        <w:rPr>
          <w:rtl w:val="0"/>
        </w:rPr>
        <w:t xml:space="preserve"> Boston: Houghton Mifflin Harcourt.</w:t>
      </w:r>
    </w:p>
    <w:p w:rsidR="00000000" w:rsidDel="00000000" w:rsidP="00000000" w:rsidRDefault="00000000" w:rsidRPr="00000000" w14:paraId="0000010B">
      <w:pPr>
        <w:spacing w:after="240" w:before="240" w:line="360" w:lineRule="auto"/>
        <w:rPr/>
      </w:pPr>
      <w:r w:rsidDel="00000000" w:rsidR="00000000" w:rsidRPr="00000000">
        <w:rPr>
          <w:rtl w:val="0"/>
        </w:rPr>
        <w:t xml:space="preserve">Gray, D.E. (2018). </w:t>
      </w:r>
      <w:r w:rsidDel="00000000" w:rsidR="00000000" w:rsidRPr="00000000">
        <w:rPr>
          <w:i w:val="1"/>
          <w:rtl w:val="0"/>
        </w:rPr>
        <w:t xml:space="preserve">Doing research in the real world</w:t>
      </w:r>
      <w:r w:rsidDel="00000000" w:rsidR="00000000" w:rsidRPr="00000000">
        <w:rPr>
          <w:rtl w:val="0"/>
        </w:rPr>
        <w:t xml:space="preserve"> (4th ed.). London: SAGE Publications.</w:t>
      </w:r>
    </w:p>
    <w:p w:rsidR="00000000" w:rsidDel="00000000" w:rsidP="00000000" w:rsidRDefault="00000000" w:rsidRPr="00000000" w14:paraId="0000010C">
      <w:pPr>
        <w:spacing w:after="240" w:before="240" w:line="360" w:lineRule="auto"/>
        <w:rPr/>
      </w:pPr>
      <w:r w:rsidDel="00000000" w:rsidR="00000000" w:rsidRPr="00000000">
        <w:rPr>
          <w:rtl w:val="0"/>
        </w:rPr>
        <w:t xml:space="preserve">Grimm, P. (2010). Social desirability bias. In </w:t>
      </w:r>
      <w:r w:rsidDel="00000000" w:rsidR="00000000" w:rsidRPr="00000000">
        <w:rPr>
          <w:i w:val="1"/>
          <w:rtl w:val="0"/>
        </w:rPr>
        <w:t xml:space="preserve">Encyclopedia of survey research methods</w:t>
      </w:r>
      <w:r w:rsidDel="00000000" w:rsidR="00000000" w:rsidRPr="00000000">
        <w:rPr>
          <w:rtl w:val="0"/>
        </w:rPr>
        <w:t xml:space="preserve"> (pp. 1056-1058). Sage Publications.</w:t>
      </w:r>
    </w:p>
    <w:p w:rsidR="00000000" w:rsidDel="00000000" w:rsidP="00000000" w:rsidRDefault="00000000" w:rsidRPr="00000000" w14:paraId="0000010D">
      <w:pPr>
        <w:spacing w:after="240" w:before="240" w:line="360" w:lineRule="auto"/>
        <w:rPr/>
      </w:pPr>
      <w:r w:rsidDel="00000000" w:rsidR="00000000" w:rsidRPr="00000000">
        <w:rPr>
          <w:rtl w:val="0"/>
        </w:rPr>
        <w:t xml:space="preserve">Hallam, S. (2015). The power of music: Its impact on the intellectual, social, and personal development of children and young people. </w:t>
      </w:r>
      <w:r w:rsidDel="00000000" w:rsidR="00000000" w:rsidRPr="00000000">
        <w:rPr>
          <w:i w:val="1"/>
          <w:rtl w:val="0"/>
        </w:rPr>
        <w:t xml:space="preserve">International Journal of Music Education, 33</w:t>
      </w:r>
      <w:r w:rsidDel="00000000" w:rsidR="00000000" w:rsidRPr="00000000">
        <w:rPr>
          <w:rtl w:val="0"/>
        </w:rPr>
        <w:t xml:space="preserve">(1), 20–36.</w:t>
      </w:r>
    </w:p>
    <w:p w:rsidR="00000000" w:rsidDel="00000000" w:rsidP="00000000" w:rsidRDefault="00000000" w:rsidRPr="00000000" w14:paraId="0000010E">
      <w:pPr>
        <w:spacing w:after="240" w:before="240" w:line="360" w:lineRule="auto"/>
        <w:rPr/>
      </w:pPr>
      <w:r w:rsidDel="00000000" w:rsidR="00000000" w:rsidRPr="00000000">
        <w:rPr>
          <w:rtl w:val="0"/>
        </w:rPr>
        <w:t xml:space="preserve">Hopkins, T. (2024). Advancing ADHD support in secondary music classrooms. </w:t>
      </w:r>
      <w:r w:rsidDel="00000000" w:rsidR="00000000" w:rsidRPr="00000000">
        <w:rPr>
          <w:i w:val="1"/>
          <w:rtl w:val="0"/>
        </w:rPr>
        <w:t xml:space="preserve">Journal of Inclusive Education Practices, 11</w:t>
      </w:r>
      <w:r w:rsidDel="00000000" w:rsidR="00000000" w:rsidRPr="00000000">
        <w:rPr>
          <w:rtl w:val="0"/>
        </w:rPr>
        <w:t xml:space="preserve">(3), 89–103.</w:t>
      </w:r>
    </w:p>
    <w:p w:rsidR="00000000" w:rsidDel="00000000" w:rsidP="00000000" w:rsidRDefault="00000000" w:rsidRPr="00000000" w14:paraId="0000010F">
      <w:pPr>
        <w:spacing w:after="240" w:before="240" w:line="360" w:lineRule="auto"/>
        <w:rPr/>
      </w:pPr>
      <w:r w:rsidDel="00000000" w:rsidR="00000000" w:rsidRPr="00000000">
        <w:rPr>
          <w:rtl w:val="0"/>
        </w:rPr>
        <w:t xml:space="preserve">Hurson, P., &amp; Hutson, J. (2023). Autism in females: Understanding the overlooked diagnoses, unique challenges, and recommendations. </w:t>
      </w:r>
      <w:r w:rsidDel="00000000" w:rsidR="00000000" w:rsidRPr="00000000">
        <w:rPr>
          <w:i w:val="1"/>
          <w:rtl w:val="0"/>
        </w:rPr>
        <w:t xml:space="preserve">Journal of Clinical &amp; Medical Images, 3</w:t>
      </w:r>
      <w:r w:rsidDel="00000000" w:rsidR="00000000" w:rsidRPr="00000000">
        <w:rPr>
          <w:rtl w:val="0"/>
        </w:rPr>
        <w:t xml:space="preserve">(3), 45–53.</w:t>
      </w:r>
    </w:p>
    <w:p w:rsidR="00000000" w:rsidDel="00000000" w:rsidP="00000000" w:rsidRDefault="00000000" w:rsidRPr="00000000" w14:paraId="00000110">
      <w:pPr>
        <w:spacing w:after="240" w:before="240" w:line="360" w:lineRule="auto"/>
        <w:rPr/>
      </w:pPr>
      <w:r w:rsidDel="00000000" w:rsidR="00000000" w:rsidRPr="00000000">
        <w:rPr>
          <w:rtl w:val="0"/>
        </w:rPr>
        <w:t xml:space="preserve">Jacobson, E. (1938). </w:t>
      </w:r>
      <w:r w:rsidDel="00000000" w:rsidR="00000000" w:rsidRPr="00000000">
        <w:rPr>
          <w:i w:val="1"/>
          <w:rtl w:val="0"/>
        </w:rPr>
        <w:t xml:space="preserve">Progressive relaxation.</w:t>
      </w:r>
      <w:r w:rsidDel="00000000" w:rsidR="00000000" w:rsidRPr="00000000">
        <w:rPr>
          <w:rtl w:val="0"/>
        </w:rPr>
        <w:t xml:space="preserve"> Chicago: University of Chicago Press.</w:t>
      </w:r>
    </w:p>
    <w:p w:rsidR="00000000" w:rsidDel="00000000" w:rsidP="00000000" w:rsidRDefault="00000000" w:rsidRPr="00000000" w14:paraId="00000111">
      <w:pPr>
        <w:spacing w:after="240" w:before="240" w:line="360" w:lineRule="auto"/>
        <w:rPr/>
      </w:pPr>
      <w:r w:rsidDel="00000000" w:rsidR="00000000" w:rsidRPr="00000000">
        <w:rPr>
          <w:rtl w:val="0"/>
        </w:rPr>
        <w:t xml:space="preserve">Jellison, J.A. (2015). </w:t>
      </w:r>
      <w:r w:rsidDel="00000000" w:rsidR="00000000" w:rsidRPr="00000000">
        <w:rPr>
          <w:i w:val="1"/>
          <w:rtl w:val="0"/>
        </w:rPr>
        <w:t xml:space="preserve">Including everyone: Creating music classrooms where all children learn.</w:t>
      </w:r>
      <w:r w:rsidDel="00000000" w:rsidR="00000000" w:rsidRPr="00000000">
        <w:rPr>
          <w:rtl w:val="0"/>
        </w:rPr>
        <w:t xml:space="preserve"> New York: Oxford University Press.</w:t>
      </w:r>
    </w:p>
    <w:p w:rsidR="00000000" w:rsidDel="00000000" w:rsidP="00000000" w:rsidRDefault="00000000" w:rsidRPr="00000000" w14:paraId="00000112">
      <w:pPr>
        <w:spacing w:after="240" w:before="240" w:line="360" w:lineRule="auto"/>
        <w:rPr/>
      </w:pPr>
      <w:r w:rsidDel="00000000" w:rsidR="00000000" w:rsidRPr="00000000">
        <w:rPr>
          <w:rtl w:val="0"/>
        </w:rPr>
        <w:t xml:space="preserve">Jones, A. (2020). </w:t>
      </w:r>
      <w:r w:rsidDel="00000000" w:rsidR="00000000" w:rsidRPr="00000000">
        <w:rPr>
          <w:i w:val="1"/>
          <w:rtl w:val="0"/>
        </w:rPr>
        <w:t xml:space="preserve">Neurodiversity in music performance: Challenges and solutions.</w:t>
      </w:r>
      <w:r w:rsidDel="00000000" w:rsidR="00000000" w:rsidRPr="00000000">
        <w:rPr>
          <w:rtl w:val="0"/>
        </w:rPr>
        <w:t xml:space="preserve"> New York: Palgrave Macmillan.</w:t>
      </w:r>
    </w:p>
    <w:p w:rsidR="00000000" w:rsidDel="00000000" w:rsidP="00000000" w:rsidRDefault="00000000" w:rsidRPr="00000000" w14:paraId="00000113">
      <w:pPr>
        <w:spacing w:after="240" w:before="240" w:line="360" w:lineRule="auto"/>
        <w:rPr/>
      </w:pPr>
      <w:r w:rsidDel="00000000" w:rsidR="00000000" w:rsidRPr="00000000">
        <w:rPr>
          <w:rtl w:val="0"/>
        </w:rPr>
        <w:t xml:space="preserve">Kabat-Zinn, J. (2003). Mindfulness-based interventions in context: Past, present, and future. </w:t>
      </w:r>
      <w:r w:rsidDel="00000000" w:rsidR="00000000" w:rsidRPr="00000000">
        <w:rPr>
          <w:i w:val="1"/>
          <w:rtl w:val="0"/>
        </w:rPr>
        <w:t xml:space="preserve">Clinical Psychology: Science and Practice, 10</w:t>
      </w:r>
      <w:r w:rsidDel="00000000" w:rsidR="00000000" w:rsidRPr="00000000">
        <w:rPr>
          <w:rtl w:val="0"/>
        </w:rPr>
        <w:t xml:space="preserve">(2), 144–156.</w:t>
      </w:r>
    </w:p>
    <w:p w:rsidR="00000000" w:rsidDel="00000000" w:rsidP="00000000" w:rsidRDefault="00000000" w:rsidRPr="00000000" w14:paraId="00000114">
      <w:pPr>
        <w:spacing w:after="240" w:before="240" w:line="360" w:lineRule="auto"/>
        <w:rPr/>
      </w:pPr>
      <w:r w:rsidDel="00000000" w:rsidR="00000000" w:rsidRPr="00000000">
        <w:rPr>
          <w:rtl w:val="0"/>
        </w:rPr>
        <w:t xml:space="preserve">Kenny, D.T. (2011). </w:t>
      </w:r>
      <w:r w:rsidDel="00000000" w:rsidR="00000000" w:rsidRPr="00000000">
        <w:rPr>
          <w:i w:val="1"/>
          <w:rtl w:val="0"/>
        </w:rPr>
        <w:t xml:space="preserve">The psychology of music performance anxiety.</w:t>
      </w:r>
      <w:r w:rsidDel="00000000" w:rsidR="00000000" w:rsidRPr="00000000">
        <w:rPr>
          <w:rtl w:val="0"/>
        </w:rPr>
        <w:t xml:space="preserve"> Oxford: Oxford University Press.</w:t>
      </w:r>
    </w:p>
    <w:p w:rsidR="00000000" w:rsidDel="00000000" w:rsidP="00000000" w:rsidRDefault="00000000" w:rsidRPr="00000000" w14:paraId="00000115">
      <w:pPr>
        <w:spacing w:after="240" w:before="240" w:line="360" w:lineRule="auto"/>
        <w:rPr/>
      </w:pPr>
      <w:r w:rsidDel="00000000" w:rsidR="00000000" w:rsidRPr="00000000">
        <w:rPr>
          <w:rtl w:val="0"/>
        </w:rPr>
        <w:t xml:space="preserve">Lincoln, Y.S., &amp; Guba, E.G. (1985). </w:t>
      </w:r>
      <w:r w:rsidDel="00000000" w:rsidR="00000000" w:rsidRPr="00000000">
        <w:rPr>
          <w:i w:val="1"/>
          <w:rtl w:val="0"/>
        </w:rPr>
        <w:t xml:space="preserve">Naturalistic inquiry.</w:t>
      </w:r>
      <w:r w:rsidDel="00000000" w:rsidR="00000000" w:rsidRPr="00000000">
        <w:rPr>
          <w:rtl w:val="0"/>
        </w:rPr>
        <w:t xml:space="preserve"> London: SAGE Publications.</w:t>
      </w:r>
    </w:p>
    <w:p w:rsidR="00000000" w:rsidDel="00000000" w:rsidP="00000000" w:rsidRDefault="00000000" w:rsidRPr="00000000" w14:paraId="00000116">
      <w:pPr>
        <w:spacing w:after="240" w:before="240" w:line="360" w:lineRule="auto"/>
        <w:rPr/>
      </w:pPr>
      <w:r w:rsidDel="00000000" w:rsidR="00000000" w:rsidRPr="00000000">
        <w:rPr>
          <w:rtl w:val="0"/>
        </w:rPr>
        <w:t xml:space="preserve">Liu, X., &amp; Gao, T. (2024). Digital literacy—A new perspective on studying digital interventions for mental health issues. </w:t>
      </w:r>
      <w:r w:rsidDel="00000000" w:rsidR="00000000" w:rsidRPr="00000000">
        <w:rPr>
          <w:i w:val="1"/>
          <w:rtl w:val="0"/>
        </w:rPr>
        <w:t xml:space="preserve">Journal of Affective Disorders, 15</w:t>
      </w:r>
      <w:r w:rsidDel="00000000" w:rsidR="00000000" w:rsidRPr="00000000">
        <w:rPr>
          <w:rtl w:val="0"/>
        </w:rPr>
        <w:t xml:space="preserve">(4), 34–49.</w:t>
      </w:r>
    </w:p>
    <w:p w:rsidR="00000000" w:rsidDel="00000000" w:rsidP="00000000" w:rsidRDefault="00000000" w:rsidRPr="00000000" w14:paraId="00000117">
      <w:pPr>
        <w:spacing w:after="240" w:before="240" w:line="360" w:lineRule="auto"/>
        <w:rPr/>
      </w:pPr>
      <w:r w:rsidDel="00000000" w:rsidR="00000000" w:rsidRPr="00000000">
        <w:rPr>
          <w:rtl w:val="0"/>
        </w:rPr>
        <w:t xml:space="preserve">Maseko, N.D. (2024). Ethical frameworks in research involving neurodiverse students. </w:t>
      </w:r>
      <w:r w:rsidDel="00000000" w:rsidR="00000000" w:rsidRPr="00000000">
        <w:rPr>
          <w:i w:val="1"/>
          <w:rtl w:val="0"/>
        </w:rPr>
        <w:t xml:space="preserve">International Journal of Humanity Studies, 12</w:t>
      </w:r>
      <w:r w:rsidDel="00000000" w:rsidR="00000000" w:rsidRPr="00000000">
        <w:rPr>
          <w:rtl w:val="0"/>
        </w:rPr>
        <w:t xml:space="preserve">(2), 123–139.</w:t>
      </w:r>
    </w:p>
    <w:p w:rsidR="00000000" w:rsidDel="00000000" w:rsidP="00000000" w:rsidRDefault="00000000" w:rsidRPr="00000000" w14:paraId="00000118">
      <w:pPr>
        <w:spacing w:after="240" w:before="240" w:line="360" w:lineRule="auto"/>
        <w:rPr/>
      </w:pPr>
      <w:r w:rsidDel="00000000" w:rsidR="00000000" w:rsidRPr="00000000">
        <w:rPr>
          <w:rtl w:val="0"/>
        </w:rPr>
        <w:t xml:space="preserve">Mercer, J. (2007). The challenges of insider research in educational institutions: Wielding a double-edged sword. </w:t>
      </w:r>
      <w:r w:rsidDel="00000000" w:rsidR="00000000" w:rsidRPr="00000000">
        <w:rPr>
          <w:i w:val="1"/>
          <w:rtl w:val="0"/>
        </w:rPr>
        <w:t xml:space="preserve">Oxford Review of Education, 33</w:t>
      </w:r>
      <w:r w:rsidDel="00000000" w:rsidR="00000000" w:rsidRPr="00000000">
        <w:rPr>
          <w:rtl w:val="0"/>
        </w:rPr>
        <w:t xml:space="preserve">(1), 1–17.</w:t>
      </w:r>
    </w:p>
    <w:p w:rsidR="00000000" w:rsidDel="00000000" w:rsidP="00000000" w:rsidRDefault="00000000" w:rsidRPr="00000000" w14:paraId="00000119">
      <w:pPr>
        <w:spacing w:after="240" w:before="240" w:line="360" w:lineRule="auto"/>
        <w:rPr/>
      </w:pPr>
      <w:r w:rsidDel="00000000" w:rsidR="00000000" w:rsidRPr="00000000">
        <w:rPr>
          <w:rtl w:val="0"/>
        </w:rPr>
        <w:t xml:space="preserve">Meyer, A., Rose, D.H., &amp; Gordon, D. (2014). </w:t>
      </w:r>
      <w:r w:rsidDel="00000000" w:rsidR="00000000" w:rsidRPr="00000000">
        <w:rPr>
          <w:i w:val="1"/>
          <w:rtl w:val="0"/>
        </w:rPr>
        <w:t xml:space="preserve">Universal design for learning: Theory and practice.</w:t>
      </w:r>
      <w:r w:rsidDel="00000000" w:rsidR="00000000" w:rsidRPr="00000000">
        <w:rPr>
          <w:rtl w:val="0"/>
        </w:rPr>
        <w:t xml:space="preserve"> Wakefield, MA: CAST.</w:t>
      </w:r>
    </w:p>
    <w:p w:rsidR="00000000" w:rsidDel="00000000" w:rsidP="00000000" w:rsidRDefault="00000000" w:rsidRPr="00000000" w14:paraId="0000011A">
      <w:pPr>
        <w:spacing w:after="240" w:before="240" w:line="360" w:lineRule="auto"/>
        <w:rPr>
          <w:sz w:val="24"/>
          <w:szCs w:val="24"/>
        </w:rPr>
      </w:pPr>
      <w:r w:rsidDel="00000000" w:rsidR="00000000" w:rsidRPr="00000000">
        <w:rPr>
          <w:rtl w:val="0"/>
        </w:rPr>
        <w:t xml:space="preserve">Moxness, A., 2023. </w:t>
      </w:r>
      <w:r w:rsidDel="00000000" w:rsidR="00000000" w:rsidRPr="00000000">
        <w:rPr>
          <w:i w:val="1"/>
          <w:rtl w:val="0"/>
        </w:rPr>
        <w:t xml:space="preserve">Universal Design for Voice Teaching: Including Singers with Autistic Ways of Being in the Studio Through Neurodiversity-Affirming Vocal Pedagogy</w:t>
      </w:r>
      <w:r w:rsidDel="00000000" w:rsidR="00000000" w:rsidRPr="00000000">
        <w:rPr>
          <w:rtl w:val="0"/>
        </w:rPr>
        <w:t xml:space="preserve"> (Master's thesis, Boston Conservatory at Berklee).</w:t>
      </w:r>
      <w:r w:rsidDel="00000000" w:rsidR="00000000" w:rsidRPr="00000000">
        <w:rPr>
          <w:rtl w:val="0"/>
        </w:rPr>
      </w:r>
    </w:p>
    <w:p w:rsidR="00000000" w:rsidDel="00000000" w:rsidP="00000000" w:rsidRDefault="00000000" w:rsidRPr="00000000" w14:paraId="0000011B">
      <w:pPr>
        <w:spacing w:after="240" w:before="240" w:line="360" w:lineRule="auto"/>
        <w:rPr>
          <w:b w:val="1"/>
        </w:rPr>
      </w:pPr>
      <w:r w:rsidDel="00000000" w:rsidR="00000000" w:rsidRPr="00000000">
        <w:rPr>
          <w:rtl w:val="0"/>
        </w:rPr>
        <w:t xml:space="preserve">Musicians’ Union. (n.d.). </w:t>
      </w:r>
      <w:r w:rsidDel="00000000" w:rsidR="00000000" w:rsidRPr="00000000">
        <w:rPr>
          <w:i w:val="1"/>
          <w:rtl w:val="0"/>
        </w:rPr>
        <w:t xml:space="preserve">Neurodiversity in music teaching: Guidelines for educators.</w:t>
      </w:r>
      <w:r w:rsidDel="00000000" w:rsidR="00000000" w:rsidRPr="00000000">
        <w:rPr>
          <w:rtl w:val="0"/>
        </w:rPr>
        <w:t xml:space="preserve"> Retrieved January 12, 2025, from</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https://musiciansunion.org.uk</w:t>
        </w:r>
      </w:hyperlink>
      <w:r w:rsidDel="00000000" w:rsidR="00000000" w:rsidRPr="00000000">
        <w:rPr>
          <w:rtl w:val="0"/>
        </w:rPr>
      </w:r>
    </w:p>
    <w:p w:rsidR="00000000" w:rsidDel="00000000" w:rsidP="00000000" w:rsidRDefault="00000000" w:rsidRPr="00000000" w14:paraId="0000011C">
      <w:pPr>
        <w:spacing w:after="240" w:before="240" w:line="360" w:lineRule="auto"/>
        <w:rPr/>
      </w:pPr>
      <w:r w:rsidDel="00000000" w:rsidR="00000000" w:rsidRPr="00000000">
        <w:rPr>
          <w:rtl w:val="0"/>
        </w:rPr>
        <w:t xml:space="preserve">Nederhof, A.J., 1985. Methods of coping with social desirability bias: A review. </w:t>
      </w:r>
      <w:r w:rsidDel="00000000" w:rsidR="00000000" w:rsidRPr="00000000">
        <w:rPr>
          <w:i w:val="1"/>
          <w:rtl w:val="0"/>
        </w:rPr>
        <w:t xml:space="preserve">European journal of social psychology</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(3), pp.263-280.</w:t>
      </w:r>
    </w:p>
    <w:p w:rsidR="00000000" w:rsidDel="00000000" w:rsidP="00000000" w:rsidRDefault="00000000" w:rsidRPr="00000000" w14:paraId="0000011D">
      <w:pPr>
        <w:spacing w:after="240" w:before="240" w:line="360" w:lineRule="auto"/>
        <w:rPr/>
      </w:pPr>
      <w:r w:rsidDel="00000000" w:rsidR="00000000" w:rsidRPr="00000000">
        <w:rPr>
          <w:rtl w:val="0"/>
        </w:rPr>
        <w:t xml:space="preserve">Piscalkiene, V., Navickiene, L., Liepinaitiene, A., Jankauskaite, S., Bartusiene, D., Lamsodiene, E., Gaiziunaite, R., Valalyte, V., Jotautis, V., Vaitkiene, R. and Spudyte, I., 2024. </w:t>
      </w:r>
      <w:r w:rsidDel="00000000" w:rsidR="00000000" w:rsidRPr="00000000">
        <w:rPr>
          <w:i w:val="1"/>
          <w:rtl w:val="0"/>
        </w:rPr>
        <w:t xml:space="preserve">Link Between Students’ Neurodiversity and Learning Difficulties</w:t>
      </w:r>
      <w:r w:rsidDel="00000000" w:rsidR="00000000" w:rsidRPr="00000000">
        <w:rPr>
          <w:rtl w:val="0"/>
        </w:rPr>
        <w:t xml:space="preserve"> (No. 12529). EasyChair.</w:t>
      </w:r>
      <w:r w:rsidDel="00000000" w:rsidR="00000000" w:rsidRPr="00000000">
        <w:rPr>
          <w:rtl w:val="0"/>
        </w:rPr>
      </w:r>
    </w:p>
    <w:p w:rsidR="00000000" w:rsidDel="00000000" w:rsidP="00000000" w:rsidRDefault="00000000" w:rsidRPr="00000000" w14:paraId="0000011E">
      <w:pPr>
        <w:spacing w:after="240" w:before="240" w:line="360" w:lineRule="auto"/>
        <w:rPr/>
      </w:pPr>
      <w:r w:rsidDel="00000000" w:rsidR="00000000" w:rsidRPr="00000000">
        <w:rPr>
          <w:rtl w:val="0"/>
        </w:rPr>
        <w:t xml:space="preserve">Podsakoff, P.M., MacKenzie, S.B., &amp; Podsakoff, N.P. (2003). Common method biases in behavioral research: A critical review of the literature and recommended remedies. </w:t>
      </w:r>
      <w:r w:rsidDel="00000000" w:rsidR="00000000" w:rsidRPr="00000000">
        <w:rPr>
          <w:i w:val="1"/>
          <w:rtl w:val="0"/>
        </w:rPr>
        <w:t xml:space="preserve">Journal of Applied Psychology, 88</w:t>
      </w:r>
      <w:r w:rsidDel="00000000" w:rsidR="00000000" w:rsidRPr="00000000">
        <w:rPr>
          <w:rtl w:val="0"/>
        </w:rPr>
        <w:t xml:space="preserve">(5), 879–903.</w:t>
      </w:r>
    </w:p>
    <w:p w:rsidR="00000000" w:rsidDel="00000000" w:rsidP="00000000" w:rsidRDefault="00000000" w:rsidRPr="00000000" w14:paraId="0000011F">
      <w:pPr>
        <w:spacing w:after="240" w:before="240" w:line="360" w:lineRule="auto"/>
        <w:rPr>
          <w:color w:val="1155cc"/>
          <w:u w:val="single"/>
        </w:rPr>
      </w:pPr>
      <w:r w:rsidDel="00000000" w:rsidR="00000000" w:rsidRPr="00000000">
        <w:rPr>
          <w:rtl w:val="0"/>
        </w:rPr>
        <w:t xml:space="preserve">Positive Psychology. (2020). </w:t>
      </w:r>
      <w:r w:rsidDel="00000000" w:rsidR="00000000" w:rsidRPr="00000000">
        <w:rPr>
          <w:i w:val="1"/>
          <w:rtl w:val="0"/>
        </w:rPr>
        <w:t xml:space="preserve">Cognitive restructuring worksheet.</w:t>
      </w:r>
      <w:r w:rsidDel="00000000" w:rsidR="00000000" w:rsidRPr="00000000">
        <w:rPr>
          <w:rtl w:val="0"/>
        </w:rPr>
        <w:t xml:space="preserve"> Retrieved January 4, 2025, from</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https://positive.b-cdn.net/wp-content/uploads/2020/09/Cognitive-Restructuring-Worksheet.pdf</w:t>
        </w:r>
      </w:hyperlink>
      <w:r w:rsidDel="00000000" w:rsidR="00000000" w:rsidRPr="00000000">
        <w:rPr>
          <w:rtl w:val="0"/>
        </w:rPr>
      </w:r>
    </w:p>
    <w:p w:rsidR="00000000" w:rsidDel="00000000" w:rsidP="00000000" w:rsidRDefault="00000000" w:rsidRPr="00000000" w14:paraId="00000120">
      <w:pPr>
        <w:spacing w:after="240" w:before="240" w:line="360" w:lineRule="auto"/>
        <w:rPr/>
      </w:pPr>
      <w:r w:rsidDel="00000000" w:rsidR="00000000" w:rsidRPr="00000000">
        <w:rPr>
          <w:rtl w:val="0"/>
        </w:rPr>
        <w:t xml:space="preserve">Smith, J., &amp; Johnson, K. (2020)</w:t>
      </w:r>
      <w:r w:rsidDel="00000000" w:rsidR="00000000" w:rsidRPr="00000000">
        <w:rPr>
          <w:b w:val="1"/>
          <w:rtl w:val="0"/>
        </w:rPr>
        <w:t xml:space="preserve">.</w:t>
      </w:r>
      <w:r w:rsidDel="00000000" w:rsidR="00000000" w:rsidRPr="00000000">
        <w:rPr>
          <w:rtl w:val="0"/>
        </w:rPr>
        <w:t xml:space="preserve"> The Impact of Social Media on Children's Mental Health: A Quantitative Analysis. </w:t>
      </w:r>
      <w:r w:rsidDel="00000000" w:rsidR="00000000" w:rsidRPr="00000000">
        <w:rPr>
          <w:i w:val="1"/>
          <w:rtl w:val="0"/>
        </w:rPr>
        <w:t xml:space="preserve">Journal of Child Psychology</w:t>
      </w:r>
      <w:r w:rsidDel="00000000" w:rsidR="00000000" w:rsidRPr="00000000">
        <w:rPr>
          <w:rtl w:val="0"/>
        </w:rPr>
        <w:t xml:space="preserve">, 45(2), 123-145.</w:t>
      </w:r>
    </w:p>
    <w:p w:rsidR="00000000" w:rsidDel="00000000" w:rsidP="00000000" w:rsidRDefault="00000000" w:rsidRPr="00000000" w14:paraId="00000121">
      <w:pPr>
        <w:spacing w:after="240" w:before="240" w:line="360" w:lineRule="auto"/>
        <w:rPr>
          <w:sz w:val="24"/>
          <w:szCs w:val="24"/>
        </w:rPr>
      </w:pPr>
      <w:r w:rsidDel="00000000" w:rsidR="00000000" w:rsidRPr="00000000">
        <w:rPr>
          <w:rtl w:val="0"/>
        </w:rPr>
        <w:t xml:space="preserve">Steiner, E.L., 2024. </w:t>
      </w:r>
      <w:r w:rsidDel="00000000" w:rsidR="00000000" w:rsidRPr="00000000">
        <w:rPr>
          <w:i w:val="1"/>
          <w:rtl w:val="0"/>
        </w:rPr>
        <w:t xml:space="preserve">Neurodivergences in the Voice Studio: A Teachers Guide to Best Practices Concerning Dyslexia, Attention Deficit Hyperactivity-Impulsivity Disorder, and Autism Spectrum Condition</w:t>
      </w:r>
      <w:r w:rsidDel="00000000" w:rsidR="00000000" w:rsidRPr="00000000">
        <w:rPr>
          <w:rtl w:val="0"/>
        </w:rPr>
        <w:t xml:space="preserve"> (Doctoral dissertation).</w:t>
      </w:r>
      <w:r w:rsidDel="00000000" w:rsidR="00000000" w:rsidRPr="00000000">
        <w:rPr>
          <w:rtl w:val="0"/>
        </w:rPr>
      </w:r>
    </w:p>
    <w:p w:rsidR="00000000" w:rsidDel="00000000" w:rsidP="00000000" w:rsidRDefault="00000000" w:rsidRPr="00000000" w14:paraId="00000122">
      <w:pPr>
        <w:spacing w:after="240" w:before="240" w:line="360" w:lineRule="auto"/>
        <w:rPr>
          <w:sz w:val="24"/>
          <w:szCs w:val="24"/>
        </w:rPr>
      </w:pPr>
      <w:r w:rsidDel="00000000" w:rsidR="00000000" w:rsidRPr="00000000">
        <w:rPr>
          <w:color w:val="222222"/>
          <w:rtl w:val="0"/>
        </w:rPr>
        <w:t xml:space="preserve">Vasquez, A.M., 2022. Perspectives, strategies, and propositions for cultivating inclusive educational environments: Teaching for neurodiversity and creative learning. In </w:t>
      </w:r>
      <w:r w:rsidDel="00000000" w:rsidR="00000000" w:rsidRPr="00000000">
        <w:rPr>
          <w:i w:val="1"/>
          <w:color w:val="222222"/>
          <w:rtl w:val="0"/>
        </w:rPr>
        <w:t xml:space="preserve">Handbook of Research on Challenging Deficit Thinking for Exceptional Education Improvement</w:t>
      </w:r>
      <w:r w:rsidDel="00000000" w:rsidR="00000000" w:rsidRPr="00000000">
        <w:rPr>
          <w:color w:val="222222"/>
          <w:rtl w:val="0"/>
        </w:rPr>
        <w:t xml:space="preserve"> (pp. 144-178). IGI Global.</w:t>
      </w:r>
      <w:r w:rsidDel="00000000" w:rsidR="00000000" w:rsidRPr="00000000">
        <w:rPr>
          <w:rtl w:val="0"/>
        </w:rPr>
      </w:r>
    </w:p>
    <w:p w:rsidR="00000000" w:rsidDel="00000000" w:rsidP="00000000" w:rsidRDefault="00000000" w:rsidRPr="00000000" w14:paraId="00000123">
      <w:pPr>
        <w:spacing w:after="240" w:before="240" w:line="360" w:lineRule="auto"/>
        <w:rPr/>
      </w:pPr>
      <w:r w:rsidDel="00000000" w:rsidR="00000000" w:rsidRPr="00000000">
        <w:rPr>
          <w:rtl w:val="0"/>
        </w:rPr>
        <w:t xml:space="preserve">Vincent, J. (2017). </w:t>
      </w:r>
      <w:r w:rsidDel="00000000" w:rsidR="00000000" w:rsidRPr="00000000">
        <w:rPr>
          <w:i w:val="1"/>
          <w:rtl w:val="0"/>
        </w:rPr>
        <w:t xml:space="preserve">Being and becoming: Transition from higher education for emerging adults on the autism spectrum.</w:t>
      </w:r>
      <w:r w:rsidDel="00000000" w:rsidR="00000000" w:rsidRPr="00000000">
        <w:rPr>
          <w:rtl w:val="0"/>
        </w:rPr>
        <w:t xml:space="preserve"> (Doctoral dissertation, Lancaster University).</w:t>
      </w:r>
    </w:p>
    <w:p w:rsidR="00000000" w:rsidDel="00000000" w:rsidP="00000000" w:rsidRDefault="00000000" w:rsidRPr="00000000" w14:paraId="00000124">
      <w:pPr>
        <w:spacing w:after="240" w:before="240" w:line="360" w:lineRule="auto"/>
        <w:rPr>
          <w:sz w:val="24"/>
          <w:szCs w:val="24"/>
        </w:rPr>
      </w:pPr>
      <w:r w:rsidDel="00000000" w:rsidR="00000000" w:rsidRPr="00000000">
        <w:rPr>
          <w:rtl w:val="0"/>
        </w:rPr>
        <w:t xml:space="preserve">Volkmar, R.F. and Jackson, L.J.S., 2020. Core dimensions of autism spectrum disorders. </w:t>
      </w:r>
      <w:r w:rsidDel="00000000" w:rsidR="00000000" w:rsidRPr="00000000">
        <w:rPr>
          <w:i w:val="1"/>
          <w:rtl w:val="0"/>
        </w:rPr>
        <w:t xml:space="preserve">New Oxford Textbook of Psychiatry</w:t>
      </w:r>
      <w:r w:rsidDel="00000000" w:rsidR="00000000" w:rsidRPr="00000000">
        <w:rPr>
          <w:rtl w:val="0"/>
        </w:rPr>
        <w:t xml:space="preserve">, pp.239-245.</w:t>
      </w:r>
      <w:r w:rsidDel="00000000" w:rsidR="00000000" w:rsidRPr="00000000">
        <w:rPr>
          <w:rtl w:val="0"/>
        </w:rPr>
      </w:r>
    </w:p>
    <w:p w:rsidR="00000000" w:rsidDel="00000000" w:rsidP="00000000" w:rsidRDefault="00000000" w:rsidRPr="00000000" w14:paraId="00000125">
      <w:pPr>
        <w:spacing w:after="240" w:before="240" w:line="360" w:lineRule="auto"/>
        <w:rPr/>
      </w:pPr>
      <w:r w:rsidDel="00000000" w:rsidR="00000000" w:rsidRPr="00000000">
        <w:rPr>
          <w:rtl w:val="0"/>
        </w:rPr>
        <w:t xml:space="preserve">Wilde, E.M. (2019). </w:t>
      </w:r>
      <w:r w:rsidDel="00000000" w:rsidR="00000000" w:rsidRPr="00000000">
        <w:rPr>
          <w:i w:val="1"/>
          <w:rtl w:val="0"/>
        </w:rPr>
        <w:t xml:space="preserve">The role of music education in supporting children with SEND.</w:t>
      </w:r>
      <w:r w:rsidDel="00000000" w:rsidR="00000000" w:rsidRPr="00000000">
        <w:rPr>
          <w:rtl w:val="0"/>
        </w:rPr>
        <w:t xml:space="preserve"> (Doctoral dissertation, University College London).</w:t>
      </w:r>
    </w:p>
    <w:p w:rsidR="00000000" w:rsidDel="00000000" w:rsidP="00000000" w:rsidRDefault="00000000" w:rsidRPr="00000000" w14:paraId="00000126">
      <w:pPr>
        <w:spacing w:after="240" w:before="240" w:line="360" w:lineRule="auto"/>
        <w:rPr/>
      </w:pPr>
      <w:r w:rsidDel="00000000" w:rsidR="00000000" w:rsidRPr="00000000">
        <w:rPr>
          <w:rtl w:val="0"/>
        </w:rPr>
      </w:r>
    </w:p>
    <w:p w:rsidR="00000000" w:rsidDel="00000000" w:rsidP="00000000" w:rsidRDefault="00000000" w:rsidRPr="00000000" w14:paraId="00000127">
      <w:pPr>
        <w:pStyle w:val="Heading1"/>
        <w:spacing w:after="200" w:lineRule="auto"/>
        <w:rPr>
          <w:b w:val="1"/>
        </w:rPr>
      </w:pPr>
      <w:bookmarkStart w:colFirst="0" w:colLast="0" w:name="_mxo3e3y9spdg" w:id="63"/>
      <w:bookmarkEnd w:id="63"/>
      <w:r w:rsidDel="00000000" w:rsidR="00000000" w:rsidRPr="00000000">
        <w:rPr>
          <w:rtl w:val="0"/>
        </w:rPr>
        <w:t xml:space="preserve">Appendices</w:t>
      </w:r>
      <w:r w:rsidDel="00000000" w:rsidR="00000000" w:rsidRPr="00000000">
        <w:rPr>
          <w:b w:val="1"/>
        </w:rPr>
        <w:drawing>
          <wp:inline distB="114300" distT="114300" distL="114300" distR="114300">
            <wp:extent cx="5531827" cy="6548438"/>
            <wp:effectExtent b="0" l="0" r="0" t="0"/>
            <wp:docPr id="43" name="image39.jpg"/>
            <a:graphic>
              <a:graphicData uri="http://schemas.openxmlformats.org/drawingml/2006/picture">
                <pic:pic>
                  <pic:nvPicPr>
                    <pic:cNvPr id="0" name="image39.jpg"/>
                    <pic:cNvPicPr preferRelativeResize="0"/>
                  </pic:nvPicPr>
                  <pic:blipFill>
                    <a:blip r:embed="rId17"/>
                    <a:srcRect b="10019" l="0" r="0" t="8456"/>
                    <a:stretch>
                      <a:fillRect/>
                    </a:stretch>
                  </pic:blipFill>
                  <pic:spPr>
                    <a:xfrm>
                      <a:off x="0" y="0"/>
                      <a:ext cx="5531827" cy="6548438"/>
                    </a:xfrm>
                    <a:prstGeom prst="rect"/>
                    <a:ln/>
                  </pic:spPr>
                </pic:pic>
              </a:graphicData>
            </a:graphic>
          </wp:inline>
        </w:drawing>
      </w:r>
      <w:r w:rsidDel="00000000" w:rsidR="00000000" w:rsidRPr="00000000">
        <w:rPr>
          <w:b w:val="1"/>
        </w:rPr>
        <w:drawing>
          <wp:inline distB="114300" distT="114300" distL="114300" distR="114300">
            <wp:extent cx="5734050" cy="6753225"/>
            <wp:effectExtent b="0" l="0" r="0" t="0"/>
            <wp:docPr id="18" name="image21.jpg"/>
            <a:graphic>
              <a:graphicData uri="http://schemas.openxmlformats.org/drawingml/2006/picture">
                <pic:pic>
                  <pic:nvPicPr>
                    <pic:cNvPr id="0" name="image21.jpg"/>
                    <pic:cNvPicPr preferRelativeResize="0"/>
                  </pic:nvPicPr>
                  <pic:blipFill>
                    <a:blip r:embed="rId18"/>
                    <a:srcRect b="8695" l="0" r="0" t="7990"/>
                    <a:stretch>
                      <a:fillRect/>
                    </a:stretch>
                  </pic:blipFill>
                  <pic:spPr>
                    <a:xfrm>
                      <a:off x="0" y="0"/>
                      <a:ext cx="5734050" cy="6753225"/>
                    </a:xfrm>
                    <a:prstGeom prst="rect"/>
                    <a:ln/>
                  </pic:spPr>
                </pic:pic>
              </a:graphicData>
            </a:graphic>
          </wp:inline>
        </w:drawing>
      </w:r>
      <w:r w:rsidDel="00000000" w:rsidR="00000000" w:rsidRPr="00000000">
        <w:rPr>
          <w:b w:val="1"/>
        </w:rPr>
        <w:drawing>
          <wp:inline distB="114300" distT="114300" distL="114300" distR="114300">
            <wp:extent cx="5734050" cy="3552825"/>
            <wp:effectExtent b="0" l="0" r="0" t="0"/>
            <wp:docPr id="22" name="image6.jpg"/>
            <a:graphic>
              <a:graphicData uri="http://schemas.openxmlformats.org/drawingml/2006/picture">
                <pic:pic>
                  <pic:nvPicPr>
                    <pic:cNvPr id="0" name="image6.jpg"/>
                    <pic:cNvPicPr preferRelativeResize="0"/>
                  </pic:nvPicPr>
                  <pic:blipFill>
                    <a:blip r:embed="rId19"/>
                    <a:srcRect b="48531" l="0" r="0" t="7638"/>
                    <a:stretch>
                      <a:fillRect/>
                    </a:stretch>
                  </pic:blipFill>
                  <pic:spPr>
                    <a:xfrm>
                      <a:off x="0" y="0"/>
                      <a:ext cx="5734050" cy="3552825"/>
                    </a:xfrm>
                    <a:prstGeom prst="rect"/>
                    <a:ln/>
                  </pic:spPr>
                </pic:pic>
              </a:graphicData>
            </a:graphic>
          </wp:inline>
        </w:drawing>
      </w:r>
      <w:r w:rsidDel="00000000" w:rsidR="00000000" w:rsidRPr="00000000">
        <w:rPr>
          <w:rtl w:val="0"/>
        </w:rPr>
      </w:r>
    </w:p>
    <w:p w:rsidR="00000000" w:rsidDel="00000000" w:rsidP="00000000" w:rsidRDefault="00000000" w:rsidRPr="00000000" w14:paraId="00000128">
      <w:pPr>
        <w:spacing w:after="200" w:lineRule="auto"/>
        <w:rPr>
          <w:b w:val="1"/>
        </w:rPr>
      </w:pPr>
      <w:r w:rsidDel="00000000" w:rsidR="00000000" w:rsidRPr="00000000">
        <w:rPr>
          <w:rtl w:val="0"/>
        </w:rPr>
      </w:r>
    </w:p>
    <w:p w:rsidR="00000000" w:rsidDel="00000000" w:rsidP="00000000" w:rsidRDefault="00000000" w:rsidRPr="00000000" w14:paraId="00000129">
      <w:pPr>
        <w:spacing w:after="200" w:lineRule="auto"/>
        <w:rPr>
          <w:b w:val="1"/>
        </w:rPr>
      </w:pPr>
      <w:r w:rsidDel="00000000" w:rsidR="00000000" w:rsidRPr="00000000">
        <w:rPr>
          <w:rtl w:val="0"/>
        </w:rPr>
      </w:r>
    </w:p>
    <w:p w:rsidR="00000000" w:rsidDel="00000000" w:rsidP="00000000" w:rsidRDefault="00000000" w:rsidRPr="00000000" w14:paraId="0000012A">
      <w:pPr>
        <w:spacing w:after="200" w:lineRule="auto"/>
        <w:rPr>
          <w:b w:val="1"/>
        </w:rPr>
      </w:pPr>
      <w:r w:rsidDel="00000000" w:rsidR="00000000" w:rsidRPr="00000000">
        <w:rPr>
          <w:b w:val="1"/>
        </w:rPr>
        <w:drawing>
          <wp:inline distB="114300" distT="114300" distL="114300" distR="114300">
            <wp:extent cx="4872038" cy="4076700"/>
            <wp:effectExtent b="0" l="0" r="0" t="0"/>
            <wp:docPr id="29" name="image28.jpg"/>
            <a:graphic>
              <a:graphicData uri="http://schemas.openxmlformats.org/drawingml/2006/picture">
                <pic:pic>
                  <pic:nvPicPr>
                    <pic:cNvPr id="0" name="image28.jpg"/>
                    <pic:cNvPicPr preferRelativeResize="0"/>
                  </pic:nvPicPr>
                  <pic:blipFill>
                    <a:blip r:embed="rId20"/>
                    <a:srcRect b="20564" l="0" r="0" t="9753"/>
                    <a:stretch>
                      <a:fillRect/>
                    </a:stretch>
                  </pic:blipFill>
                  <pic:spPr>
                    <a:xfrm>
                      <a:off x="0" y="0"/>
                      <a:ext cx="4872038" cy="4076700"/>
                    </a:xfrm>
                    <a:prstGeom prst="rect"/>
                    <a:ln/>
                  </pic:spPr>
                </pic:pic>
              </a:graphicData>
            </a:graphic>
          </wp:inline>
        </w:drawing>
      </w:r>
      <w:r w:rsidDel="00000000" w:rsidR="00000000" w:rsidRPr="00000000">
        <w:rPr>
          <w:b w:val="1"/>
        </w:rPr>
        <w:drawing>
          <wp:inline distB="114300" distT="114300" distL="114300" distR="114300">
            <wp:extent cx="4881563" cy="4591050"/>
            <wp:effectExtent b="0" l="0" r="0" t="0"/>
            <wp:docPr id="12" name="image12.jpg"/>
            <a:graphic>
              <a:graphicData uri="http://schemas.openxmlformats.org/drawingml/2006/picture">
                <pic:pic>
                  <pic:nvPicPr>
                    <pic:cNvPr id="0" name="image12.jpg"/>
                    <pic:cNvPicPr preferRelativeResize="0"/>
                  </pic:nvPicPr>
                  <pic:blipFill>
                    <a:blip r:embed="rId21"/>
                    <a:srcRect b="13160" l="0" r="0" t="8225"/>
                    <a:stretch>
                      <a:fillRect/>
                    </a:stretch>
                  </pic:blipFill>
                  <pic:spPr>
                    <a:xfrm>
                      <a:off x="0" y="0"/>
                      <a:ext cx="4881563" cy="4591050"/>
                    </a:xfrm>
                    <a:prstGeom prst="rect"/>
                    <a:ln/>
                  </pic:spPr>
                </pic:pic>
              </a:graphicData>
            </a:graphic>
          </wp:inline>
        </w:drawing>
      </w:r>
      <w:r w:rsidDel="00000000" w:rsidR="00000000" w:rsidRPr="00000000">
        <w:rPr>
          <w:rtl w:val="0"/>
        </w:rPr>
      </w:r>
    </w:p>
    <w:p w:rsidR="00000000" w:rsidDel="00000000" w:rsidP="00000000" w:rsidRDefault="00000000" w:rsidRPr="00000000" w14:paraId="0000012B">
      <w:pPr>
        <w:spacing w:after="200" w:lineRule="auto"/>
        <w:rPr>
          <w:b w:val="1"/>
        </w:rPr>
      </w:pPr>
      <w:r w:rsidDel="00000000" w:rsidR="00000000" w:rsidRPr="00000000">
        <w:rPr>
          <w:b w:val="1"/>
        </w:rPr>
        <w:drawing>
          <wp:inline distB="114300" distT="114300" distL="114300" distR="114300">
            <wp:extent cx="5153755" cy="6043613"/>
            <wp:effectExtent b="0" l="0" r="0" t="0"/>
            <wp:docPr id="2" name="image19.jpg"/>
            <a:graphic>
              <a:graphicData uri="http://schemas.openxmlformats.org/drawingml/2006/picture">
                <pic:pic>
                  <pic:nvPicPr>
                    <pic:cNvPr id="0" name="image19.jpg"/>
                    <pic:cNvPicPr preferRelativeResize="0"/>
                  </pic:nvPicPr>
                  <pic:blipFill>
                    <a:blip r:embed="rId22"/>
                    <a:srcRect b="9283" l="0" r="0" t="7755"/>
                    <a:stretch>
                      <a:fillRect/>
                    </a:stretch>
                  </pic:blipFill>
                  <pic:spPr>
                    <a:xfrm>
                      <a:off x="0" y="0"/>
                      <a:ext cx="5153755" cy="6043613"/>
                    </a:xfrm>
                    <a:prstGeom prst="rect"/>
                    <a:ln/>
                  </pic:spPr>
                </pic:pic>
              </a:graphicData>
            </a:graphic>
          </wp:inline>
        </w:drawing>
      </w:r>
      <w:r w:rsidDel="00000000" w:rsidR="00000000" w:rsidRPr="00000000">
        <w:rPr>
          <w:rtl w:val="0"/>
        </w:rPr>
      </w:r>
    </w:p>
    <w:p w:rsidR="00000000" w:rsidDel="00000000" w:rsidP="00000000" w:rsidRDefault="00000000" w:rsidRPr="00000000" w14:paraId="0000012C">
      <w:pPr>
        <w:spacing w:after="200" w:lineRule="auto"/>
        <w:rPr>
          <w:b w:val="1"/>
        </w:rPr>
      </w:pPr>
      <w:r w:rsidDel="00000000" w:rsidR="00000000" w:rsidRPr="00000000">
        <w:rPr>
          <w:b w:val="1"/>
        </w:rPr>
        <w:drawing>
          <wp:inline distB="114300" distT="114300" distL="114300" distR="114300">
            <wp:extent cx="5081588" cy="2225016"/>
            <wp:effectExtent b="0" l="0" r="0" t="0"/>
            <wp:docPr id="38" name="image27.jpg"/>
            <a:graphic>
              <a:graphicData uri="http://schemas.openxmlformats.org/drawingml/2006/picture">
                <pic:pic>
                  <pic:nvPicPr>
                    <pic:cNvPr id="0" name="image27.jpg"/>
                    <pic:cNvPicPr preferRelativeResize="0"/>
                  </pic:nvPicPr>
                  <pic:blipFill>
                    <a:blip r:embed="rId23"/>
                    <a:srcRect b="59576" l="0" r="0" t="9400"/>
                    <a:stretch>
                      <a:fillRect/>
                    </a:stretch>
                  </pic:blipFill>
                  <pic:spPr>
                    <a:xfrm>
                      <a:off x="0" y="0"/>
                      <a:ext cx="5081588" cy="2225016"/>
                    </a:xfrm>
                    <a:prstGeom prst="rect"/>
                    <a:ln/>
                  </pic:spPr>
                </pic:pic>
              </a:graphicData>
            </a:graphic>
          </wp:inline>
        </w:drawing>
      </w:r>
      <w:r w:rsidDel="00000000" w:rsidR="00000000" w:rsidRPr="00000000">
        <w:rPr>
          <w:rtl w:val="0"/>
        </w:rPr>
      </w:r>
    </w:p>
    <w:p w:rsidR="00000000" w:rsidDel="00000000" w:rsidP="00000000" w:rsidRDefault="00000000" w:rsidRPr="00000000" w14:paraId="0000012D">
      <w:pPr>
        <w:spacing w:after="200" w:lineRule="auto"/>
        <w:rPr>
          <w:b w:val="1"/>
        </w:rPr>
      </w:pPr>
      <w:r w:rsidDel="00000000" w:rsidR="00000000" w:rsidRPr="00000000">
        <w:rPr>
          <w:rtl w:val="0"/>
        </w:rPr>
      </w:r>
    </w:p>
    <w:p w:rsidR="00000000" w:rsidDel="00000000" w:rsidP="00000000" w:rsidRDefault="00000000" w:rsidRPr="00000000" w14:paraId="0000012E">
      <w:pPr>
        <w:spacing w:after="200" w:lineRule="auto"/>
        <w:rPr>
          <w:b w:val="1"/>
        </w:rPr>
      </w:pPr>
      <w:r w:rsidDel="00000000" w:rsidR="00000000" w:rsidRPr="00000000">
        <w:rPr>
          <w:b w:val="1"/>
        </w:rPr>
        <w:drawing>
          <wp:inline distB="114300" distT="114300" distL="114300" distR="114300">
            <wp:extent cx="5734050" cy="6705600"/>
            <wp:effectExtent b="0" l="0" r="0" t="0"/>
            <wp:docPr id="25" name="image26.jpg"/>
            <a:graphic>
              <a:graphicData uri="http://schemas.openxmlformats.org/drawingml/2006/picture">
                <pic:pic>
                  <pic:nvPicPr>
                    <pic:cNvPr id="0" name="image26.jpg"/>
                    <pic:cNvPicPr preferRelativeResize="0"/>
                  </pic:nvPicPr>
                  <pic:blipFill>
                    <a:blip r:embed="rId24"/>
                    <a:srcRect b="9283" l="0" r="0" t="7990"/>
                    <a:stretch>
                      <a:fillRect/>
                    </a:stretch>
                  </pic:blipFill>
                  <pic:spPr>
                    <a:xfrm>
                      <a:off x="0" y="0"/>
                      <a:ext cx="5734050" cy="6705600"/>
                    </a:xfrm>
                    <a:prstGeom prst="rect"/>
                    <a:ln/>
                  </pic:spPr>
                </pic:pic>
              </a:graphicData>
            </a:graphic>
          </wp:inline>
        </w:drawing>
      </w:r>
      <w:r w:rsidDel="00000000" w:rsidR="00000000" w:rsidRPr="00000000">
        <w:rPr>
          <w:b w:val="1"/>
        </w:rPr>
        <w:drawing>
          <wp:inline distB="114300" distT="114300" distL="114300" distR="114300">
            <wp:extent cx="5734050" cy="6581775"/>
            <wp:effectExtent b="0" l="0" r="0" t="0"/>
            <wp:docPr id="41" name="image36.jpg"/>
            <a:graphic>
              <a:graphicData uri="http://schemas.openxmlformats.org/drawingml/2006/picture">
                <pic:pic>
                  <pic:nvPicPr>
                    <pic:cNvPr id="0" name="image36.jpg"/>
                    <pic:cNvPicPr preferRelativeResize="0"/>
                  </pic:nvPicPr>
                  <pic:blipFill>
                    <a:blip r:embed="rId25"/>
                    <a:srcRect b="9283" l="0" r="0" t="9518"/>
                    <a:stretch>
                      <a:fillRect/>
                    </a:stretch>
                  </pic:blipFill>
                  <pic:spPr>
                    <a:xfrm>
                      <a:off x="0" y="0"/>
                      <a:ext cx="5734050" cy="6581775"/>
                    </a:xfrm>
                    <a:prstGeom prst="rect"/>
                    <a:ln/>
                  </pic:spPr>
                </pic:pic>
              </a:graphicData>
            </a:graphic>
          </wp:inline>
        </w:drawing>
      </w:r>
      <w:r w:rsidDel="00000000" w:rsidR="00000000" w:rsidRPr="00000000">
        <w:rPr>
          <w:b w:val="1"/>
        </w:rPr>
        <w:drawing>
          <wp:inline distB="114300" distT="114300" distL="114300" distR="114300">
            <wp:extent cx="5734050" cy="6686550"/>
            <wp:effectExtent b="0" l="0" r="0" t="0"/>
            <wp:docPr id="33" name="image31.jpg"/>
            <a:graphic>
              <a:graphicData uri="http://schemas.openxmlformats.org/drawingml/2006/picture">
                <pic:pic>
                  <pic:nvPicPr>
                    <pic:cNvPr id="0" name="image31.jpg"/>
                    <pic:cNvPicPr preferRelativeResize="0"/>
                  </pic:nvPicPr>
                  <pic:blipFill>
                    <a:blip r:embed="rId26"/>
                    <a:srcRect b="9518" l="0" r="0" t="7990"/>
                    <a:stretch>
                      <a:fillRect/>
                    </a:stretch>
                  </pic:blipFill>
                  <pic:spPr>
                    <a:xfrm>
                      <a:off x="0" y="0"/>
                      <a:ext cx="5734050" cy="6686550"/>
                    </a:xfrm>
                    <a:prstGeom prst="rect"/>
                    <a:ln/>
                  </pic:spPr>
                </pic:pic>
              </a:graphicData>
            </a:graphic>
          </wp:inline>
        </w:drawing>
      </w:r>
      <w:r w:rsidDel="00000000" w:rsidR="00000000" w:rsidRPr="00000000">
        <w:rPr>
          <w:b w:val="1"/>
        </w:rPr>
        <w:drawing>
          <wp:inline distB="114300" distT="114300" distL="114300" distR="114300">
            <wp:extent cx="5734050" cy="6334125"/>
            <wp:effectExtent b="0" l="0" r="0" t="0"/>
            <wp:docPr id="36" name="image33.jpg"/>
            <a:graphic>
              <a:graphicData uri="http://schemas.openxmlformats.org/drawingml/2006/picture">
                <pic:pic>
                  <pic:nvPicPr>
                    <pic:cNvPr id="0" name="image33.jpg"/>
                    <pic:cNvPicPr preferRelativeResize="0"/>
                  </pic:nvPicPr>
                  <pic:blipFill>
                    <a:blip r:embed="rId27"/>
                    <a:srcRect b="13866" l="0" r="0" t="7990"/>
                    <a:stretch>
                      <a:fillRect/>
                    </a:stretch>
                  </pic:blipFill>
                  <pic:spPr>
                    <a:xfrm>
                      <a:off x="0" y="0"/>
                      <a:ext cx="5734050" cy="6334125"/>
                    </a:xfrm>
                    <a:prstGeom prst="rect"/>
                    <a:ln/>
                  </pic:spPr>
                </pic:pic>
              </a:graphicData>
            </a:graphic>
          </wp:inline>
        </w:drawing>
      </w:r>
      <w:r w:rsidDel="00000000" w:rsidR="00000000" w:rsidRPr="00000000">
        <w:rPr>
          <w:b w:val="1"/>
        </w:rPr>
        <w:drawing>
          <wp:inline distB="114300" distT="114300" distL="114300" distR="114300">
            <wp:extent cx="5734050" cy="3390900"/>
            <wp:effectExtent b="0" l="0" r="0" t="0"/>
            <wp:docPr id="23" name="image24.jpg"/>
            <a:graphic>
              <a:graphicData uri="http://schemas.openxmlformats.org/drawingml/2006/picture">
                <pic:pic>
                  <pic:nvPicPr>
                    <pic:cNvPr id="0" name="image24.jpg"/>
                    <pic:cNvPicPr preferRelativeResize="0"/>
                  </pic:nvPicPr>
                  <pic:blipFill>
                    <a:blip r:embed="rId28"/>
                    <a:srcRect b="49941" l="0" r="0" t="8225"/>
                    <a:stretch>
                      <a:fillRect/>
                    </a:stretch>
                  </pic:blipFill>
                  <pic:spPr>
                    <a:xfrm>
                      <a:off x="0" y="0"/>
                      <a:ext cx="5734050"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12F">
      <w:pPr>
        <w:spacing w:after="200" w:lineRule="auto"/>
        <w:rPr>
          <w:b w:val="1"/>
        </w:rPr>
      </w:pPr>
      <w:r w:rsidDel="00000000" w:rsidR="00000000" w:rsidRPr="00000000">
        <w:rPr>
          <w:b w:val="1"/>
        </w:rPr>
        <w:drawing>
          <wp:inline distB="114300" distT="114300" distL="114300" distR="114300">
            <wp:extent cx="5734050" cy="6696075"/>
            <wp:effectExtent b="0" l="0" r="0" t="0"/>
            <wp:docPr id="31" name="image35.jpg"/>
            <a:graphic>
              <a:graphicData uri="http://schemas.openxmlformats.org/drawingml/2006/picture">
                <pic:pic>
                  <pic:nvPicPr>
                    <pic:cNvPr id="0" name="image35.jpg"/>
                    <pic:cNvPicPr preferRelativeResize="0"/>
                  </pic:nvPicPr>
                  <pic:blipFill>
                    <a:blip r:embed="rId29"/>
                    <a:srcRect b="9165" l="0" r="0" t="8225"/>
                    <a:stretch>
                      <a:fillRect/>
                    </a:stretch>
                  </pic:blipFill>
                  <pic:spPr>
                    <a:xfrm>
                      <a:off x="0" y="0"/>
                      <a:ext cx="5734050" cy="6696075"/>
                    </a:xfrm>
                    <a:prstGeom prst="rect"/>
                    <a:ln/>
                  </pic:spPr>
                </pic:pic>
              </a:graphicData>
            </a:graphic>
          </wp:inline>
        </w:drawing>
      </w:r>
      <w:r w:rsidDel="00000000" w:rsidR="00000000" w:rsidRPr="00000000">
        <w:rPr>
          <w:b w:val="1"/>
        </w:rPr>
        <w:drawing>
          <wp:inline distB="114300" distT="114300" distL="114300" distR="114300">
            <wp:extent cx="5734050" cy="6800850"/>
            <wp:effectExtent b="0" l="0" r="0" t="0"/>
            <wp:docPr id="9" name="image17.jpg"/>
            <a:graphic>
              <a:graphicData uri="http://schemas.openxmlformats.org/drawingml/2006/picture">
                <pic:pic>
                  <pic:nvPicPr>
                    <pic:cNvPr id="0" name="image17.jpg"/>
                    <pic:cNvPicPr preferRelativeResize="0"/>
                  </pic:nvPicPr>
                  <pic:blipFill>
                    <a:blip r:embed="rId30"/>
                    <a:srcRect b="8225" l="0" r="0" t="7873"/>
                    <a:stretch>
                      <a:fillRect/>
                    </a:stretch>
                  </pic:blipFill>
                  <pic:spPr>
                    <a:xfrm>
                      <a:off x="0" y="0"/>
                      <a:ext cx="5734050" cy="6800850"/>
                    </a:xfrm>
                    <a:prstGeom prst="rect"/>
                    <a:ln/>
                  </pic:spPr>
                </pic:pic>
              </a:graphicData>
            </a:graphic>
          </wp:inline>
        </w:drawing>
      </w:r>
      <w:r w:rsidDel="00000000" w:rsidR="00000000" w:rsidRPr="00000000">
        <w:rPr>
          <w:b w:val="1"/>
        </w:rPr>
        <w:drawing>
          <wp:inline distB="114300" distT="114300" distL="114300" distR="114300">
            <wp:extent cx="5734050" cy="6791325"/>
            <wp:effectExtent b="0" l="0" r="0" t="0"/>
            <wp:docPr id="30" name="image38.jpg"/>
            <a:graphic>
              <a:graphicData uri="http://schemas.openxmlformats.org/drawingml/2006/picture">
                <pic:pic>
                  <pic:nvPicPr>
                    <pic:cNvPr id="0" name="image38.jpg"/>
                    <pic:cNvPicPr preferRelativeResize="0"/>
                  </pic:nvPicPr>
                  <pic:blipFill>
                    <a:blip r:embed="rId31"/>
                    <a:srcRect b="8695" l="0" r="0" t="7520"/>
                    <a:stretch>
                      <a:fillRect/>
                    </a:stretch>
                  </pic:blipFill>
                  <pic:spPr>
                    <a:xfrm>
                      <a:off x="0" y="0"/>
                      <a:ext cx="5734050" cy="6791325"/>
                    </a:xfrm>
                    <a:prstGeom prst="rect"/>
                    <a:ln/>
                  </pic:spPr>
                </pic:pic>
              </a:graphicData>
            </a:graphic>
          </wp:inline>
        </w:drawing>
      </w:r>
      <w:r w:rsidDel="00000000" w:rsidR="00000000" w:rsidRPr="00000000">
        <w:rPr>
          <w:b w:val="1"/>
        </w:rPr>
        <w:drawing>
          <wp:inline distB="114300" distT="114300" distL="114300" distR="114300">
            <wp:extent cx="5734050" cy="6610350"/>
            <wp:effectExtent b="0" l="0" r="0" t="0"/>
            <wp:docPr id="11" name="image13.jpg"/>
            <a:graphic>
              <a:graphicData uri="http://schemas.openxmlformats.org/drawingml/2006/picture">
                <pic:pic>
                  <pic:nvPicPr>
                    <pic:cNvPr id="0" name="image13.jpg"/>
                    <pic:cNvPicPr preferRelativeResize="0"/>
                  </pic:nvPicPr>
                  <pic:blipFill>
                    <a:blip r:embed="rId32"/>
                    <a:srcRect b="10340" l="0" r="0" t="8108"/>
                    <a:stretch>
                      <a:fillRect/>
                    </a:stretch>
                  </pic:blipFill>
                  <pic:spPr>
                    <a:xfrm>
                      <a:off x="0" y="0"/>
                      <a:ext cx="5734050" cy="6610350"/>
                    </a:xfrm>
                    <a:prstGeom prst="rect"/>
                    <a:ln/>
                  </pic:spPr>
                </pic:pic>
              </a:graphicData>
            </a:graphic>
          </wp:inline>
        </w:drawing>
      </w:r>
      <w:r w:rsidDel="00000000" w:rsidR="00000000" w:rsidRPr="00000000">
        <w:rPr>
          <w:b w:val="1"/>
        </w:rPr>
        <w:drawing>
          <wp:inline distB="114300" distT="114300" distL="114300" distR="114300">
            <wp:extent cx="5734050" cy="1285875"/>
            <wp:effectExtent b="0" l="0" r="0" t="0"/>
            <wp:docPr id="28" name="image25.jpg"/>
            <a:graphic>
              <a:graphicData uri="http://schemas.openxmlformats.org/drawingml/2006/picture">
                <pic:pic>
                  <pic:nvPicPr>
                    <pic:cNvPr id="0" name="image25.jpg"/>
                    <pic:cNvPicPr preferRelativeResize="0"/>
                  </pic:nvPicPr>
                  <pic:blipFill>
                    <a:blip r:embed="rId33"/>
                    <a:srcRect b="76498" l="0" r="0" t="7638"/>
                    <a:stretch>
                      <a:fillRect/>
                    </a:stretch>
                  </pic:blipFill>
                  <pic:spPr>
                    <a:xfrm>
                      <a:off x="0" y="0"/>
                      <a:ext cx="5734050" cy="1285875"/>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spacing w:after="200" w:lineRule="auto"/>
        <w:rPr>
          <w:b w:val="1"/>
        </w:rPr>
      </w:pPr>
      <w:r w:rsidDel="00000000" w:rsidR="00000000" w:rsidRPr="00000000">
        <w:rPr>
          <w:b w:val="1"/>
        </w:rPr>
        <w:drawing>
          <wp:inline distB="114300" distT="114300" distL="114300" distR="114300">
            <wp:extent cx="5734050" cy="6705600"/>
            <wp:effectExtent b="0" l="0" r="0" t="0"/>
            <wp:docPr id="14" name="image5.jpg"/>
            <a:graphic>
              <a:graphicData uri="http://schemas.openxmlformats.org/drawingml/2006/picture">
                <pic:pic>
                  <pic:nvPicPr>
                    <pic:cNvPr id="0" name="image5.jpg"/>
                    <pic:cNvPicPr preferRelativeResize="0"/>
                  </pic:nvPicPr>
                  <pic:blipFill>
                    <a:blip r:embed="rId34"/>
                    <a:srcRect b="9165" l="0" r="0" t="8108"/>
                    <a:stretch>
                      <a:fillRect/>
                    </a:stretch>
                  </pic:blipFill>
                  <pic:spPr>
                    <a:xfrm>
                      <a:off x="0" y="0"/>
                      <a:ext cx="5734050" cy="6705600"/>
                    </a:xfrm>
                    <a:prstGeom prst="rect"/>
                    <a:ln/>
                  </pic:spPr>
                </pic:pic>
              </a:graphicData>
            </a:graphic>
          </wp:inline>
        </w:drawing>
      </w:r>
      <w:r w:rsidDel="00000000" w:rsidR="00000000" w:rsidRPr="00000000">
        <w:rPr>
          <w:b w:val="1"/>
        </w:rPr>
        <w:drawing>
          <wp:inline distB="114300" distT="114300" distL="114300" distR="114300">
            <wp:extent cx="5734050" cy="6610350"/>
            <wp:effectExtent b="0" l="0" r="0" t="0"/>
            <wp:docPr id="7" name="image16.jpg"/>
            <a:graphic>
              <a:graphicData uri="http://schemas.openxmlformats.org/drawingml/2006/picture">
                <pic:pic>
                  <pic:nvPicPr>
                    <pic:cNvPr id="0" name="image16.jpg"/>
                    <pic:cNvPicPr preferRelativeResize="0"/>
                  </pic:nvPicPr>
                  <pic:blipFill>
                    <a:blip r:embed="rId35"/>
                    <a:srcRect b="10340" l="0" r="0" t="8108"/>
                    <a:stretch>
                      <a:fillRect/>
                    </a:stretch>
                  </pic:blipFill>
                  <pic:spPr>
                    <a:xfrm>
                      <a:off x="0" y="0"/>
                      <a:ext cx="5734050" cy="6610350"/>
                    </a:xfrm>
                    <a:prstGeom prst="rect"/>
                    <a:ln/>
                  </pic:spPr>
                </pic:pic>
              </a:graphicData>
            </a:graphic>
          </wp:inline>
        </w:drawing>
      </w:r>
      <w:r w:rsidDel="00000000" w:rsidR="00000000" w:rsidRPr="00000000">
        <w:rPr>
          <w:b w:val="1"/>
        </w:rPr>
        <w:drawing>
          <wp:inline distB="114300" distT="114300" distL="114300" distR="114300">
            <wp:extent cx="5734050" cy="6477000"/>
            <wp:effectExtent b="0" l="0" r="0" t="0"/>
            <wp:docPr id="16" name="image8.jpg"/>
            <a:graphic>
              <a:graphicData uri="http://schemas.openxmlformats.org/drawingml/2006/picture">
                <pic:pic>
                  <pic:nvPicPr>
                    <pic:cNvPr id="0" name="image8.jpg"/>
                    <pic:cNvPicPr preferRelativeResize="0"/>
                  </pic:nvPicPr>
                  <pic:blipFill>
                    <a:blip r:embed="rId36"/>
                    <a:srcRect b="12103" l="0" r="0" t="7990"/>
                    <a:stretch>
                      <a:fillRect/>
                    </a:stretch>
                  </pic:blipFill>
                  <pic:spPr>
                    <a:xfrm>
                      <a:off x="0" y="0"/>
                      <a:ext cx="5734050" cy="6477000"/>
                    </a:xfrm>
                    <a:prstGeom prst="rect"/>
                    <a:ln/>
                  </pic:spPr>
                </pic:pic>
              </a:graphicData>
            </a:graphic>
          </wp:inline>
        </w:drawing>
      </w:r>
      <w:r w:rsidDel="00000000" w:rsidR="00000000" w:rsidRPr="00000000">
        <w:rPr>
          <w:b w:val="1"/>
        </w:rPr>
        <w:drawing>
          <wp:inline distB="114300" distT="114300" distL="114300" distR="114300">
            <wp:extent cx="5734050" cy="6324600"/>
            <wp:effectExtent b="0" l="0" r="0" t="0"/>
            <wp:docPr id="37" name="image29.jpg"/>
            <a:graphic>
              <a:graphicData uri="http://schemas.openxmlformats.org/drawingml/2006/picture">
                <pic:pic>
                  <pic:nvPicPr>
                    <pic:cNvPr id="0" name="image29.jpg"/>
                    <pic:cNvPicPr preferRelativeResize="0"/>
                  </pic:nvPicPr>
                  <pic:blipFill>
                    <a:blip r:embed="rId37"/>
                    <a:srcRect b="13866" l="0" r="0" t="8108"/>
                    <a:stretch>
                      <a:fillRect/>
                    </a:stretch>
                  </pic:blipFill>
                  <pic:spPr>
                    <a:xfrm>
                      <a:off x="0" y="0"/>
                      <a:ext cx="5734050" cy="6324600"/>
                    </a:xfrm>
                    <a:prstGeom prst="rect"/>
                    <a:ln/>
                  </pic:spPr>
                </pic:pic>
              </a:graphicData>
            </a:graphic>
          </wp:inline>
        </w:drawing>
      </w:r>
      <w:r w:rsidDel="00000000" w:rsidR="00000000" w:rsidRPr="00000000">
        <w:rPr>
          <w:b w:val="1"/>
        </w:rPr>
        <w:drawing>
          <wp:inline distB="114300" distT="114300" distL="114300" distR="114300">
            <wp:extent cx="5734050" cy="4848225"/>
            <wp:effectExtent b="0" l="0" r="0" t="0"/>
            <wp:docPr id="34" name="image34.jpg"/>
            <a:graphic>
              <a:graphicData uri="http://schemas.openxmlformats.org/drawingml/2006/picture">
                <pic:pic>
                  <pic:nvPicPr>
                    <pic:cNvPr id="0" name="image34.jpg"/>
                    <pic:cNvPicPr preferRelativeResize="0"/>
                  </pic:nvPicPr>
                  <pic:blipFill>
                    <a:blip r:embed="rId38"/>
                    <a:srcRect b="32432" l="0" r="0" t="7755"/>
                    <a:stretch>
                      <a:fillRect/>
                    </a:stretch>
                  </pic:blipFill>
                  <pic:spPr>
                    <a:xfrm>
                      <a:off x="0" y="0"/>
                      <a:ext cx="5734050" cy="4848225"/>
                    </a:xfrm>
                    <a:prstGeom prst="rect"/>
                    <a:ln/>
                  </pic:spPr>
                </pic:pic>
              </a:graphicData>
            </a:graphic>
          </wp:inline>
        </w:drawing>
      </w:r>
      <w:r w:rsidDel="00000000" w:rsidR="00000000" w:rsidRPr="00000000">
        <w:rPr>
          <w:rtl w:val="0"/>
        </w:rPr>
      </w:r>
    </w:p>
    <w:p w:rsidR="00000000" w:rsidDel="00000000" w:rsidP="00000000" w:rsidRDefault="00000000" w:rsidRPr="00000000" w14:paraId="00000131">
      <w:pPr>
        <w:spacing w:after="200" w:lineRule="auto"/>
        <w:rPr>
          <w:b w:val="1"/>
        </w:rPr>
      </w:pPr>
      <w:r w:rsidDel="00000000" w:rsidR="00000000" w:rsidRPr="00000000">
        <w:rPr>
          <w:b w:val="1"/>
        </w:rPr>
        <w:drawing>
          <wp:inline distB="114300" distT="114300" distL="114300" distR="114300">
            <wp:extent cx="5731200" cy="8102600"/>
            <wp:effectExtent b="0" l="0" r="0" t="0"/>
            <wp:docPr id="45" name="image43.jpg"/>
            <a:graphic>
              <a:graphicData uri="http://schemas.openxmlformats.org/drawingml/2006/picture">
                <pic:pic>
                  <pic:nvPicPr>
                    <pic:cNvPr id="0" name="image43.jpg"/>
                    <pic:cNvPicPr preferRelativeResize="0"/>
                  </pic:nvPicPr>
                  <pic:blipFill>
                    <a:blip r:embed="rId39"/>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1" name="image7.jpg"/>
            <a:graphic>
              <a:graphicData uri="http://schemas.openxmlformats.org/drawingml/2006/picture">
                <pic:pic>
                  <pic:nvPicPr>
                    <pic:cNvPr id="0" name="image7.jpg"/>
                    <pic:cNvPicPr preferRelativeResize="0"/>
                  </pic:nvPicPr>
                  <pic:blipFill>
                    <a:blip r:embed="rId40"/>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4" name="image4.jpg"/>
            <a:graphic>
              <a:graphicData uri="http://schemas.openxmlformats.org/drawingml/2006/picture">
                <pic:pic>
                  <pic:nvPicPr>
                    <pic:cNvPr id="0" name="image4.jpg"/>
                    <pic:cNvPicPr preferRelativeResize="0"/>
                  </pic:nvPicPr>
                  <pic:blipFill>
                    <a:blip r:embed="rId41"/>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32" name="image41.jpg"/>
            <a:graphic>
              <a:graphicData uri="http://schemas.openxmlformats.org/drawingml/2006/picture">
                <pic:pic>
                  <pic:nvPicPr>
                    <pic:cNvPr id="0" name="image41.jpg"/>
                    <pic:cNvPicPr preferRelativeResize="0"/>
                  </pic:nvPicPr>
                  <pic:blipFill>
                    <a:blip r:embed="rId42"/>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24" name="image40.jpg"/>
            <a:graphic>
              <a:graphicData uri="http://schemas.openxmlformats.org/drawingml/2006/picture">
                <pic:pic>
                  <pic:nvPicPr>
                    <pic:cNvPr id="0" name="image40.jpg"/>
                    <pic:cNvPicPr preferRelativeResize="0"/>
                  </pic:nvPicPr>
                  <pic:blipFill>
                    <a:blip r:embed="rId43"/>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17" name="image10.jpg"/>
            <a:graphic>
              <a:graphicData uri="http://schemas.openxmlformats.org/drawingml/2006/picture">
                <pic:pic>
                  <pic:nvPicPr>
                    <pic:cNvPr id="0" name="image10.jpg"/>
                    <pic:cNvPicPr preferRelativeResize="0"/>
                  </pic:nvPicPr>
                  <pic:blipFill>
                    <a:blip r:embed="rId44"/>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35" name="image30.jpg"/>
            <a:graphic>
              <a:graphicData uri="http://schemas.openxmlformats.org/drawingml/2006/picture">
                <pic:pic>
                  <pic:nvPicPr>
                    <pic:cNvPr id="0" name="image30.jpg"/>
                    <pic:cNvPicPr preferRelativeResize="0"/>
                  </pic:nvPicPr>
                  <pic:blipFill>
                    <a:blip r:embed="rId45"/>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15" name="image14.jpg"/>
            <a:graphic>
              <a:graphicData uri="http://schemas.openxmlformats.org/drawingml/2006/picture">
                <pic:pic>
                  <pic:nvPicPr>
                    <pic:cNvPr id="0" name="image14.jpg"/>
                    <pic:cNvPicPr preferRelativeResize="0"/>
                  </pic:nvPicPr>
                  <pic:blipFill>
                    <a:blip r:embed="rId46"/>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19" name="image9.jpg"/>
            <a:graphic>
              <a:graphicData uri="http://schemas.openxmlformats.org/drawingml/2006/picture">
                <pic:pic>
                  <pic:nvPicPr>
                    <pic:cNvPr id="0" name="image9.jpg"/>
                    <pic:cNvPicPr preferRelativeResize="0"/>
                  </pic:nvPicPr>
                  <pic:blipFill>
                    <a:blip r:embed="rId47"/>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20" name="image20.jpg"/>
            <a:graphic>
              <a:graphicData uri="http://schemas.openxmlformats.org/drawingml/2006/picture">
                <pic:pic>
                  <pic:nvPicPr>
                    <pic:cNvPr id="0" name="image20.jpg"/>
                    <pic:cNvPicPr preferRelativeResize="0"/>
                  </pic:nvPicPr>
                  <pic:blipFill>
                    <a:blip r:embed="rId48"/>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39" name="image37.jpg"/>
            <a:graphic>
              <a:graphicData uri="http://schemas.openxmlformats.org/drawingml/2006/picture">
                <pic:pic>
                  <pic:nvPicPr>
                    <pic:cNvPr id="0" name="image37.jpg"/>
                    <pic:cNvPicPr preferRelativeResize="0"/>
                  </pic:nvPicPr>
                  <pic:blipFill>
                    <a:blip r:embed="rId49"/>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6" name="image11.jpg"/>
            <a:graphic>
              <a:graphicData uri="http://schemas.openxmlformats.org/drawingml/2006/picture">
                <pic:pic>
                  <pic:nvPicPr>
                    <pic:cNvPr id="0" name="image11.jpg"/>
                    <pic:cNvPicPr preferRelativeResize="0"/>
                  </pic:nvPicPr>
                  <pic:blipFill>
                    <a:blip r:embed="rId50"/>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21" name="image15.jpg"/>
            <a:graphic>
              <a:graphicData uri="http://schemas.openxmlformats.org/drawingml/2006/picture">
                <pic:pic>
                  <pic:nvPicPr>
                    <pic:cNvPr id="0" name="image15.jpg"/>
                    <pic:cNvPicPr preferRelativeResize="0"/>
                  </pic:nvPicPr>
                  <pic:blipFill>
                    <a:blip r:embed="rId51"/>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42" name="image42.jpg"/>
            <a:graphic>
              <a:graphicData uri="http://schemas.openxmlformats.org/drawingml/2006/picture">
                <pic:pic>
                  <pic:nvPicPr>
                    <pic:cNvPr id="0" name="image42.jpg"/>
                    <pic:cNvPicPr preferRelativeResize="0"/>
                  </pic:nvPicPr>
                  <pic:blipFill>
                    <a:blip r:embed="rId52"/>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27" name="image32.jpg"/>
            <a:graphic>
              <a:graphicData uri="http://schemas.openxmlformats.org/drawingml/2006/picture">
                <pic:pic>
                  <pic:nvPicPr>
                    <pic:cNvPr id="0" name="image32.jpg"/>
                    <pic:cNvPicPr preferRelativeResize="0"/>
                  </pic:nvPicPr>
                  <pic:blipFill>
                    <a:blip r:embed="rId53"/>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8" name="image3.jpg"/>
            <a:graphic>
              <a:graphicData uri="http://schemas.openxmlformats.org/drawingml/2006/picture">
                <pic:pic>
                  <pic:nvPicPr>
                    <pic:cNvPr id="0" name="image3.jpg"/>
                    <pic:cNvPicPr preferRelativeResize="0"/>
                  </pic:nvPicPr>
                  <pic:blipFill>
                    <a:blip r:embed="rId54"/>
                    <a:srcRect b="0" l="0" r="0" t="0"/>
                    <a:stretch>
                      <a:fillRect/>
                    </a:stretch>
                  </pic:blipFill>
                  <pic:spPr>
                    <a:xfrm>
                      <a:off x="0" y="0"/>
                      <a:ext cx="5731200" cy="8102600"/>
                    </a:xfrm>
                    <a:prstGeom prst="rect"/>
                    <a:ln/>
                  </pic:spPr>
                </pic:pic>
              </a:graphicData>
            </a:graphic>
          </wp:inline>
        </w:drawing>
      </w:r>
      <w:r w:rsidDel="00000000" w:rsidR="00000000" w:rsidRPr="00000000">
        <w:rPr>
          <w:b w:val="1"/>
        </w:rPr>
        <w:drawing>
          <wp:inline distB="114300" distT="114300" distL="114300" distR="114300">
            <wp:extent cx="5731200" cy="8102600"/>
            <wp:effectExtent b="0" l="0" r="0" t="0"/>
            <wp:docPr id="44" name="image44.jpg"/>
            <a:graphic>
              <a:graphicData uri="http://schemas.openxmlformats.org/drawingml/2006/picture">
                <pic:pic>
                  <pic:nvPicPr>
                    <pic:cNvPr id="0" name="image44.jpg"/>
                    <pic:cNvPicPr preferRelativeResize="0"/>
                  </pic:nvPicPr>
                  <pic:blipFill>
                    <a:blip r:embed="rId55"/>
                    <a:srcRect b="0" l="0" r="0" t="0"/>
                    <a:stretch>
                      <a:fillRect/>
                    </a:stretch>
                  </pic:blipFill>
                  <pic:spPr>
                    <a:xfrm>
                      <a:off x="0" y="0"/>
                      <a:ext cx="5731200" cy="8102600"/>
                    </a:xfrm>
                    <a:prstGeom prst="rect"/>
                    <a:ln/>
                  </pic:spPr>
                </pic:pic>
              </a:graphicData>
            </a:graphic>
          </wp:inline>
        </w:drawing>
      </w:r>
      <w:r w:rsidDel="00000000" w:rsidR="00000000" w:rsidRPr="00000000">
        <w:rPr>
          <w:rtl w:val="0"/>
        </w:rPr>
      </w:r>
    </w:p>
    <w:p w:rsidR="00000000" w:rsidDel="00000000" w:rsidP="00000000" w:rsidRDefault="00000000" w:rsidRPr="00000000" w14:paraId="00000132">
      <w:pPr>
        <w:spacing w:after="200" w:lineRule="auto"/>
        <w:rPr>
          <w:b w:val="1"/>
        </w:rPr>
      </w:pPr>
      <w:r w:rsidDel="00000000" w:rsidR="00000000" w:rsidRPr="00000000">
        <w:rPr>
          <w:rtl w:val="0"/>
        </w:rPr>
      </w:r>
    </w:p>
    <w:p w:rsidR="00000000" w:rsidDel="00000000" w:rsidP="00000000" w:rsidRDefault="00000000" w:rsidRPr="00000000" w14:paraId="00000133">
      <w:pPr>
        <w:spacing w:after="200" w:lineRule="auto"/>
        <w:rPr>
          <w:b w:val="1"/>
        </w:rPr>
      </w:pPr>
      <w:r w:rsidDel="00000000" w:rsidR="00000000" w:rsidRPr="00000000">
        <w:rPr>
          <w:b w:val="1"/>
        </w:rPr>
        <w:drawing>
          <wp:inline distB="114300" distT="114300" distL="114300" distR="114300">
            <wp:extent cx="5731200" cy="3619500"/>
            <wp:effectExtent b="0" l="0" r="0" t="0"/>
            <wp:docPr id="13" name="image2.png"/>
            <a:graphic>
              <a:graphicData uri="http://schemas.openxmlformats.org/drawingml/2006/picture">
                <pic:pic>
                  <pic:nvPicPr>
                    <pic:cNvPr id="0" name="image2.png"/>
                    <pic:cNvPicPr preferRelativeResize="0"/>
                  </pic:nvPicPr>
                  <pic:blipFill>
                    <a:blip r:embed="rId56"/>
                    <a:srcRect b="0" l="0" r="0" t="0"/>
                    <a:stretch>
                      <a:fillRect/>
                    </a:stretch>
                  </pic:blipFill>
                  <pic:spPr>
                    <a:xfrm>
                      <a:off x="0" y="0"/>
                      <a:ext cx="5731200" cy="3619500"/>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280" w:line="360" w:lineRule="auto"/>
    </w:pPr>
    <w:rPr>
      <w:b w:val="1"/>
      <w:sz w:val="24"/>
      <w:szCs w:val="24"/>
    </w:rPr>
  </w:style>
  <w:style w:type="paragraph" w:styleId="Heading2">
    <w:name w:val="heading 2"/>
    <w:basedOn w:val="Normal"/>
    <w:next w:val="Normal"/>
    <w:pPr>
      <w:keepNext w:val="1"/>
      <w:keepLines w:val="1"/>
      <w:spacing w:after="80" w:before="280" w:line="360" w:lineRule="auto"/>
    </w:pPr>
    <w:rPr>
      <w:b w:val="1"/>
    </w:rPr>
  </w:style>
  <w:style w:type="paragraph" w:styleId="Heading3">
    <w:name w:val="heading 3"/>
    <w:basedOn w:val="Normal"/>
    <w:next w:val="Normal"/>
    <w:pPr>
      <w:keepNext w:val="1"/>
      <w:keepLines w:val="1"/>
      <w:spacing w:after="40" w:before="240" w:line="36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spacing w:after="40" w:before="240" w:line="360" w:lineRule="auto"/>
    </w:pPr>
    <w:rPr>
      <w:b w:val="1"/>
    </w:rPr>
  </w:style>
</w:styles>
</file>

<file path=word/_rels/document.xml.rels><?xml version="1.0" encoding="UTF-8" standalone="yes"?><Relationships xmlns="http://schemas.openxmlformats.org/package/2006/relationships"><Relationship Id="rId40" Type="http://schemas.openxmlformats.org/officeDocument/2006/relationships/image" Target="media/image7.jpg"/><Relationship Id="rId42" Type="http://schemas.openxmlformats.org/officeDocument/2006/relationships/image" Target="media/image41.jpg"/><Relationship Id="rId41" Type="http://schemas.openxmlformats.org/officeDocument/2006/relationships/image" Target="media/image4.jpg"/><Relationship Id="rId44" Type="http://schemas.openxmlformats.org/officeDocument/2006/relationships/image" Target="media/image10.jpg"/><Relationship Id="rId43" Type="http://schemas.openxmlformats.org/officeDocument/2006/relationships/image" Target="media/image40.jpg"/><Relationship Id="rId46" Type="http://schemas.openxmlformats.org/officeDocument/2006/relationships/image" Target="media/image14.jpg"/><Relationship Id="rId45" Type="http://schemas.openxmlformats.org/officeDocument/2006/relationships/image" Target="media/image30.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48" Type="http://schemas.openxmlformats.org/officeDocument/2006/relationships/image" Target="media/image20.jpg"/><Relationship Id="rId47" Type="http://schemas.openxmlformats.org/officeDocument/2006/relationships/image" Target="media/image9.jpg"/><Relationship Id="rId49" Type="http://schemas.openxmlformats.org/officeDocument/2006/relationships/image" Target="media/image37.jpg"/><Relationship Id="rId5" Type="http://schemas.openxmlformats.org/officeDocument/2006/relationships/styles" Target="styles.xml"/><Relationship Id="rId6" Type="http://schemas.openxmlformats.org/officeDocument/2006/relationships/image" Target="media/image18.png"/><Relationship Id="rId7" Type="http://schemas.openxmlformats.org/officeDocument/2006/relationships/image" Target="media/image45.png"/><Relationship Id="rId8" Type="http://schemas.openxmlformats.org/officeDocument/2006/relationships/image" Target="media/image23.png"/><Relationship Id="rId31" Type="http://schemas.openxmlformats.org/officeDocument/2006/relationships/image" Target="media/image38.jpg"/><Relationship Id="rId30" Type="http://schemas.openxmlformats.org/officeDocument/2006/relationships/image" Target="media/image17.jpg"/><Relationship Id="rId33" Type="http://schemas.openxmlformats.org/officeDocument/2006/relationships/image" Target="media/image25.jpg"/><Relationship Id="rId32" Type="http://schemas.openxmlformats.org/officeDocument/2006/relationships/image" Target="media/image13.jpg"/><Relationship Id="rId35" Type="http://schemas.openxmlformats.org/officeDocument/2006/relationships/image" Target="media/image16.jpg"/><Relationship Id="rId34" Type="http://schemas.openxmlformats.org/officeDocument/2006/relationships/image" Target="media/image5.jpg"/><Relationship Id="rId37" Type="http://schemas.openxmlformats.org/officeDocument/2006/relationships/image" Target="media/image29.jpg"/><Relationship Id="rId36" Type="http://schemas.openxmlformats.org/officeDocument/2006/relationships/image" Target="media/image8.jpg"/><Relationship Id="rId39" Type="http://schemas.openxmlformats.org/officeDocument/2006/relationships/image" Target="media/image43.jpg"/><Relationship Id="rId38" Type="http://schemas.openxmlformats.org/officeDocument/2006/relationships/image" Target="media/image34.jpg"/><Relationship Id="rId20" Type="http://schemas.openxmlformats.org/officeDocument/2006/relationships/image" Target="media/image28.jpg"/><Relationship Id="rId22" Type="http://schemas.openxmlformats.org/officeDocument/2006/relationships/image" Target="media/image19.jpg"/><Relationship Id="rId21" Type="http://schemas.openxmlformats.org/officeDocument/2006/relationships/image" Target="media/image12.jpg"/><Relationship Id="rId24" Type="http://schemas.openxmlformats.org/officeDocument/2006/relationships/image" Target="media/image26.jpg"/><Relationship Id="rId23" Type="http://schemas.openxmlformats.org/officeDocument/2006/relationships/image" Target="media/image27.jpg"/><Relationship Id="rId26" Type="http://schemas.openxmlformats.org/officeDocument/2006/relationships/image" Target="media/image31.jpg"/><Relationship Id="rId25" Type="http://schemas.openxmlformats.org/officeDocument/2006/relationships/image" Target="media/image36.jpg"/><Relationship Id="rId28" Type="http://schemas.openxmlformats.org/officeDocument/2006/relationships/image" Target="media/image24.jpg"/><Relationship Id="rId27" Type="http://schemas.openxmlformats.org/officeDocument/2006/relationships/image" Target="media/image33.jpg"/><Relationship Id="rId29" Type="http://schemas.openxmlformats.org/officeDocument/2006/relationships/image" Target="media/image35.jpg"/><Relationship Id="rId51" Type="http://schemas.openxmlformats.org/officeDocument/2006/relationships/image" Target="media/image15.jpg"/><Relationship Id="rId50" Type="http://schemas.openxmlformats.org/officeDocument/2006/relationships/image" Target="media/image11.jpg"/><Relationship Id="rId53" Type="http://schemas.openxmlformats.org/officeDocument/2006/relationships/image" Target="media/image32.jpg"/><Relationship Id="rId52" Type="http://schemas.openxmlformats.org/officeDocument/2006/relationships/image" Target="media/image42.jpg"/><Relationship Id="rId11" Type="http://schemas.openxmlformats.org/officeDocument/2006/relationships/hyperlink" Target="https://www.legislation.gov.uk/ukpga/2010/15/contents/enacted" TargetMode="External"/><Relationship Id="rId55" Type="http://schemas.openxmlformats.org/officeDocument/2006/relationships/image" Target="media/image44.jpg"/><Relationship Id="rId10" Type="http://schemas.openxmlformats.org/officeDocument/2006/relationships/image" Target="media/image22.png"/><Relationship Id="rId54" Type="http://schemas.openxmlformats.org/officeDocument/2006/relationships/image" Target="media/image3.jpg"/><Relationship Id="rId13" Type="http://schemas.openxmlformats.org/officeDocument/2006/relationships/hyperlink" Target="https://musiciansunion.org.uk" TargetMode="External"/><Relationship Id="rId12" Type="http://schemas.openxmlformats.org/officeDocument/2006/relationships/hyperlink" Target="https://doi.org/10.1177/03057356221115461" TargetMode="External"/><Relationship Id="rId56" Type="http://schemas.openxmlformats.org/officeDocument/2006/relationships/image" Target="media/image2.png"/><Relationship Id="rId15" Type="http://schemas.openxmlformats.org/officeDocument/2006/relationships/hyperlink" Target="https://positive.b-cdn.net/wp-content/uploads/2020/09/Cognitive-Restructuring-Worksheet.pdf" TargetMode="External"/><Relationship Id="rId14" Type="http://schemas.openxmlformats.org/officeDocument/2006/relationships/hyperlink" Target="https://musiciansunion.org.uk" TargetMode="External"/><Relationship Id="rId17" Type="http://schemas.openxmlformats.org/officeDocument/2006/relationships/image" Target="media/image39.jpg"/><Relationship Id="rId16" Type="http://schemas.openxmlformats.org/officeDocument/2006/relationships/hyperlink" Target="https://positive.b-cdn.net/wp-content/uploads/2020/09/Cognitive-Restructuring-Worksheet.pdf" TargetMode="External"/><Relationship Id="rId19" Type="http://schemas.openxmlformats.org/officeDocument/2006/relationships/image" Target="media/image6.jpg"/><Relationship Id="rId18" Type="http://schemas.openxmlformats.org/officeDocument/2006/relationships/image" Target="media/image2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