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B233C1" w14:textId="77777777" w:rsidR="00504010" w:rsidRPr="00EB3D38" w:rsidRDefault="00504010" w:rsidP="00504010">
      <w:pPr>
        <w:rPr>
          <w:rFonts w:cs="Arial"/>
        </w:rPr>
      </w:pPr>
    </w:p>
    <w:p w14:paraId="1678739E" w14:textId="77777777" w:rsidR="00504010" w:rsidRPr="00EB3D38" w:rsidRDefault="00504010" w:rsidP="00504010">
      <w:pPr>
        <w:rPr>
          <w:rFonts w:cs="Arial"/>
        </w:rPr>
      </w:pPr>
    </w:p>
    <w:p w14:paraId="25F83BA8" w14:textId="77777777" w:rsidR="00504010" w:rsidRPr="00EB3D38" w:rsidRDefault="00504010" w:rsidP="00504010">
      <w:pPr>
        <w:jc w:val="center"/>
        <w:rPr>
          <w:rFonts w:cs="Arial"/>
        </w:rPr>
      </w:pPr>
      <w:r w:rsidRPr="00EB3D38">
        <w:rPr>
          <w:rFonts w:cs="Arial"/>
          <w:b/>
          <w:color w:val="005EB8"/>
          <w:sz w:val="48"/>
        </w:rPr>
        <w:t>COURSEWORK PORTFOLIO</w:t>
      </w:r>
    </w:p>
    <w:p w14:paraId="3F156BE8" w14:textId="77777777" w:rsidR="00504010" w:rsidRPr="00EB3D38" w:rsidRDefault="00504010" w:rsidP="00504010">
      <w:pPr>
        <w:jc w:val="center"/>
        <w:rPr>
          <w:rFonts w:cs="Arial"/>
        </w:rPr>
      </w:pPr>
      <w:r w:rsidRPr="00EB3D38">
        <w:rPr>
          <w:rFonts w:cs="Arial"/>
          <w:b/>
          <w:color w:val="15324A"/>
          <w:sz w:val="32"/>
        </w:rPr>
        <w:t>Task 1: Ambulance Services Poster</w:t>
      </w:r>
      <w:r w:rsidRPr="00EB3D38">
        <w:rPr>
          <w:rFonts w:cs="Arial"/>
          <w:b/>
          <w:color w:val="15324A"/>
          <w:sz w:val="32"/>
        </w:rPr>
        <w:br/>
        <w:t>Task 2: Community Mental Health Services Essay</w:t>
      </w:r>
    </w:p>
    <w:p w14:paraId="33D96EE3" w14:textId="77777777" w:rsidR="00504010" w:rsidRPr="00EB3D38" w:rsidRDefault="00504010" w:rsidP="00504010">
      <w:pPr>
        <w:rPr>
          <w:rFonts w:cs="Arial"/>
        </w:rPr>
      </w:pPr>
    </w:p>
    <w:tbl>
      <w:tblPr>
        <w:tblW w:w="0" w:type="auto"/>
        <w:jc w:val="center"/>
        <w:tblLayout w:type="fixed"/>
        <w:tblLook w:val="04A0" w:firstRow="1" w:lastRow="0" w:firstColumn="1" w:lastColumn="0" w:noHBand="0" w:noVBand="1"/>
      </w:tblPr>
      <w:tblGrid>
        <w:gridCol w:w="3312"/>
        <w:gridCol w:w="5472"/>
      </w:tblGrid>
      <w:tr w:rsidR="00504010" w:rsidRPr="00EB3D38" w14:paraId="65165EAE" w14:textId="77777777" w:rsidTr="00C923E5">
        <w:trPr>
          <w:jc w:val="center"/>
        </w:trPr>
        <w:tc>
          <w:tcPr>
            <w:tcW w:w="3312" w:type="dxa"/>
            <w:tcBorders>
              <w:top w:val="single" w:sz="8" w:space="0" w:color="B8D7EE"/>
              <w:left w:val="single" w:sz="8" w:space="0" w:color="B8D7EE"/>
              <w:bottom w:val="single" w:sz="8" w:space="0" w:color="B8D7EE"/>
              <w:right w:val="single" w:sz="8" w:space="0" w:color="B8D7EE"/>
            </w:tcBorders>
            <w:shd w:val="clear" w:color="auto" w:fill="EAF3FA"/>
            <w:tcMar>
              <w:top w:w="110" w:type="dxa"/>
              <w:left w:w="120" w:type="dxa"/>
              <w:bottom w:w="110" w:type="dxa"/>
              <w:right w:w="120" w:type="dxa"/>
            </w:tcMar>
          </w:tcPr>
          <w:p w14:paraId="377FB882" w14:textId="77777777" w:rsidR="00504010" w:rsidRPr="00EB3D38" w:rsidRDefault="00504010" w:rsidP="00C923E5">
            <w:pPr>
              <w:rPr>
                <w:rFonts w:cs="Arial"/>
              </w:rPr>
            </w:pPr>
            <w:r w:rsidRPr="00EB3D38">
              <w:rPr>
                <w:rFonts w:cs="Arial"/>
                <w:b/>
              </w:rPr>
              <w:t>Student name</w:t>
            </w:r>
          </w:p>
        </w:tc>
        <w:tc>
          <w:tcPr>
            <w:tcW w:w="5472" w:type="dxa"/>
            <w:tcBorders>
              <w:top w:val="single" w:sz="8" w:space="0" w:color="B8D7EE"/>
              <w:left w:val="single" w:sz="8" w:space="0" w:color="B8D7EE"/>
              <w:bottom w:val="single" w:sz="8" w:space="0" w:color="B8D7EE"/>
              <w:right w:val="single" w:sz="8" w:space="0" w:color="B8D7EE"/>
            </w:tcBorders>
            <w:shd w:val="clear" w:color="auto" w:fill="FFFFFF"/>
            <w:tcMar>
              <w:top w:w="110" w:type="dxa"/>
              <w:left w:w="120" w:type="dxa"/>
              <w:bottom w:w="110" w:type="dxa"/>
              <w:right w:w="120" w:type="dxa"/>
            </w:tcMar>
          </w:tcPr>
          <w:p w14:paraId="39D615FD" w14:textId="19AD8E33" w:rsidR="00504010" w:rsidRPr="00EB3D38" w:rsidRDefault="00386971" w:rsidP="00C923E5">
            <w:pPr>
              <w:rPr>
                <w:rFonts w:cs="Arial"/>
              </w:rPr>
            </w:pPr>
            <w:r>
              <w:rPr>
                <w:rFonts w:cs="Arial"/>
              </w:rPr>
              <w:t>Stephanie L. Chasteau-Nicholas</w:t>
            </w:r>
          </w:p>
        </w:tc>
      </w:tr>
      <w:tr w:rsidR="00504010" w:rsidRPr="00EB3D38" w14:paraId="4D6DD2ED" w14:textId="77777777" w:rsidTr="00C923E5">
        <w:trPr>
          <w:jc w:val="center"/>
        </w:trPr>
        <w:tc>
          <w:tcPr>
            <w:tcW w:w="3312" w:type="dxa"/>
            <w:tcBorders>
              <w:top w:val="single" w:sz="8" w:space="0" w:color="B8D7EE"/>
              <w:left w:val="single" w:sz="8" w:space="0" w:color="B8D7EE"/>
              <w:bottom w:val="single" w:sz="8" w:space="0" w:color="B8D7EE"/>
              <w:right w:val="single" w:sz="8" w:space="0" w:color="B8D7EE"/>
            </w:tcBorders>
            <w:shd w:val="clear" w:color="auto" w:fill="EAF3FA"/>
            <w:tcMar>
              <w:top w:w="110" w:type="dxa"/>
              <w:left w:w="120" w:type="dxa"/>
              <w:bottom w:w="110" w:type="dxa"/>
              <w:right w:w="120" w:type="dxa"/>
            </w:tcMar>
          </w:tcPr>
          <w:p w14:paraId="263B15E6" w14:textId="77777777" w:rsidR="00504010" w:rsidRPr="00EB3D38" w:rsidRDefault="00504010" w:rsidP="00C923E5">
            <w:pPr>
              <w:rPr>
                <w:rFonts w:cs="Arial"/>
              </w:rPr>
            </w:pPr>
            <w:r w:rsidRPr="00EB3D38">
              <w:rPr>
                <w:rFonts w:cs="Arial"/>
                <w:b/>
              </w:rPr>
              <w:t>Student number</w:t>
            </w:r>
          </w:p>
        </w:tc>
        <w:tc>
          <w:tcPr>
            <w:tcW w:w="5472" w:type="dxa"/>
            <w:tcBorders>
              <w:top w:val="single" w:sz="8" w:space="0" w:color="B8D7EE"/>
              <w:left w:val="single" w:sz="8" w:space="0" w:color="B8D7EE"/>
              <w:bottom w:val="single" w:sz="8" w:space="0" w:color="B8D7EE"/>
              <w:right w:val="single" w:sz="8" w:space="0" w:color="B8D7EE"/>
            </w:tcBorders>
            <w:shd w:val="clear" w:color="auto" w:fill="FFFFFF"/>
            <w:tcMar>
              <w:top w:w="110" w:type="dxa"/>
              <w:left w:w="120" w:type="dxa"/>
              <w:bottom w:w="110" w:type="dxa"/>
              <w:right w:w="120" w:type="dxa"/>
            </w:tcMar>
          </w:tcPr>
          <w:p w14:paraId="43C3E67B" w14:textId="73E1D596" w:rsidR="00504010" w:rsidRPr="00EB3D38" w:rsidRDefault="00386971" w:rsidP="00C923E5">
            <w:pPr>
              <w:rPr>
                <w:rFonts w:cs="Arial"/>
              </w:rPr>
            </w:pPr>
            <w:r>
              <w:rPr>
                <w:rFonts w:cs="Arial"/>
              </w:rPr>
              <w:t>2509863</w:t>
            </w:r>
          </w:p>
        </w:tc>
      </w:tr>
      <w:tr w:rsidR="00504010" w:rsidRPr="00EB3D38" w14:paraId="230E127D" w14:textId="77777777" w:rsidTr="00C923E5">
        <w:trPr>
          <w:jc w:val="center"/>
        </w:trPr>
        <w:tc>
          <w:tcPr>
            <w:tcW w:w="3312" w:type="dxa"/>
            <w:tcBorders>
              <w:top w:val="single" w:sz="8" w:space="0" w:color="B8D7EE"/>
              <w:left w:val="single" w:sz="8" w:space="0" w:color="B8D7EE"/>
              <w:bottom w:val="single" w:sz="8" w:space="0" w:color="B8D7EE"/>
              <w:right w:val="single" w:sz="8" w:space="0" w:color="B8D7EE"/>
            </w:tcBorders>
            <w:shd w:val="clear" w:color="auto" w:fill="EAF3FA"/>
            <w:tcMar>
              <w:top w:w="110" w:type="dxa"/>
              <w:left w:w="120" w:type="dxa"/>
              <w:bottom w:w="110" w:type="dxa"/>
              <w:right w:w="120" w:type="dxa"/>
            </w:tcMar>
          </w:tcPr>
          <w:p w14:paraId="0941AA90" w14:textId="77777777" w:rsidR="00504010" w:rsidRPr="00EB3D38" w:rsidRDefault="00504010" w:rsidP="00C923E5">
            <w:pPr>
              <w:rPr>
                <w:rFonts w:cs="Arial"/>
              </w:rPr>
            </w:pPr>
            <w:r w:rsidRPr="00EB3D38">
              <w:rPr>
                <w:rFonts w:cs="Arial"/>
                <w:b/>
              </w:rPr>
              <w:t>Module code and title</w:t>
            </w:r>
          </w:p>
        </w:tc>
        <w:tc>
          <w:tcPr>
            <w:tcW w:w="5472" w:type="dxa"/>
            <w:tcBorders>
              <w:top w:val="single" w:sz="8" w:space="0" w:color="B8D7EE"/>
              <w:left w:val="single" w:sz="8" w:space="0" w:color="B8D7EE"/>
              <w:bottom w:val="single" w:sz="8" w:space="0" w:color="B8D7EE"/>
              <w:right w:val="single" w:sz="8" w:space="0" w:color="B8D7EE"/>
            </w:tcBorders>
            <w:shd w:val="clear" w:color="auto" w:fill="FFFFFF"/>
            <w:tcMar>
              <w:top w:w="110" w:type="dxa"/>
              <w:left w:w="120" w:type="dxa"/>
              <w:bottom w:w="110" w:type="dxa"/>
              <w:right w:w="120" w:type="dxa"/>
            </w:tcMar>
          </w:tcPr>
          <w:p w14:paraId="37390F55" w14:textId="657FD0F9" w:rsidR="00504010" w:rsidRPr="00EB3D38" w:rsidRDefault="00512958" w:rsidP="00C923E5">
            <w:pPr>
              <w:rPr>
                <w:rFonts w:cs="Arial"/>
              </w:rPr>
            </w:pPr>
            <w:r w:rsidRPr="00512958">
              <w:rPr>
                <w:rFonts w:cs="Arial"/>
              </w:rPr>
              <w:t>Introduction to Health and Social Care</w:t>
            </w:r>
            <w:r>
              <w:rPr>
                <w:rFonts w:cs="Arial"/>
              </w:rPr>
              <w:t xml:space="preserve">- </w:t>
            </w:r>
            <w:r w:rsidRPr="00512958">
              <w:rPr>
                <w:rFonts w:cs="Arial"/>
              </w:rPr>
              <w:t>LCHS4003</w:t>
            </w:r>
          </w:p>
        </w:tc>
      </w:tr>
      <w:tr w:rsidR="00504010" w:rsidRPr="00EB3D38" w14:paraId="2193D412" w14:textId="77777777" w:rsidTr="00C923E5">
        <w:trPr>
          <w:jc w:val="center"/>
        </w:trPr>
        <w:tc>
          <w:tcPr>
            <w:tcW w:w="3312" w:type="dxa"/>
            <w:tcBorders>
              <w:top w:val="single" w:sz="8" w:space="0" w:color="B8D7EE"/>
              <w:left w:val="single" w:sz="8" w:space="0" w:color="B8D7EE"/>
              <w:bottom w:val="single" w:sz="8" w:space="0" w:color="B8D7EE"/>
              <w:right w:val="single" w:sz="8" w:space="0" w:color="B8D7EE"/>
            </w:tcBorders>
            <w:shd w:val="clear" w:color="auto" w:fill="EAF3FA"/>
            <w:tcMar>
              <w:top w:w="110" w:type="dxa"/>
              <w:left w:w="120" w:type="dxa"/>
              <w:bottom w:w="110" w:type="dxa"/>
              <w:right w:w="120" w:type="dxa"/>
            </w:tcMar>
          </w:tcPr>
          <w:p w14:paraId="6DE7FA62" w14:textId="77777777" w:rsidR="00504010" w:rsidRPr="00EB3D38" w:rsidRDefault="00504010" w:rsidP="00C923E5">
            <w:pPr>
              <w:rPr>
                <w:rFonts w:cs="Arial"/>
              </w:rPr>
            </w:pPr>
            <w:r w:rsidRPr="00EB3D38">
              <w:rPr>
                <w:rFonts w:cs="Arial"/>
                <w:b/>
              </w:rPr>
              <w:t>Lecturer’s name</w:t>
            </w:r>
          </w:p>
        </w:tc>
        <w:tc>
          <w:tcPr>
            <w:tcW w:w="5472" w:type="dxa"/>
            <w:tcBorders>
              <w:top w:val="single" w:sz="8" w:space="0" w:color="B8D7EE"/>
              <w:left w:val="single" w:sz="8" w:space="0" w:color="B8D7EE"/>
              <w:bottom w:val="single" w:sz="8" w:space="0" w:color="B8D7EE"/>
              <w:right w:val="single" w:sz="8" w:space="0" w:color="B8D7EE"/>
            </w:tcBorders>
            <w:shd w:val="clear" w:color="auto" w:fill="FFFFFF"/>
            <w:tcMar>
              <w:top w:w="110" w:type="dxa"/>
              <w:left w:w="120" w:type="dxa"/>
              <w:bottom w:w="110" w:type="dxa"/>
              <w:right w:w="120" w:type="dxa"/>
            </w:tcMar>
          </w:tcPr>
          <w:p w14:paraId="777D6B8C" w14:textId="77777777" w:rsidR="00504010" w:rsidRPr="00EB3D38" w:rsidRDefault="00504010" w:rsidP="00C923E5">
            <w:pPr>
              <w:rPr>
                <w:rFonts w:cs="Arial"/>
              </w:rPr>
            </w:pPr>
          </w:p>
        </w:tc>
      </w:tr>
      <w:tr w:rsidR="00504010" w:rsidRPr="00EB3D38" w14:paraId="620A5795" w14:textId="77777777" w:rsidTr="00C923E5">
        <w:trPr>
          <w:jc w:val="center"/>
        </w:trPr>
        <w:tc>
          <w:tcPr>
            <w:tcW w:w="3312" w:type="dxa"/>
            <w:tcBorders>
              <w:top w:val="single" w:sz="8" w:space="0" w:color="B8D7EE"/>
              <w:left w:val="single" w:sz="8" w:space="0" w:color="B8D7EE"/>
              <w:bottom w:val="single" w:sz="8" w:space="0" w:color="B8D7EE"/>
              <w:right w:val="single" w:sz="8" w:space="0" w:color="B8D7EE"/>
            </w:tcBorders>
            <w:shd w:val="clear" w:color="auto" w:fill="EAF3FA"/>
            <w:tcMar>
              <w:top w:w="110" w:type="dxa"/>
              <w:left w:w="120" w:type="dxa"/>
              <w:bottom w:w="110" w:type="dxa"/>
              <w:right w:w="120" w:type="dxa"/>
            </w:tcMar>
          </w:tcPr>
          <w:p w14:paraId="3F3B73E8" w14:textId="77777777" w:rsidR="00504010" w:rsidRPr="00EB3D38" w:rsidRDefault="00504010" w:rsidP="00C923E5">
            <w:pPr>
              <w:rPr>
                <w:rFonts w:cs="Arial"/>
              </w:rPr>
            </w:pPr>
            <w:r w:rsidRPr="00EB3D38">
              <w:rPr>
                <w:rFonts w:cs="Arial"/>
                <w:b/>
              </w:rPr>
              <w:t>Assignment title</w:t>
            </w:r>
          </w:p>
        </w:tc>
        <w:tc>
          <w:tcPr>
            <w:tcW w:w="5472" w:type="dxa"/>
            <w:tcBorders>
              <w:top w:val="single" w:sz="8" w:space="0" w:color="B8D7EE"/>
              <w:left w:val="single" w:sz="8" w:space="0" w:color="B8D7EE"/>
              <w:bottom w:val="single" w:sz="8" w:space="0" w:color="B8D7EE"/>
              <w:right w:val="single" w:sz="8" w:space="0" w:color="B8D7EE"/>
            </w:tcBorders>
            <w:shd w:val="clear" w:color="auto" w:fill="FFFFFF"/>
            <w:tcMar>
              <w:top w:w="110" w:type="dxa"/>
              <w:left w:w="120" w:type="dxa"/>
              <w:bottom w:w="110" w:type="dxa"/>
              <w:right w:w="120" w:type="dxa"/>
            </w:tcMar>
          </w:tcPr>
          <w:p w14:paraId="66DA5C0D" w14:textId="05D414EA" w:rsidR="00504010" w:rsidRPr="00EB3D38" w:rsidRDefault="00512958" w:rsidP="00C923E5">
            <w:pPr>
              <w:rPr>
                <w:rFonts w:cs="Arial"/>
              </w:rPr>
            </w:pPr>
            <w:r w:rsidRPr="00512958">
              <w:rPr>
                <w:rFonts w:cs="Arial"/>
              </w:rPr>
              <w:t>Component 1: Portfolio – Two Tasks</w:t>
            </w:r>
          </w:p>
        </w:tc>
      </w:tr>
      <w:tr w:rsidR="00504010" w:rsidRPr="00EB3D38" w14:paraId="70AA8A5B" w14:textId="77777777" w:rsidTr="00C923E5">
        <w:trPr>
          <w:jc w:val="center"/>
        </w:trPr>
        <w:tc>
          <w:tcPr>
            <w:tcW w:w="3312" w:type="dxa"/>
            <w:tcBorders>
              <w:top w:val="single" w:sz="8" w:space="0" w:color="B8D7EE"/>
              <w:left w:val="single" w:sz="8" w:space="0" w:color="B8D7EE"/>
              <w:bottom w:val="single" w:sz="8" w:space="0" w:color="B8D7EE"/>
              <w:right w:val="single" w:sz="8" w:space="0" w:color="B8D7EE"/>
            </w:tcBorders>
            <w:shd w:val="clear" w:color="auto" w:fill="EAF3FA"/>
            <w:tcMar>
              <w:top w:w="110" w:type="dxa"/>
              <w:left w:w="120" w:type="dxa"/>
              <w:bottom w:w="110" w:type="dxa"/>
              <w:right w:w="120" w:type="dxa"/>
            </w:tcMar>
          </w:tcPr>
          <w:p w14:paraId="41CEC872" w14:textId="77777777" w:rsidR="00504010" w:rsidRPr="00EB3D38" w:rsidRDefault="00504010" w:rsidP="00C923E5">
            <w:pPr>
              <w:rPr>
                <w:rFonts w:cs="Arial"/>
              </w:rPr>
            </w:pPr>
            <w:r w:rsidRPr="00EB3D38">
              <w:rPr>
                <w:rFonts w:cs="Arial"/>
                <w:b/>
              </w:rPr>
              <w:t>Submission date</w:t>
            </w:r>
          </w:p>
        </w:tc>
        <w:tc>
          <w:tcPr>
            <w:tcW w:w="5472" w:type="dxa"/>
            <w:tcBorders>
              <w:top w:val="single" w:sz="8" w:space="0" w:color="B8D7EE"/>
              <w:left w:val="single" w:sz="8" w:space="0" w:color="B8D7EE"/>
              <w:bottom w:val="single" w:sz="8" w:space="0" w:color="B8D7EE"/>
              <w:right w:val="single" w:sz="8" w:space="0" w:color="B8D7EE"/>
            </w:tcBorders>
            <w:shd w:val="clear" w:color="auto" w:fill="FFFFFF"/>
            <w:tcMar>
              <w:top w:w="110" w:type="dxa"/>
              <w:left w:w="120" w:type="dxa"/>
              <w:bottom w:w="110" w:type="dxa"/>
              <w:right w:w="120" w:type="dxa"/>
            </w:tcMar>
          </w:tcPr>
          <w:p w14:paraId="34EC84AC" w14:textId="0C2AEF02" w:rsidR="00504010" w:rsidRPr="00EB3D38" w:rsidRDefault="00512958" w:rsidP="00C923E5">
            <w:pPr>
              <w:rPr>
                <w:rFonts w:cs="Arial"/>
              </w:rPr>
            </w:pPr>
            <w:r w:rsidRPr="00512958">
              <w:rPr>
                <w:rFonts w:cs="Arial"/>
              </w:rPr>
              <w:t>Friday 14th August 2026</w:t>
            </w:r>
          </w:p>
        </w:tc>
      </w:tr>
    </w:tbl>
    <w:p w14:paraId="598AB706" w14:textId="77777777" w:rsidR="00504010" w:rsidRPr="00EB3D38" w:rsidRDefault="00504010" w:rsidP="00504010">
      <w:pPr>
        <w:rPr>
          <w:rFonts w:cs="Arial"/>
        </w:rPr>
      </w:pPr>
    </w:p>
    <w:p w14:paraId="399C45A9" w14:textId="77777777" w:rsidR="00504010" w:rsidRPr="00EB3D38" w:rsidRDefault="00504010" w:rsidP="00504010">
      <w:pPr>
        <w:rPr>
          <w:rFonts w:cs="Arial"/>
        </w:rPr>
        <w:sectPr w:rsidR="00504010" w:rsidRPr="00EB3D38">
          <w:footerReference w:type="default" r:id="rId6"/>
          <w:pgSz w:w="12240" w:h="15840"/>
          <w:pgMar w:top="1008" w:right="1152" w:bottom="1008" w:left="1152" w:header="720" w:footer="720" w:gutter="0"/>
          <w:cols w:space="720"/>
          <w:docGrid w:linePitch="360"/>
        </w:sectPr>
      </w:pPr>
    </w:p>
    <w:p w14:paraId="3B292E20" w14:textId="77777777" w:rsidR="00C923E5" w:rsidRDefault="00C923E5" w:rsidP="00C923E5">
      <w:pPr>
        <w:spacing w:after="40" w:line="240" w:lineRule="auto"/>
        <w:jc w:val="center"/>
      </w:pPr>
      <w:r>
        <w:rPr>
          <w:rFonts w:eastAsia="Arial"/>
          <w:b/>
          <w:color w:val="0B5FA5"/>
          <w:sz w:val="40"/>
        </w:rPr>
        <w:lastRenderedPageBreak/>
        <w:t>AMBULANCE SERVICES IN THE UK</w:t>
      </w:r>
    </w:p>
    <w:p w14:paraId="35DB5146" w14:textId="77777777" w:rsidR="00C923E5" w:rsidRDefault="00C923E5" w:rsidP="00C923E5">
      <w:pPr>
        <w:spacing w:after="80"/>
        <w:jc w:val="center"/>
      </w:pPr>
      <w:r>
        <w:rPr>
          <w:rFonts w:eastAsia="Arial"/>
          <w:b/>
          <w:color w:val="173A56"/>
          <w:sz w:val="21"/>
        </w:rPr>
        <w:t>Emergency care from the first call to the community</w:t>
      </w:r>
    </w:p>
    <w:tbl>
      <w:tblPr>
        <w:tblW w:w="16000" w:type="dxa"/>
        <w:jc w:val="center"/>
        <w:tblLayout w:type="fixed"/>
        <w:tblLook w:val="04A0" w:firstRow="1" w:lastRow="0" w:firstColumn="1" w:lastColumn="0" w:noHBand="0" w:noVBand="1"/>
      </w:tblPr>
      <w:tblGrid>
        <w:gridCol w:w="8000"/>
        <w:gridCol w:w="8000"/>
      </w:tblGrid>
      <w:tr w:rsidR="00C923E5" w14:paraId="79756158" w14:textId="77777777" w:rsidTr="00C923E5">
        <w:trPr>
          <w:cantSplit/>
          <w:jc w:val="center"/>
        </w:trPr>
        <w:tc>
          <w:tcPr>
            <w:tcW w:w="8000" w:type="dxa"/>
            <w:tcBorders>
              <w:top w:val="single" w:sz="4" w:space="0" w:color="0B5FA5"/>
              <w:left w:val="single" w:sz="4" w:space="0" w:color="0B5FA5"/>
              <w:bottom w:val="single" w:sz="4" w:space="0" w:color="0B5FA5"/>
              <w:right w:val="single" w:sz="4" w:space="0" w:color="0B5FA5"/>
            </w:tcBorders>
            <w:shd w:val="clear" w:color="auto" w:fill="0B5FA5"/>
            <w:tcMar>
              <w:top w:w="55" w:type="dxa"/>
              <w:left w:w="75" w:type="dxa"/>
              <w:bottom w:w="55" w:type="dxa"/>
              <w:right w:w="75" w:type="dxa"/>
            </w:tcMar>
          </w:tcPr>
          <w:p w14:paraId="39C9C77E" w14:textId="77777777" w:rsidR="00C923E5" w:rsidRDefault="00C923E5" w:rsidP="00C923E5">
            <w:pPr>
              <w:spacing w:after="0" w:line="240" w:lineRule="auto"/>
            </w:pPr>
            <w:r>
              <w:rPr>
                <w:rFonts w:eastAsia="Arial"/>
                <w:b/>
                <w:color w:val="FFFFFF"/>
                <w:sz w:val="25"/>
              </w:rPr>
              <w:t>WHAT IS THE SERVICE?</w:t>
            </w:r>
          </w:p>
        </w:tc>
        <w:tc>
          <w:tcPr>
            <w:tcW w:w="8000" w:type="dxa"/>
            <w:tcBorders>
              <w:top w:val="single" w:sz="4" w:space="0" w:color="0B5FA5"/>
              <w:left w:val="single" w:sz="4" w:space="0" w:color="0B5FA5"/>
              <w:bottom w:val="single" w:sz="4" w:space="0" w:color="0B5FA5"/>
              <w:right w:val="single" w:sz="4" w:space="0" w:color="0B5FA5"/>
            </w:tcBorders>
            <w:shd w:val="clear" w:color="auto" w:fill="0B5FA5"/>
            <w:tcMar>
              <w:top w:w="55" w:type="dxa"/>
              <w:left w:w="75" w:type="dxa"/>
              <w:bottom w:w="55" w:type="dxa"/>
              <w:right w:w="75" w:type="dxa"/>
            </w:tcMar>
          </w:tcPr>
          <w:p w14:paraId="0CF6F72E" w14:textId="77777777" w:rsidR="00C923E5" w:rsidRDefault="00C923E5" w:rsidP="00C923E5">
            <w:pPr>
              <w:spacing w:after="0" w:line="240" w:lineRule="auto"/>
            </w:pPr>
            <w:r>
              <w:rPr>
                <w:rFonts w:eastAsia="Arial"/>
                <w:b/>
                <w:color w:val="FFFFFF"/>
                <w:sz w:val="25"/>
              </w:rPr>
              <w:t>CURRENT FUNCTIONING</w:t>
            </w:r>
          </w:p>
        </w:tc>
      </w:tr>
      <w:tr w:rsidR="00C923E5" w14:paraId="673DF06E" w14:textId="77777777" w:rsidTr="00C923E5">
        <w:trPr>
          <w:cantSplit/>
          <w:jc w:val="center"/>
        </w:trPr>
        <w:tc>
          <w:tcPr>
            <w:tcW w:w="8000" w:type="dxa"/>
            <w:tcBorders>
              <w:top w:val="single" w:sz="5" w:space="0" w:color="91B9D5"/>
              <w:left w:val="single" w:sz="5" w:space="0" w:color="91B9D5"/>
              <w:bottom w:val="single" w:sz="5" w:space="0" w:color="91B9D5"/>
              <w:right w:val="single" w:sz="5" w:space="0" w:color="91B9D5"/>
            </w:tcBorders>
            <w:shd w:val="clear" w:color="auto" w:fill="FFFFFF"/>
            <w:tcMar>
              <w:top w:w="45" w:type="dxa"/>
              <w:left w:w="60" w:type="dxa"/>
              <w:bottom w:w="45" w:type="dxa"/>
              <w:right w:w="60" w:type="dxa"/>
            </w:tcMar>
          </w:tcPr>
          <w:p w14:paraId="272471AB" w14:textId="77777777" w:rsidR="00C923E5" w:rsidRDefault="00C923E5" w:rsidP="00C923E5">
            <w:pPr>
              <w:spacing w:after="40" w:line="228" w:lineRule="auto"/>
            </w:pPr>
            <w:r>
              <w:rPr>
                <w:rFonts w:eastAsia="Arial"/>
                <w:color w:val="20384D"/>
                <w:sz w:val="18"/>
              </w:rPr>
              <w:t>Ambulance services provide 24-hour urgent and emergency healthcare. They receive 999 and urgent referrals, assess the seriousness of each case, give telephone advice and send the most suitable response. Paramedics can treat people at the scene, refer them to community services or take them to hospital. The service is therefore more than transport: it is a mobile clinical service linking emergency, primary, mental-health and community care (NHS England, 2025a).</w:t>
            </w:r>
          </w:p>
          <w:p w14:paraId="3C297AF9" w14:textId="77777777" w:rsidR="00C923E5" w:rsidRDefault="00C923E5" w:rsidP="00C923E5">
            <w:pPr>
              <w:pBdr>
                <w:bottom w:val="single" w:sz="5" w:space="0" w:color="173A56"/>
              </w:pBdr>
              <w:spacing w:before="40" w:after="40"/>
            </w:pPr>
            <w:r>
              <w:rPr>
                <w:rFonts w:eastAsia="Arial"/>
                <w:b/>
                <w:color w:val="173A56"/>
              </w:rPr>
              <w:t>BRIEF HISTORY</w:t>
            </w:r>
          </w:p>
          <w:tbl>
            <w:tblPr>
              <w:tblW w:w="7500" w:type="dxa"/>
              <w:jc w:val="center"/>
              <w:tblLayout w:type="fixed"/>
              <w:tblLook w:val="04A0" w:firstRow="1" w:lastRow="0" w:firstColumn="1" w:lastColumn="0" w:noHBand="0" w:noVBand="1"/>
            </w:tblPr>
            <w:tblGrid>
              <w:gridCol w:w="1250"/>
              <w:gridCol w:w="1250"/>
              <w:gridCol w:w="1250"/>
              <w:gridCol w:w="1250"/>
              <w:gridCol w:w="1250"/>
              <w:gridCol w:w="1250"/>
            </w:tblGrid>
            <w:tr w:rsidR="00C923E5" w14:paraId="113215E5" w14:textId="77777777" w:rsidTr="00C923E5">
              <w:trPr>
                <w:cantSplit/>
                <w:jc w:val="center"/>
              </w:trPr>
              <w:tc>
                <w:tcPr>
                  <w:tcW w:w="1250" w:type="dxa"/>
                  <w:tcBorders>
                    <w:top w:val="single" w:sz="4" w:space="0" w:color="91B9D5"/>
                    <w:left w:val="single" w:sz="4" w:space="0" w:color="91B9D5"/>
                    <w:bottom w:val="single" w:sz="4" w:space="0" w:color="91B9D5"/>
                    <w:right w:val="single" w:sz="4" w:space="0" w:color="91B9D5"/>
                  </w:tcBorders>
                  <w:shd w:val="clear" w:color="auto" w:fill="EAF3F9"/>
                  <w:tcMar>
                    <w:top w:w="25" w:type="dxa"/>
                    <w:left w:w="20" w:type="dxa"/>
                    <w:bottom w:w="25" w:type="dxa"/>
                    <w:right w:w="20" w:type="dxa"/>
                  </w:tcMar>
                </w:tcPr>
                <w:p w14:paraId="1E5F71BC" w14:textId="77777777" w:rsidR="00C923E5" w:rsidRDefault="00C923E5" w:rsidP="00C923E5">
                  <w:pPr>
                    <w:spacing w:after="0" w:line="216" w:lineRule="auto"/>
                    <w:jc w:val="center"/>
                  </w:pPr>
                  <w:r>
                    <w:rPr>
                      <w:rFonts w:eastAsia="Arial"/>
                      <w:b/>
                      <w:color w:val="0B5FA5"/>
                      <w:sz w:val="17"/>
                    </w:rPr>
                    <w:t>1904</w:t>
                  </w:r>
                </w:p>
              </w:tc>
              <w:tc>
                <w:tcPr>
                  <w:tcW w:w="1250" w:type="dxa"/>
                  <w:tcBorders>
                    <w:top w:val="single" w:sz="4" w:space="0" w:color="91B9D5"/>
                    <w:left w:val="single" w:sz="4" w:space="0" w:color="91B9D5"/>
                    <w:bottom w:val="single" w:sz="4" w:space="0" w:color="91B9D5"/>
                    <w:right w:val="single" w:sz="4" w:space="0" w:color="91B9D5"/>
                  </w:tcBorders>
                  <w:shd w:val="clear" w:color="auto" w:fill="EAF3F9"/>
                  <w:tcMar>
                    <w:top w:w="25" w:type="dxa"/>
                    <w:left w:w="20" w:type="dxa"/>
                    <w:bottom w:w="25" w:type="dxa"/>
                    <w:right w:w="20" w:type="dxa"/>
                  </w:tcMar>
                </w:tcPr>
                <w:p w14:paraId="4E9AF384" w14:textId="77777777" w:rsidR="00C923E5" w:rsidRDefault="00C923E5" w:rsidP="00C923E5">
                  <w:pPr>
                    <w:spacing w:after="0" w:line="216" w:lineRule="auto"/>
                    <w:jc w:val="center"/>
                  </w:pPr>
                  <w:r>
                    <w:rPr>
                      <w:rFonts w:eastAsia="Arial"/>
                      <w:b/>
                      <w:color w:val="0B5FA5"/>
                      <w:sz w:val="17"/>
                    </w:rPr>
                    <w:t>1937</w:t>
                  </w:r>
                </w:p>
              </w:tc>
              <w:tc>
                <w:tcPr>
                  <w:tcW w:w="1250" w:type="dxa"/>
                  <w:tcBorders>
                    <w:top w:val="single" w:sz="4" w:space="0" w:color="91B9D5"/>
                    <w:left w:val="single" w:sz="4" w:space="0" w:color="91B9D5"/>
                    <w:bottom w:val="single" w:sz="4" w:space="0" w:color="91B9D5"/>
                    <w:right w:val="single" w:sz="4" w:space="0" w:color="91B9D5"/>
                  </w:tcBorders>
                  <w:shd w:val="clear" w:color="auto" w:fill="EAF3F9"/>
                  <w:tcMar>
                    <w:top w:w="25" w:type="dxa"/>
                    <w:left w:w="20" w:type="dxa"/>
                    <w:bottom w:w="25" w:type="dxa"/>
                    <w:right w:w="20" w:type="dxa"/>
                  </w:tcMar>
                </w:tcPr>
                <w:p w14:paraId="297CEDF7" w14:textId="77777777" w:rsidR="00C923E5" w:rsidRDefault="00C923E5" w:rsidP="00C923E5">
                  <w:pPr>
                    <w:spacing w:after="0" w:line="216" w:lineRule="auto"/>
                    <w:jc w:val="center"/>
                  </w:pPr>
                  <w:r>
                    <w:rPr>
                      <w:rFonts w:eastAsia="Arial"/>
                      <w:b/>
                      <w:color w:val="0B5FA5"/>
                      <w:sz w:val="17"/>
                    </w:rPr>
                    <w:t>1948</w:t>
                  </w:r>
                </w:p>
              </w:tc>
              <w:tc>
                <w:tcPr>
                  <w:tcW w:w="1250" w:type="dxa"/>
                  <w:tcBorders>
                    <w:top w:val="single" w:sz="4" w:space="0" w:color="91B9D5"/>
                    <w:left w:val="single" w:sz="4" w:space="0" w:color="91B9D5"/>
                    <w:bottom w:val="single" w:sz="4" w:space="0" w:color="91B9D5"/>
                    <w:right w:val="single" w:sz="4" w:space="0" w:color="91B9D5"/>
                  </w:tcBorders>
                  <w:shd w:val="clear" w:color="auto" w:fill="EAF3F9"/>
                  <w:tcMar>
                    <w:top w:w="25" w:type="dxa"/>
                    <w:left w:w="20" w:type="dxa"/>
                    <w:bottom w:w="25" w:type="dxa"/>
                    <w:right w:w="20" w:type="dxa"/>
                  </w:tcMar>
                </w:tcPr>
                <w:p w14:paraId="38C1DC7F" w14:textId="77777777" w:rsidR="00C923E5" w:rsidRDefault="00C923E5" w:rsidP="00C923E5">
                  <w:pPr>
                    <w:spacing w:after="0" w:line="216" w:lineRule="auto"/>
                    <w:jc w:val="center"/>
                  </w:pPr>
                  <w:r>
                    <w:rPr>
                      <w:rFonts w:eastAsia="Arial"/>
                      <w:b/>
                      <w:color w:val="0B5FA5"/>
                      <w:sz w:val="17"/>
                    </w:rPr>
                    <w:t>1970s</w:t>
                  </w:r>
                </w:p>
              </w:tc>
              <w:tc>
                <w:tcPr>
                  <w:tcW w:w="1250" w:type="dxa"/>
                  <w:tcBorders>
                    <w:top w:val="single" w:sz="4" w:space="0" w:color="91B9D5"/>
                    <w:left w:val="single" w:sz="4" w:space="0" w:color="91B9D5"/>
                    <w:bottom w:val="single" w:sz="4" w:space="0" w:color="91B9D5"/>
                    <w:right w:val="single" w:sz="4" w:space="0" w:color="91B9D5"/>
                  </w:tcBorders>
                  <w:shd w:val="clear" w:color="auto" w:fill="EAF3F9"/>
                  <w:tcMar>
                    <w:top w:w="25" w:type="dxa"/>
                    <w:left w:w="20" w:type="dxa"/>
                    <w:bottom w:w="25" w:type="dxa"/>
                    <w:right w:w="20" w:type="dxa"/>
                  </w:tcMar>
                </w:tcPr>
                <w:p w14:paraId="0034BDB8" w14:textId="77777777" w:rsidR="00C923E5" w:rsidRDefault="00C923E5" w:rsidP="00C923E5">
                  <w:pPr>
                    <w:spacing w:after="0" w:line="216" w:lineRule="auto"/>
                    <w:jc w:val="center"/>
                  </w:pPr>
                  <w:r>
                    <w:rPr>
                      <w:rFonts w:eastAsia="Arial"/>
                      <w:b/>
                      <w:color w:val="0B5FA5"/>
                      <w:sz w:val="17"/>
                    </w:rPr>
                    <w:t>1980s</w:t>
                  </w:r>
                </w:p>
              </w:tc>
              <w:tc>
                <w:tcPr>
                  <w:tcW w:w="1250" w:type="dxa"/>
                  <w:tcBorders>
                    <w:top w:val="single" w:sz="4" w:space="0" w:color="91B9D5"/>
                    <w:left w:val="single" w:sz="4" w:space="0" w:color="91B9D5"/>
                    <w:bottom w:val="single" w:sz="4" w:space="0" w:color="91B9D5"/>
                    <w:right w:val="single" w:sz="4" w:space="0" w:color="91B9D5"/>
                  </w:tcBorders>
                  <w:shd w:val="clear" w:color="auto" w:fill="EAF3F9"/>
                  <w:tcMar>
                    <w:top w:w="25" w:type="dxa"/>
                    <w:left w:w="20" w:type="dxa"/>
                    <w:bottom w:w="25" w:type="dxa"/>
                    <w:right w:w="20" w:type="dxa"/>
                  </w:tcMar>
                </w:tcPr>
                <w:p w14:paraId="025EFD8F" w14:textId="77777777" w:rsidR="00C923E5" w:rsidRDefault="00C923E5" w:rsidP="00C923E5">
                  <w:pPr>
                    <w:spacing w:after="0" w:line="216" w:lineRule="auto"/>
                    <w:jc w:val="center"/>
                  </w:pPr>
                  <w:r>
                    <w:rPr>
                      <w:rFonts w:eastAsia="Arial"/>
                      <w:b/>
                      <w:color w:val="0B5FA5"/>
                      <w:sz w:val="17"/>
                    </w:rPr>
                    <w:t>2017</w:t>
                  </w:r>
                </w:p>
              </w:tc>
            </w:tr>
            <w:tr w:rsidR="00C923E5" w14:paraId="0F6E6A5D" w14:textId="77777777" w:rsidTr="00C923E5">
              <w:trPr>
                <w:cantSplit/>
                <w:jc w:val="center"/>
              </w:trPr>
              <w:tc>
                <w:tcPr>
                  <w:tcW w:w="1250" w:type="dxa"/>
                  <w:tcBorders>
                    <w:top w:val="single" w:sz="4" w:space="0" w:color="91B9D5"/>
                    <w:left w:val="single" w:sz="4" w:space="0" w:color="91B9D5"/>
                    <w:bottom w:val="single" w:sz="4" w:space="0" w:color="91B9D5"/>
                    <w:right w:val="single" w:sz="4" w:space="0" w:color="91B9D5"/>
                  </w:tcBorders>
                  <w:shd w:val="clear" w:color="auto" w:fill="F7F9FB"/>
                  <w:tcMar>
                    <w:top w:w="25" w:type="dxa"/>
                    <w:left w:w="20" w:type="dxa"/>
                    <w:bottom w:w="25" w:type="dxa"/>
                    <w:right w:w="20" w:type="dxa"/>
                  </w:tcMar>
                </w:tcPr>
                <w:p w14:paraId="497EA3DB" w14:textId="77777777" w:rsidR="00C923E5" w:rsidRDefault="00C923E5" w:rsidP="00C923E5">
                  <w:pPr>
                    <w:spacing w:after="0" w:line="216" w:lineRule="auto"/>
                    <w:jc w:val="center"/>
                  </w:pPr>
                  <w:r>
                    <w:rPr>
                      <w:rFonts w:eastAsia="Arial"/>
                      <w:color w:val="20384D"/>
                      <w:sz w:val="16"/>
                    </w:rPr>
                    <w:t>Petrol ambulance</w:t>
                  </w:r>
                </w:p>
              </w:tc>
              <w:tc>
                <w:tcPr>
                  <w:tcW w:w="1250" w:type="dxa"/>
                  <w:tcBorders>
                    <w:top w:val="single" w:sz="4" w:space="0" w:color="91B9D5"/>
                    <w:left w:val="single" w:sz="4" w:space="0" w:color="91B9D5"/>
                    <w:bottom w:val="single" w:sz="4" w:space="0" w:color="91B9D5"/>
                    <w:right w:val="single" w:sz="4" w:space="0" w:color="91B9D5"/>
                  </w:tcBorders>
                  <w:shd w:val="clear" w:color="auto" w:fill="F7F9FB"/>
                  <w:tcMar>
                    <w:top w:w="25" w:type="dxa"/>
                    <w:left w:w="20" w:type="dxa"/>
                    <w:bottom w:w="25" w:type="dxa"/>
                    <w:right w:w="20" w:type="dxa"/>
                  </w:tcMar>
                </w:tcPr>
                <w:p w14:paraId="1A60F2EC" w14:textId="77777777" w:rsidR="00C923E5" w:rsidRDefault="00C923E5" w:rsidP="00C923E5">
                  <w:pPr>
                    <w:spacing w:after="0" w:line="216" w:lineRule="auto"/>
                    <w:jc w:val="center"/>
                  </w:pPr>
                  <w:r>
                    <w:rPr>
                      <w:rFonts w:eastAsia="Arial"/>
                      <w:color w:val="20384D"/>
                      <w:sz w:val="16"/>
                    </w:rPr>
                    <w:t>999 begins</w:t>
                  </w:r>
                </w:p>
              </w:tc>
              <w:tc>
                <w:tcPr>
                  <w:tcW w:w="1250" w:type="dxa"/>
                  <w:tcBorders>
                    <w:top w:val="single" w:sz="4" w:space="0" w:color="91B9D5"/>
                    <w:left w:val="single" w:sz="4" w:space="0" w:color="91B9D5"/>
                    <w:bottom w:val="single" w:sz="4" w:space="0" w:color="91B9D5"/>
                    <w:right w:val="single" w:sz="4" w:space="0" w:color="91B9D5"/>
                  </w:tcBorders>
                  <w:shd w:val="clear" w:color="auto" w:fill="F7F9FB"/>
                  <w:tcMar>
                    <w:top w:w="25" w:type="dxa"/>
                    <w:left w:w="20" w:type="dxa"/>
                    <w:bottom w:w="25" w:type="dxa"/>
                    <w:right w:w="20" w:type="dxa"/>
                  </w:tcMar>
                </w:tcPr>
                <w:p w14:paraId="1454082D" w14:textId="77777777" w:rsidR="00C923E5" w:rsidRDefault="00C923E5" w:rsidP="00C923E5">
                  <w:pPr>
                    <w:spacing w:after="0" w:line="216" w:lineRule="auto"/>
                    <w:jc w:val="center"/>
                  </w:pPr>
                  <w:r>
                    <w:rPr>
                      <w:rFonts w:eastAsia="Arial"/>
                      <w:color w:val="20384D"/>
                      <w:sz w:val="16"/>
                    </w:rPr>
                    <w:t>NHS provision</w:t>
                  </w:r>
                </w:p>
              </w:tc>
              <w:tc>
                <w:tcPr>
                  <w:tcW w:w="1250" w:type="dxa"/>
                  <w:tcBorders>
                    <w:top w:val="single" w:sz="4" w:space="0" w:color="91B9D5"/>
                    <w:left w:val="single" w:sz="4" w:space="0" w:color="91B9D5"/>
                    <w:bottom w:val="single" w:sz="4" w:space="0" w:color="91B9D5"/>
                    <w:right w:val="single" w:sz="4" w:space="0" w:color="91B9D5"/>
                  </w:tcBorders>
                  <w:shd w:val="clear" w:color="auto" w:fill="F7F9FB"/>
                  <w:tcMar>
                    <w:top w:w="25" w:type="dxa"/>
                    <w:left w:w="20" w:type="dxa"/>
                    <w:bottom w:w="25" w:type="dxa"/>
                    <w:right w:w="20" w:type="dxa"/>
                  </w:tcMar>
                </w:tcPr>
                <w:p w14:paraId="76CA61EA" w14:textId="77777777" w:rsidR="00C923E5" w:rsidRDefault="00C923E5" w:rsidP="00C923E5">
                  <w:pPr>
                    <w:spacing w:after="0" w:line="216" w:lineRule="auto"/>
                    <w:jc w:val="center"/>
                  </w:pPr>
                  <w:r>
                    <w:rPr>
                      <w:rFonts w:eastAsia="Arial"/>
                      <w:color w:val="20384D"/>
                      <w:sz w:val="16"/>
                    </w:rPr>
                    <w:t>NHS control</w:t>
                  </w:r>
                </w:p>
              </w:tc>
              <w:tc>
                <w:tcPr>
                  <w:tcW w:w="1250" w:type="dxa"/>
                  <w:tcBorders>
                    <w:top w:val="single" w:sz="4" w:space="0" w:color="91B9D5"/>
                    <w:left w:val="single" w:sz="4" w:space="0" w:color="91B9D5"/>
                    <w:bottom w:val="single" w:sz="4" w:space="0" w:color="91B9D5"/>
                    <w:right w:val="single" w:sz="4" w:space="0" w:color="91B9D5"/>
                  </w:tcBorders>
                  <w:shd w:val="clear" w:color="auto" w:fill="F7F9FB"/>
                  <w:tcMar>
                    <w:top w:w="25" w:type="dxa"/>
                    <w:left w:w="20" w:type="dxa"/>
                    <w:bottom w:w="25" w:type="dxa"/>
                    <w:right w:w="20" w:type="dxa"/>
                  </w:tcMar>
                </w:tcPr>
                <w:p w14:paraId="4D1B375B" w14:textId="77777777" w:rsidR="00C923E5" w:rsidRDefault="00C923E5" w:rsidP="00C923E5">
                  <w:pPr>
                    <w:spacing w:after="0" w:line="216" w:lineRule="auto"/>
                    <w:jc w:val="center"/>
                  </w:pPr>
                  <w:r>
                    <w:rPr>
                      <w:rFonts w:eastAsia="Arial"/>
                      <w:color w:val="20384D"/>
                      <w:sz w:val="16"/>
                    </w:rPr>
                    <w:t>Digital control</w:t>
                  </w:r>
                </w:p>
              </w:tc>
              <w:tc>
                <w:tcPr>
                  <w:tcW w:w="1250" w:type="dxa"/>
                  <w:tcBorders>
                    <w:top w:val="single" w:sz="4" w:space="0" w:color="91B9D5"/>
                    <w:left w:val="single" w:sz="4" w:space="0" w:color="91B9D5"/>
                    <w:bottom w:val="single" w:sz="4" w:space="0" w:color="91B9D5"/>
                    <w:right w:val="single" w:sz="4" w:space="0" w:color="91B9D5"/>
                  </w:tcBorders>
                  <w:shd w:val="clear" w:color="auto" w:fill="F7F9FB"/>
                  <w:tcMar>
                    <w:top w:w="25" w:type="dxa"/>
                    <w:left w:w="20" w:type="dxa"/>
                    <w:bottom w:w="25" w:type="dxa"/>
                    <w:right w:w="20" w:type="dxa"/>
                  </w:tcMar>
                </w:tcPr>
                <w:p w14:paraId="282786E3" w14:textId="77777777" w:rsidR="00C923E5" w:rsidRDefault="00C923E5" w:rsidP="00C923E5">
                  <w:pPr>
                    <w:spacing w:after="0" w:line="216" w:lineRule="auto"/>
                    <w:jc w:val="center"/>
                  </w:pPr>
                  <w:r>
                    <w:rPr>
                      <w:rFonts w:eastAsia="Arial"/>
                      <w:color w:val="20384D"/>
                      <w:sz w:val="16"/>
                    </w:rPr>
                    <w:t>Four categories</w:t>
                  </w:r>
                </w:p>
              </w:tc>
            </w:tr>
          </w:tbl>
          <w:p w14:paraId="19F33898" w14:textId="77777777" w:rsidR="00C923E5" w:rsidRDefault="00C923E5" w:rsidP="00C923E5">
            <w:pPr>
              <w:spacing w:after="0" w:line="226" w:lineRule="auto"/>
            </w:pPr>
            <w:r>
              <w:rPr>
                <w:rFonts w:eastAsia="Arial"/>
                <w:color w:val="20384D"/>
                <w:sz w:val="17"/>
              </w:rPr>
              <w:t xml:space="preserve">The service developed from local patient transport into a regulated clinical profession. London introduced a petrol ambulance in 1904 and the 999 number began in 1937. The NHS created universal ambulance provision in 1948. From the 1970s, services moved into NHS control, while defibrillators, air ambulances and </w:t>
            </w:r>
            <w:proofErr w:type="spellStart"/>
            <w:r>
              <w:rPr>
                <w:rFonts w:eastAsia="Arial"/>
                <w:color w:val="20384D"/>
                <w:sz w:val="17"/>
              </w:rPr>
              <w:t>computerised</w:t>
            </w:r>
            <w:proofErr w:type="spellEnd"/>
            <w:r>
              <w:rPr>
                <w:rFonts w:eastAsia="Arial"/>
                <w:color w:val="20384D"/>
                <w:sz w:val="17"/>
              </w:rPr>
              <w:t xml:space="preserve"> control rooms expanded during the 1980s. Later reforms placed greater emphasis on paramedic-led care and clinical priority rather than automatic transport to hospital (London Ambulance Service NHS Trust, n.d.; NHS England, 2025a).</w:t>
            </w:r>
          </w:p>
        </w:tc>
        <w:tc>
          <w:tcPr>
            <w:tcW w:w="8000" w:type="dxa"/>
            <w:tcBorders>
              <w:top w:val="single" w:sz="5" w:space="0" w:color="91B9D5"/>
              <w:left w:val="single" w:sz="5" w:space="0" w:color="91B9D5"/>
              <w:bottom w:val="single" w:sz="5" w:space="0" w:color="91B9D5"/>
              <w:right w:val="single" w:sz="5" w:space="0" w:color="91B9D5"/>
            </w:tcBorders>
            <w:shd w:val="clear" w:color="auto" w:fill="FFFFFF"/>
            <w:tcMar>
              <w:top w:w="45" w:type="dxa"/>
              <w:left w:w="60" w:type="dxa"/>
              <w:bottom w:w="45" w:type="dxa"/>
              <w:right w:w="60" w:type="dxa"/>
            </w:tcMar>
          </w:tcPr>
          <w:p w14:paraId="22CEEBA6" w14:textId="77777777" w:rsidR="00C923E5" w:rsidRDefault="00C923E5" w:rsidP="00C923E5">
            <w:pPr>
              <w:spacing w:after="20" w:line="228" w:lineRule="auto"/>
            </w:pPr>
            <w:r>
              <w:rPr>
                <w:rFonts w:eastAsia="Arial"/>
                <w:b/>
                <w:color w:val="173A56"/>
                <w:sz w:val="18"/>
              </w:rPr>
              <w:t>A typical patient pathway</w:t>
            </w:r>
          </w:p>
          <w:tbl>
            <w:tblPr>
              <w:tblW w:w="7500" w:type="dxa"/>
              <w:jc w:val="center"/>
              <w:tblLayout w:type="fixed"/>
              <w:tblLook w:val="04A0" w:firstRow="1" w:lastRow="0" w:firstColumn="1" w:lastColumn="0" w:noHBand="0" w:noVBand="1"/>
            </w:tblPr>
            <w:tblGrid>
              <w:gridCol w:w="1250"/>
              <w:gridCol w:w="1250"/>
              <w:gridCol w:w="1250"/>
              <w:gridCol w:w="1250"/>
              <w:gridCol w:w="1250"/>
              <w:gridCol w:w="1250"/>
            </w:tblGrid>
            <w:tr w:rsidR="00C923E5" w14:paraId="16DE5258" w14:textId="77777777" w:rsidTr="00C923E5">
              <w:trPr>
                <w:cantSplit/>
                <w:jc w:val="center"/>
              </w:trPr>
              <w:tc>
                <w:tcPr>
                  <w:tcW w:w="1250" w:type="dxa"/>
                  <w:tcBorders>
                    <w:top w:val="single" w:sz="4" w:space="0" w:color="0B5FA5"/>
                    <w:left w:val="single" w:sz="4" w:space="0" w:color="0B5FA5"/>
                    <w:bottom w:val="single" w:sz="4" w:space="0" w:color="0B5FA5"/>
                    <w:right w:val="single" w:sz="4" w:space="0" w:color="0B5FA5"/>
                  </w:tcBorders>
                  <w:shd w:val="clear" w:color="auto" w:fill="EAF3F9"/>
                  <w:tcMar>
                    <w:top w:w="25" w:type="dxa"/>
                    <w:left w:w="15" w:type="dxa"/>
                    <w:bottom w:w="25" w:type="dxa"/>
                    <w:right w:w="15" w:type="dxa"/>
                  </w:tcMar>
                </w:tcPr>
                <w:p w14:paraId="7732FD44" w14:textId="77777777" w:rsidR="00C923E5" w:rsidRDefault="00C923E5" w:rsidP="00C923E5">
                  <w:pPr>
                    <w:spacing w:after="0" w:line="211" w:lineRule="auto"/>
                    <w:jc w:val="center"/>
                  </w:pPr>
                  <w:r>
                    <w:rPr>
                      <w:rFonts w:eastAsia="Arial"/>
                      <w:b/>
                      <w:color w:val="0B5FA5"/>
                      <w:sz w:val="16"/>
                    </w:rPr>
                    <w:t>1 Call</w:t>
                  </w:r>
                </w:p>
              </w:tc>
              <w:tc>
                <w:tcPr>
                  <w:tcW w:w="1250" w:type="dxa"/>
                  <w:tcBorders>
                    <w:top w:val="single" w:sz="4" w:space="0" w:color="0B5FA5"/>
                    <w:left w:val="single" w:sz="4" w:space="0" w:color="0B5FA5"/>
                    <w:bottom w:val="single" w:sz="4" w:space="0" w:color="0B5FA5"/>
                    <w:right w:val="single" w:sz="4" w:space="0" w:color="0B5FA5"/>
                  </w:tcBorders>
                  <w:shd w:val="clear" w:color="auto" w:fill="EAF3F9"/>
                  <w:tcMar>
                    <w:top w:w="25" w:type="dxa"/>
                    <w:left w:w="15" w:type="dxa"/>
                    <w:bottom w:w="25" w:type="dxa"/>
                    <w:right w:w="15" w:type="dxa"/>
                  </w:tcMar>
                </w:tcPr>
                <w:p w14:paraId="7A2B2238" w14:textId="77777777" w:rsidR="00C923E5" w:rsidRDefault="00C923E5" w:rsidP="00C923E5">
                  <w:pPr>
                    <w:spacing w:after="0" w:line="211" w:lineRule="auto"/>
                    <w:jc w:val="center"/>
                  </w:pPr>
                  <w:r>
                    <w:rPr>
                      <w:rFonts w:eastAsia="Arial"/>
                      <w:b/>
                      <w:color w:val="0B5FA5"/>
                      <w:sz w:val="16"/>
                    </w:rPr>
                    <w:t>2 Triage</w:t>
                  </w:r>
                </w:p>
              </w:tc>
              <w:tc>
                <w:tcPr>
                  <w:tcW w:w="1250" w:type="dxa"/>
                  <w:tcBorders>
                    <w:top w:val="single" w:sz="4" w:space="0" w:color="0B5FA5"/>
                    <w:left w:val="single" w:sz="4" w:space="0" w:color="0B5FA5"/>
                    <w:bottom w:val="single" w:sz="4" w:space="0" w:color="0B5FA5"/>
                    <w:right w:val="single" w:sz="4" w:space="0" w:color="0B5FA5"/>
                  </w:tcBorders>
                  <w:shd w:val="clear" w:color="auto" w:fill="EAF3F9"/>
                  <w:tcMar>
                    <w:top w:w="25" w:type="dxa"/>
                    <w:left w:w="15" w:type="dxa"/>
                    <w:bottom w:w="25" w:type="dxa"/>
                    <w:right w:w="15" w:type="dxa"/>
                  </w:tcMar>
                </w:tcPr>
                <w:p w14:paraId="63CCBCBF" w14:textId="77777777" w:rsidR="00C923E5" w:rsidRDefault="00C923E5" w:rsidP="00C923E5">
                  <w:pPr>
                    <w:spacing w:after="0" w:line="211" w:lineRule="auto"/>
                    <w:jc w:val="center"/>
                  </w:pPr>
                  <w:r>
                    <w:rPr>
                      <w:rFonts w:eastAsia="Arial"/>
                      <w:b/>
                      <w:color w:val="0B5FA5"/>
                      <w:sz w:val="16"/>
                    </w:rPr>
                    <w:t>3 Response</w:t>
                  </w:r>
                </w:p>
              </w:tc>
              <w:tc>
                <w:tcPr>
                  <w:tcW w:w="1250" w:type="dxa"/>
                  <w:tcBorders>
                    <w:top w:val="single" w:sz="4" w:space="0" w:color="0B5FA5"/>
                    <w:left w:val="single" w:sz="4" w:space="0" w:color="0B5FA5"/>
                    <w:bottom w:val="single" w:sz="4" w:space="0" w:color="0B5FA5"/>
                    <w:right w:val="single" w:sz="4" w:space="0" w:color="0B5FA5"/>
                  </w:tcBorders>
                  <w:shd w:val="clear" w:color="auto" w:fill="EAF3F9"/>
                  <w:tcMar>
                    <w:top w:w="25" w:type="dxa"/>
                    <w:left w:w="15" w:type="dxa"/>
                    <w:bottom w:w="25" w:type="dxa"/>
                    <w:right w:w="15" w:type="dxa"/>
                  </w:tcMar>
                </w:tcPr>
                <w:p w14:paraId="4071D5B6" w14:textId="77777777" w:rsidR="00C923E5" w:rsidRDefault="00C923E5" w:rsidP="00C923E5">
                  <w:pPr>
                    <w:spacing w:after="0" w:line="211" w:lineRule="auto"/>
                    <w:jc w:val="center"/>
                  </w:pPr>
                  <w:r>
                    <w:rPr>
                      <w:rFonts w:eastAsia="Arial"/>
                      <w:b/>
                      <w:color w:val="0B5FA5"/>
                      <w:sz w:val="16"/>
                    </w:rPr>
                    <w:t>4 Care</w:t>
                  </w:r>
                </w:p>
              </w:tc>
              <w:tc>
                <w:tcPr>
                  <w:tcW w:w="1250" w:type="dxa"/>
                  <w:tcBorders>
                    <w:top w:val="single" w:sz="4" w:space="0" w:color="0B5FA5"/>
                    <w:left w:val="single" w:sz="4" w:space="0" w:color="0B5FA5"/>
                    <w:bottom w:val="single" w:sz="4" w:space="0" w:color="0B5FA5"/>
                    <w:right w:val="single" w:sz="4" w:space="0" w:color="0B5FA5"/>
                  </w:tcBorders>
                  <w:shd w:val="clear" w:color="auto" w:fill="EAF3F9"/>
                  <w:tcMar>
                    <w:top w:w="25" w:type="dxa"/>
                    <w:left w:w="15" w:type="dxa"/>
                    <w:bottom w:w="25" w:type="dxa"/>
                    <w:right w:w="15" w:type="dxa"/>
                  </w:tcMar>
                </w:tcPr>
                <w:p w14:paraId="6A20774A" w14:textId="77777777" w:rsidR="00C923E5" w:rsidRDefault="00C923E5" w:rsidP="00C923E5">
                  <w:pPr>
                    <w:spacing w:after="0" w:line="211" w:lineRule="auto"/>
                    <w:jc w:val="center"/>
                  </w:pPr>
                  <w:r>
                    <w:rPr>
                      <w:rFonts w:eastAsia="Arial"/>
                      <w:b/>
                      <w:color w:val="0B5FA5"/>
                      <w:sz w:val="16"/>
                    </w:rPr>
                    <w:t>5 Outcome</w:t>
                  </w:r>
                </w:p>
              </w:tc>
              <w:tc>
                <w:tcPr>
                  <w:tcW w:w="1250" w:type="dxa"/>
                  <w:tcBorders>
                    <w:top w:val="single" w:sz="4" w:space="0" w:color="0B5FA5"/>
                    <w:left w:val="single" w:sz="4" w:space="0" w:color="0B5FA5"/>
                    <w:bottom w:val="single" w:sz="4" w:space="0" w:color="0B5FA5"/>
                    <w:right w:val="single" w:sz="4" w:space="0" w:color="0B5FA5"/>
                  </w:tcBorders>
                  <w:shd w:val="clear" w:color="auto" w:fill="EAF3F9"/>
                  <w:tcMar>
                    <w:top w:w="25" w:type="dxa"/>
                    <w:left w:w="15" w:type="dxa"/>
                    <w:bottom w:w="25" w:type="dxa"/>
                    <w:right w:w="15" w:type="dxa"/>
                  </w:tcMar>
                </w:tcPr>
                <w:p w14:paraId="7A8D395B" w14:textId="77777777" w:rsidR="00C923E5" w:rsidRDefault="00C923E5" w:rsidP="00C923E5">
                  <w:pPr>
                    <w:spacing w:after="0" w:line="211" w:lineRule="auto"/>
                    <w:jc w:val="center"/>
                  </w:pPr>
                  <w:r>
                    <w:rPr>
                      <w:rFonts w:eastAsia="Arial"/>
                      <w:b/>
                      <w:color w:val="0B5FA5"/>
                      <w:sz w:val="16"/>
                    </w:rPr>
                    <w:t>6 Handover</w:t>
                  </w:r>
                </w:p>
              </w:tc>
            </w:tr>
            <w:tr w:rsidR="00C923E5" w14:paraId="0A13BB21" w14:textId="77777777" w:rsidTr="00C923E5">
              <w:trPr>
                <w:cantSplit/>
                <w:jc w:val="center"/>
              </w:trPr>
              <w:tc>
                <w:tcPr>
                  <w:tcW w:w="1250" w:type="dxa"/>
                  <w:tcBorders>
                    <w:top w:val="single" w:sz="4" w:space="0" w:color="0B5FA5"/>
                    <w:left w:val="single" w:sz="4" w:space="0" w:color="0B5FA5"/>
                    <w:bottom w:val="single" w:sz="4" w:space="0" w:color="0B5FA5"/>
                    <w:right w:val="single" w:sz="4" w:space="0" w:color="0B5FA5"/>
                  </w:tcBorders>
                  <w:shd w:val="clear" w:color="auto" w:fill="FFFFFF"/>
                  <w:tcMar>
                    <w:top w:w="25" w:type="dxa"/>
                    <w:left w:w="15" w:type="dxa"/>
                    <w:bottom w:w="25" w:type="dxa"/>
                    <w:right w:w="15" w:type="dxa"/>
                  </w:tcMar>
                </w:tcPr>
                <w:p w14:paraId="6A09BE3A" w14:textId="77777777" w:rsidR="00C923E5" w:rsidRDefault="00C923E5" w:rsidP="00C923E5">
                  <w:pPr>
                    <w:spacing w:after="0" w:line="211" w:lineRule="auto"/>
                    <w:jc w:val="center"/>
                  </w:pPr>
                  <w:r>
                    <w:rPr>
                      <w:rFonts w:eastAsia="Arial"/>
                      <w:color w:val="20384D"/>
                      <w:sz w:val="15"/>
                    </w:rPr>
                    <w:t>999/referral</w:t>
                  </w:r>
                </w:p>
              </w:tc>
              <w:tc>
                <w:tcPr>
                  <w:tcW w:w="1250" w:type="dxa"/>
                  <w:tcBorders>
                    <w:top w:val="single" w:sz="4" w:space="0" w:color="0B5FA5"/>
                    <w:left w:val="single" w:sz="4" w:space="0" w:color="0B5FA5"/>
                    <w:bottom w:val="single" w:sz="4" w:space="0" w:color="0B5FA5"/>
                    <w:right w:val="single" w:sz="4" w:space="0" w:color="0B5FA5"/>
                  </w:tcBorders>
                  <w:shd w:val="clear" w:color="auto" w:fill="FFFFFF"/>
                  <w:tcMar>
                    <w:top w:w="25" w:type="dxa"/>
                    <w:left w:w="15" w:type="dxa"/>
                    <w:bottom w:w="25" w:type="dxa"/>
                    <w:right w:w="15" w:type="dxa"/>
                  </w:tcMar>
                </w:tcPr>
                <w:p w14:paraId="12D3A31F" w14:textId="77777777" w:rsidR="00C923E5" w:rsidRDefault="00C923E5" w:rsidP="00C923E5">
                  <w:pPr>
                    <w:spacing w:after="0" w:line="211" w:lineRule="auto"/>
                    <w:jc w:val="center"/>
                  </w:pPr>
                  <w:r>
                    <w:rPr>
                      <w:rFonts w:eastAsia="Arial"/>
                      <w:color w:val="20384D"/>
                      <w:sz w:val="15"/>
                    </w:rPr>
                    <w:t>Priority set</w:t>
                  </w:r>
                </w:p>
              </w:tc>
              <w:tc>
                <w:tcPr>
                  <w:tcW w:w="1250" w:type="dxa"/>
                  <w:tcBorders>
                    <w:top w:val="single" w:sz="4" w:space="0" w:color="0B5FA5"/>
                    <w:left w:val="single" w:sz="4" w:space="0" w:color="0B5FA5"/>
                    <w:bottom w:val="single" w:sz="4" w:space="0" w:color="0B5FA5"/>
                    <w:right w:val="single" w:sz="4" w:space="0" w:color="0B5FA5"/>
                  </w:tcBorders>
                  <w:shd w:val="clear" w:color="auto" w:fill="FFFFFF"/>
                  <w:tcMar>
                    <w:top w:w="25" w:type="dxa"/>
                    <w:left w:w="15" w:type="dxa"/>
                    <w:bottom w:w="25" w:type="dxa"/>
                    <w:right w:w="15" w:type="dxa"/>
                  </w:tcMar>
                </w:tcPr>
                <w:p w14:paraId="5C258CE4" w14:textId="77777777" w:rsidR="00C923E5" w:rsidRDefault="00C923E5" w:rsidP="00C923E5">
                  <w:pPr>
                    <w:spacing w:after="0" w:line="211" w:lineRule="auto"/>
                    <w:jc w:val="center"/>
                  </w:pPr>
                  <w:r>
                    <w:rPr>
                      <w:rFonts w:eastAsia="Arial"/>
                      <w:color w:val="20384D"/>
                      <w:sz w:val="15"/>
                    </w:rPr>
                    <w:t>Advice or crew</w:t>
                  </w:r>
                </w:p>
              </w:tc>
              <w:tc>
                <w:tcPr>
                  <w:tcW w:w="1250" w:type="dxa"/>
                  <w:tcBorders>
                    <w:top w:val="single" w:sz="4" w:space="0" w:color="0B5FA5"/>
                    <w:left w:val="single" w:sz="4" w:space="0" w:color="0B5FA5"/>
                    <w:bottom w:val="single" w:sz="4" w:space="0" w:color="0B5FA5"/>
                    <w:right w:val="single" w:sz="4" w:space="0" w:color="0B5FA5"/>
                  </w:tcBorders>
                  <w:shd w:val="clear" w:color="auto" w:fill="FFFFFF"/>
                  <w:tcMar>
                    <w:top w:w="25" w:type="dxa"/>
                    <w:left w:w="15" w:type="dxa"/>
                    <w:bottom w:w="25" w:type="dxa"/>
                    <w:right w:w="15" w:type="dxa"/>
                  </w:tcMar>
                </w:tcPr>
                <w:p w14:paraId="279ADC40" w14:textId="77777777" w:rsidR="00C923E5" w:rsidRDefault="00C923E5" w:rsidP="00C923E5">
                  <w:pPr>
                    <w:spacing w:after="0" w:line="211" w:lineRule="auto"/>
                    <w:jc w:val="center"/>
                  </w:pPr>
                  <w:r>
                    <w:rPr>
                      <w:rFonts w:eastAsia="Arial"/>
                      <w:color w:val="20384D"/>
                      <w:sz w:val="15"/>
                    </w:rPr>
                    <w:t>Assess/treat</w:t>
                  </w:r>
                </w:p>
              </w:tc>
              <w:tc>
                <w:tcPr>
                  <w:tcW w:w="1250" w:type="dxa"/>
                  <w:tcBorders>
                    <w:top w:val="single" w:sz="4" w:space="0" w:color="0B5FA5"/>
                    <w:left w:val="single" w:sz="4" w:space="0" w:color="0B5FA5"/>
                    <w:bottom w:val="single" w:sz="4" w:space="0" w:color="0B5FA5"/>
                    <w:right w:val="single" w:sz="4" w:space="0" w:color="0B5FA5"/>
                  </w:tcBorders>
                  <w:shd w:val="clear" w:color="auto" w:fill="FFFFFF"/>
                  <w:tcMar>
                    <w:top w:w="25" w:type="dxa"/>
                    <w:left w:w="15" w:type="dxa"/>
                    <w:bottom w:w="25" w:type="dxa"/>
                    <w:right w:w="15" w:type="dxa"/>
                  </w:tcMar>
                </w:tcPr>
                <w:p w14:paraId="7B00396B" w14:textId="77777777" w:rsidR="00C923E5" w:rsidRDefault="00C923E5" w:rsidP="00C923E5">
                  <w:pPr>
                    <w:spacing w:after="0" w:line="211" w:lineRule="auto"/>
                    <w:jc w:val="center"/>
                  </w:pPr>
                  <w:r>
                    <w:rPr>
                      <w:rFonts w:eastAsia="Arial"/>
                      <w:color w:val="20384D"/>
                      <w:sz w:val="15"/>
                    </w:rPr>
                    <w:t>Home/referral/hospital</w:t>
                  </w:r>
                </w:p>
              </w:tc>
              <w:tc>
                <w:tcPr>
                  <w:tcW w:w="1250" w:type="dxa"/>
                  <w:tcBorders>
                    <w:top w:val="single" w:sz="4" w:space="0" w:color="0B5FA5"/>
                    <w:left w:val="single" w:sz="4" w:space="0" w:color="0B5FA5"/>
                    <w:bottom w:val="single" w:sz="4" w:space="0" w:color="0B5FA5"/>
                    <w:right w:val="single" w:sz="4" w:space="0" w:color="0B5FA5"/>
                  </w:tcBorders>
                  <w:shd w:val="clear" w:color="auto" w:fill="FFFFFF"/>
                  <w:tcMar>
                    <w:top w:w="25" w:type="dxa"/>
                    <w:left w:w="15" w:type="dxa"/>
                    <w:bottom w:w="25" w:type="dxa"/>
                    <w:right w:w="15" w:type="dxa"/>
                  </w:tcMar>
                </w:tcPr>
                <w:p w14:paraId="52A7CA96" w14:textId="77777777" w:rsidR="00C923E5" w:rsidRDefault="00C923E5" w:rsidP="00C923E5">
                  <w:pPr>
                    <w:spacing w:after="0" w:line="211" w:lineRule="auto"/>
                    <w:jc w:val="center"/>
                  </w:pPr>
                  <w:r>
                    <w:rPr>
                      <w:rFonts w:eastAsia="Arial"/>
                      <w:color w:val="20384D"/>
                      <w:sz w:val="15"/>
                    </w:rPr>
                    <w:t>Responsibility transfers</w:t>
                  </w:r>
                </w:p>
              </w:tc>
            </w:tr>
          </w:tbl>
          <w:p w14:paraId="31FEA446" w14:textId="77777777" w:rsidR="00C923E5" w:rsidRDefault="00C923E5" w:rsidP="00C923E5">
            <w:pPr>
              <w:spacing w:after="20" w:line="226" w:lineRule="auto"/>
            </w:pPr>
            <w:r>
              <w:rPr>
                <w:rFonts w:eastAsia="Arial"/>
                <w:b/>
                <w:color w:val="20384D"/>
                <w:sz w:val="17"/>
              </w:rPr>
              <w:t xml:space="preserve">1. Call and triage: </w:t>
            </w:r>
            <w:r>
              <w:rPr>
                <w:rFonts w:eastAsia="Arial"/>
                <w:color w:val="20384D"/>
                <w:sz w:val="17"/>
              </w:rPr>
              <w:t>Call handlers identify immediate danger, symptoms and location, then assign a clinical priority.</w:t>
            </w:r>
          </w:p>
          <w:p w14:paraId="10F0EF9E" w14:textId="77777777" w:rsidR="00C923E5" w:rsidRDefault="00C923E5" w:rsidP="00C923E5">
            <w:pPr>
              <w:spacing w:after="20" w:line="226" w:lineRule="auto"/>
            </w:pPr>
            <w:r>
              <w:rPr>
                <w:rFonts w:eastAsia="Arial"/>
                <w:b/>
                <w:color w:val="20384D"/>
                <w:sz w:val="17"/>
              </w:rPr>
              <w:t xml:space="preserve">2. Match the response: </w:t>
            </w:r>
            <w:r>
              <w:rPr>
                <w:rFonts w:eastAsia="Arial"/>
                <w:color w:val="20384D"/>
                <w:sz w:val="17"/>
              </w:rPr>
              <w:t>The patient may receive an ambulance, rapid-response clinician, telephone advice or referral.</w:t>
            </w:r>
          </w:p>
          <w:p w14:paraId="0625403E" w14:textId="77777777" w:rsidR="00C923E5" w:rsidRDefault="00C923E5" w:rsidP="00C923E5">
            <w:pPr>
              <w:spacing w:after="20" w:line="226" w:lineRule="auto"/>
            </w:pPr>
            <w:r>
              <w:rPr>
                <w:rFonts w:eastAsia="Arial"/>
                <w:b/>
                <w:color w:val="20384D"/>
                <w:sz w:val="17"/>
              </w:rPr>
              <w:t xml:space="preserve">3. Assess and treat: </w:t>
            </w:r>
            <w:r>
              <w:rPr>
                <w:rFonts w:eastAsia="Arial"/>
                <w:color w:val="20384D"/>
                <w:sz w:val="17"/>
              </w:rPr>
              <w:t>Clinicians examine the patient, provide emergency treatment and consider wider needs.</w:t>
            </w:r>
          </w:p>
          <w:p w14:paraId="5E1E34B5" w14:textId="77777777" w:rsidR="00C923E5" w:rsidRDefault="00C923E5" w:rsidP="00C923E5">
            <w:pPr>
              <w:spacing w:after="20" w:line="226" w:lineRule="auto"/>
            </w:pPr>
            <w:r>
              <w:rPr>
                <w:rFonts w:eastAsia="Arial"/>
                <w:b/>
                <w:color w:val="20384D"/>
                <w:sz w:val="17"/>
              </w:rPr>
              <w:t xml:space="preserve">4. Choose the outcome: </w:t>
            </w:r>
            <w:r>
              <w:rPr>
                <w:rFonts w:eastAsia="Arial"/>
                <w:color w:val="20384D"/>
                <w:sz w:val="17"/>
              </w:rPr>
              <w:t>The person may remain at home, be referred to another service or be taken to hospital.</w:t>
            </w:r>
          </w:p>
          <w:p w14:paraId="47D8E7B5" w14:textId="77777777" w:rsidR="00C923E5" w:rsidRDefault="00C923E5" w:rsidP="00C923E5">
            <w:pPr>
              <w:spacing w:after="20" w:line="226" w:lineRule="auto"/>
            </w:pPr>
            <w:r>
              <w:rPr>
                <w:rFonts w:eastAsia="Arial"/>
                <w:b/>
                <w:color w:val="20384D"/>
                <w:sz w:val="17"/>
              </w:rPr>
              <w:t xml:space="preserve">5. Handover: </w:t>
            </w:r>
            <w:r>
              <w:rPr>
                <w:rFonts w:eastAsia="Arial"/>
                <w:color w:val="20384D"/>
                <w:sz w:val="17"/>
              </w:rPr>
              <w:t>When hospital care is required, clinical information and responsibility are transferred so the crew can return to service (NHS England, 2024; NHS England, 2025c).</w:t>
            </w:r>
          </w:p>
        </w:tc>
      </w:tr>
      <w:tr w:rsidR="00C923E5" w14:paraId="475AF29B" w14:textId="77777777" w:rsidTr="00C923E5">
        <w:trPr>
          <w:cantSplit/>
          <w:jc w:val="center"/>
        </w:trPr>
        <w:tc>
          <w:tcPr>
            <w:tcW w:w="8000" w:type="dxa"/>
            <w:tcBorders>
              <w:top w:val="single" w:sz="4" w:space="0" w:color="EAF3F9"/>
              <w:left w:val="single" w:sz="4" w:space="0" w:color="EAF3F9"/>
              <w:bottom w:val="single" w:sz="4" w:space="0" w:color="EAF3F9"/>
              <w:right w:val="single" w:sz="4" w:space="0" w:color="EAF3F9"/>
            </w:tcBorders>
            <w:shd w:val="clear" w:color="auto" w:fill="EAF3F9"/>
            <w:tcMar>
              <w:top w:w="55" w:type="dxa"/>
              <w:left w:w="75" w:type="dxa"/>
              <w:bottom w:w="55" w:type="dxa"/>
              <w:right w:w="75" w:type="dxa"/>
            </w:tcMar>
          </w:tcPr>
          <w:p w14:paraId="4E3D9875" w14:textId="77777777" w:rsidR="00C923E5" w:rsidRDefault="00C923E5" w:rsidP="00C923E5">
            <w:pPr>
              <w:spacing w:after="0" w:line="240" w:lineRule="auto"/>
            </w:pPr>
            <w:r>
              <w:rPr>
                <w:rFonts w:eastAsia="Arial"/>
                <w:b/>
                <w:color w:val="0B5FA5"/>
                <w:sz w:val="23"/>
              </w:rPr>
              <w:t>PERFORMANCE DATA</w:t>
            </w:r>
          </w:p>
        </w:tc>
        <w:tc>
          <w:tcPr>
            <w:tcW w:w="8000" w:type="dxa"/>
            <w:tcBorders>
              <w:top w:val="single" w:sz="4" w:space="0" w:color="EAF3F9"/>
              <w:left w:val="single" w:sz="4" w:space="0" w:color="EAF3F9"/>
              <w:bottom w:val="single" w:sz="4" w:space="0" w:color="EAF3F9"/>
              <w:right w:val="single" w:sz="4" w:space="0" w:color="EAF3F9"/>
            </w:tcBorders>
            <w:shd w:val="clear" w:color="auto" w:fill="EAF3F9"/>
            <w:tcMar>
              <w:top w:w="55" w:type="dxa"/>
              <w:left w:w="75" w:type="dxa"/>
              <w:bottom w:w="55" w:type="dxa"/>
              <w:right w:w="75" w:type="dxa"/>
            </w:tcMar>
          </w:tcPr>
          <w:p w14:paraId="2C0E9AF2" w14:textId="77777777" w:rsidR="00C923E5" w:rsidRDefault="00C923E5" w:rsidP="00C923E5">
            <w:pPr>
              <w:spacing w:after="0" w:line="240" w:lineRule="auto"/>
            </w:pPr>
            <w:r>
              <w:rPr>
                <w:rFonts w:eastAsia="Arial"/>
                <w:b/>
                <w:color w:val="0B5FA5"/>
                <w:sz w:val="23"/>
              </w:rPr>
              <w:t>WHAT THE FIGURES SHOW</w:t>
            </w:r>
          </w:p>
        </w:tc>
      </w:tr>
      <w:tr w:rsidR="00C923E5" w14:paraId="15416603" w14:textId="77777777" w:rsidTr="00C923E5">
        <w:trPr>
          <w:cantSplit/>
          <w:jc w:val="center"/>
        </w:trPr>
        <w:tc>
          <w:tcPr>
            <w:tcW w:w="8000" w:type="dxa"/>
            <w:tcBorders>
              <w:top w:val="single" w:sz="5" w:space="0" w:color="91B9D5"/>
              <w:left w:val="single" w:sz="5" w:space="0" w:color="91B9D5"/>
              <w:bottom w:val="single" w:sz="5" w:space="0" w:color="91B9D5"/>
              <w:right w:val="single" w:sz="5" w:space="0" w:color="91B9D5"/>
            </w:tcBorders>
            <w:shd w:val="clear" w:color="auto" w:fill="EAF3F9"/>
            <w:tcMar>
              <w:top w:w="45" w:type="dxa"/>
              <w:left w:w="60" w:type="dxa"/>
              <w:bottom w:w="45" w:type="dxa"/>
              <w:right w:w="60" w:type="dxa"/>
            </w:tcMar>
          </w:tcPr>
          <w:p w14:paraId="071A0319" w14:textId="77777777" w:rsidR="00150285" w:rsidRDefault="001127E5">
            <w:pPr>
              <w:spacing w:after="0"/>
            </w:pPr>
            <w:r>
              <w:rPr>
                <w:sz w:val="17"/>
              </w:rPr>
              <w:t>• 999 calls answered in May 2025: 800,660</w:t>
            </w:r>
          </w:p>
          <w:p w14:paraId="0BF580F2" w14:textId="77777777" w:rsidR="00150285" w:rsidRDefault="001127E5">
            <w:pPr>
              <w:spacing w:after="0"/>
            </w:pPr>
            <w:r>
              <w:rPr>
                <w:sz w:val="17"/>
              </w:rPr>
              <w:t>• Incidents conveyed to A&amp;E: 383,664</w:t>
            </w:r>
          </w:p>
          <w:p w14:paraId="6460737E" w14:textId="77777777" w:rsidR="00150285" w:rsidRDefault="001127E5">
            <w:pPr>
              <w:spacing w:after="0"/>
            </w:pPr>
            <w:r>
              <w:rPr>
                <w:sz w:val="17"/>
              </w:rPr>
              <w:t>• Average Category 2 response: 27 minutes 54 seconds</w:t>
            </w:r>
          </w:p>
          <w:p w14:paraId="633B8FB9" w14:textId="77777777" w:rsidR="00150285" w:rsidRDefault="001127E5">
            <w:pPr>
              <w:spacing w:after="0"/>
            </w:pPr>
            <w:r>
              <w:rPr>
                <w:sz w:val="17"/>
              </w:rPr>
              <w:t>• Calls managed through “Hear and Treat” since March 2024: 16%</w:t>
            </w:r>
          </w:p>
        </w:tc>
        <w:tc>
          <w:tcPr>
            <w:tcW w:w="8000" w:type="dxa"/>
            <w:tcBorders>
              <w:top w:val="single" w:sz="5" w:space="0" w:color="91B9D5"/>
              <w:left w:val="single" w:sz="5" w:space="0" w:color="91B9D5"/>
              <w:bottom w:val="single" w:sz="5" w:space="0" w:color="91B9D5"/>
              <w:right w:val="single" w:sz="5" w:space="0" w:color="91B9D5"/>
            </w:tcBorders>
            <w:shd w:val="clear" w:color="auto" w:fill="EAF3F9"/>
            <w:tcMar>
              <w:top w:w="45" w:type="dxa"/>
              <w:left w:w="60" w:type="dxa"/>
              <w:bottom w:w="45" w:type="dxa"/>
              <w:right w:w="60" w:type="dxa"/>
            </w:tcMar>
          </w:tcPr>
          <w:p w14:paraId="7F059C12" w14:textId="77777777" w:rsidR="00150285" w:rsidRDefault="001127E5">
            <w:pPr>
              <w:spacing w:after="0"/>
            </w:pPr>
            <w:r>
              <w:rPr>
                <w:sz w:val="16"/>
              </w:rPr>
              <w:t>Only 47.9% of answered 999 calls resulted in conveyance to an emergency department. The average Category 2 response was 9 minutes 54 seconds above the 18-minute NHS standard, although it remained below the 30-minute operational target for 2025/26. These figures show why telephone assessment, treatment at scene and community referral are important for protecting emergency capacity (NHS England, 2025b).</w:t>
            </w:r>
          </w:p>
        </w:tc>
      </w:tr>
    </w:tbl>
    <w:p w14:paraId="08F34428" w14:textId="77777777" w:rsidR="00504010" w:rsidRPr="00EB3D38" w:rsidRDefault="00504010" w:rsidP="00504010">
      <w:pPr>
        <w:spacing w:before="40" w:after="0" w:line="240" w:lineRule="auto"/>
        <w:jc w:val="center"/>
        <w:rPr>
          <w:rFonts w:cs="Arial"/>
        </w:rPr>
      </w:pPr>
      <w:r>
        <w:rPr>
          <w:noProof/>
        </w:rPr>
        <w:drawing>
          <wp:inline distT="0" distB="0" distL="0" distR="0" wp14:anchorId="7B286D58" wp14:editId="58F7C978">
            <wp:extent cx="9966960" cy="2460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bulance_statistical_panel.png"/>
                    <pic:cNvPicPr/>
                  </pic:nvPicPr>
                  <pic:blipFill>
                    <a:blip r:embed="rId7"/>
                    <a:stretch>
                      <a:fillRect/>
                    </a:stretch>
                  </pic:blipFill>
                  <pic:spPr>
                    <a:xfrm>
                      <a:off x="0" y="0"/>
                      <a:ext cx="9966960" cy="2460367"/>
                    </a:xfrm>
                    <a:prstGeom prst="rect">
                      <a:avLst/>
                    </a:prstGeom>
                  </pic:spPr>
                </pic:pic>
              </a:graphicData>
            </a:graphic>
          </wp:inline>
        </w:drawing>
      </w:r>
    </w:p>
    <w:p w14:paraId="778A5572" w14:textId="77777777" w:rsidR="00C923E5" w:rsidRDefault="00C923E5" w:rsidP="00C923E5">
      <w:pPr>
        <w:pageBreakBefore/>
        <w:spacing w:after="40" w:line="240" w:lineRule="auto"/>
        <w:jc w:val="center"/>
      </w:pPr>
      <w:r>
        <w:rPr>
          <w:rFonts w:eastAsia="Arial"/>
          <w:b/>
          <w:color w:val="0B5FA5"/>
          <w:sz w:val="37"/>
        </w:rPr>
        <w:lastRenderedPageBreak/>
        <w:t>AMBULANCE SERVICES: CHALLENGES AND IMPROVEMENT</w:t>
      </w:r>
    </w:p>
    <w:tbl>
      <w:tblPr>
        <w:tblW w:w="16000" w:type="dxa"/>
        <w:jc w:val="center"/>
        <w:tblLayout w:type="fixed"/>
        <w:tblLook w:val="04A0" w:firstRow="1" w:lastRow="0" w:firstColumn="1" w:lastColumn="0" w:noHBand="0" w:noVBand="1"/>
      </w:tblPr>
      <w:tblGrid>
        <w:gridCol w:w="8000"/>
        <w:gridCol w:w="8000"/>
      </w:tblGrid>
      <w:tr w:rsidR="00C923E5" w14:paraId="1E5A6CB3" w14:textId="77777777" w:rsidTr="00C923E5">
        <w:trPr>
          <w:cantSplit/>
          <w:jc w:val="center"/>
        </w:trPr>
        <w:tc>
          <w:tcPr>
            <w:tcW w:w="8000" w:type="dxa"/>
            <w:tcBorders>
              <w:top w:val="single" w:sz="4" w:space="0" w:color="D4A62A"/>
              <w:left w:val="single" w:sz="4" w:space="0" w:color="D4A62A"/>
              <w:bottom w:val="single" w:sz="4" w:space="0" w:color="D4A62A"/>
              <w:right w:val="single" w:sz="4" w:space="0" w:color="D4A62A"/>
            </w:tcBorders>
            <w:shd w:val="clear" w:color="auto" w:fill="D4A62A"/>
            <w:tcMar>
              <w:top w:w="55" w:type="dxa"/>
              <w:left w:w="75" w:type="dxa"/>
              <w:bottom w:w="55" w:type="dxa"/>
              <w:right w:w="75" w:type="dxa"/>
            </w:tcMar>
          </w:tcPr>
          <w:p w14:paraId="10FCE8FC" w14:textId="77777777" w:rsidR="00C923E5" w:rsidRDefault="00C923E5" w:rsidP="00C923E5">
            <w:pPr>
              <w:spacing w:after="0" w:line="240" w:lineRule="auto"/>
            </w:pPr>
            <w:r>
              <w:rPr>
                <w:rFonts w:eastAsia="Arial"/>
                <w:b/>
                <w:color w:val="FFFFFF"/>
                <w:sz w:val="23"/>
              </w:rPr>
              <w:t>CHALLENGE 1: RISING DEMAND AND COMPLEX NEEDS</w:t>
            </w:r>
          </w:p>
        </w:tc>
        <w:tc>
          <w:tcPr>
            <w:tcW w:w="8000" w:type="dxa"/>
            <w:tcBorders>
              <w:top w:val="single" w:sz="4" w:space="0" w:color="B63228"/>
              <w:left w:val="single" w:sz="4" w:space="0" w:color="B63228"/>
              <w:bottom w:val="single" w:sz="4" w:space="0" w:color="B63228"/>
              <w:right w:val="single" w:sz="4" w:space="0" w:color="B63228"/>
            </w:tcBorders>
            <w:shd w:val="clear" w:color="auto" w:fill="B63228"/>
            <w:tcMar>
              <w:top w:w="55" w:type="dxa"/>
              <w:left w:w="75" w:type="dxa"/>
              <w:bottom w:w="55" w:type="dxa"/>
              <w:right w:w="75" w:type="dxa"/>
            </w:tcMar>
          </w:tcPr>
          <w:p w14:paraId="5182B4AF" w14:textId="77777777" w:rsidR="00C923E5" w:rsidRDefault="00C923E5" w:rsidP="00C923E5">
            <w:pPr>
              <w:spacing w:after="0" w:line="240" w:lineRule="auto"/>
            </w:pPr>
            <w:r>
              <w:rPr>
                <w:rFonts w:eastAsia="Arial"/>
                <w:b/>
                <w:color w:val="FFFFFF"/>
                <w:sz w:val="23"/>
              </w:rPr>
              <w:t>CHALLENGE 2: HOSPITAL HANDOVER DELAYS</w:t>
            </w:r>
          </w:p>
        </w:tc>
      </w:tr>
      <w:tr w:rsidR="00C923E5" w14:paraId="0374171A" w14:textId="77777777" w:rsidTr="00C923E5">
        <w:trPr>
          <w:cantSplit/>
          <w:jc w:val="center"/>
        </w:trPr>
        <w:tc>
          <w:tcPr>
            <w:tcW w:w="8000" w:type="dxa"/>
            <w:tcBorders>
              <w:top w:val="single" w:sz="5" w:space="0" w:color="91B9D5"/>
              <w:left w:val="single" w:sz="5" w:space="0" w:color="91B9D5"/>
              <w:bottom w:val="single" w:sz="5" w:space="0" w:color="91B9D5"/>
              <w:right w:val="single" w:sz="5" w:space="0" w:color="91B9D5"/>
            </w:tcBorders>
            <w:shd w:val="clear" w:color="auto" w:fill="FFF9EB"/>
            <w:tcMar>
              <w:top w:w="50" w:type="dxa"/>
              <w:left w:w="65" w:type="dxa"/>
              <w:bottom w:w="50" w:type="dxa"/>
              <w:right w:w="65" w:type="dxa"/>
            </w:tcMar>
          </w:tcPr>
          <w:p w14:paraId="0E08E1AD" w14:textId="77777777" w:rsidR="00C923E5" w:rsidRDefault="00C923E5" w:rsidP="00C923E5">
            <w:pPr>
              <w:spacing w:after="40" w:line="230" w:lineRule="auto"/>
            </w:pPr>
            <w:r>
              <w:rPr>
                <w:rFonts w:eastAsia="Arial"/>
                <w:color w:val="20384D"/>
                <w:sz w:val="18"/>
              </w:rPr>
              <w:t>Demand is influenced by an ageing population, frailty, long-term illness, mental-health crises and difficulty accessing primary, community or social care. A caller may need treatment, safeguarding support or help with mobility rather than a simple journey to hospital. When resources are already busy, higher demand increases waiting times and staff fatigue, and the sickest patients may wait while crews are committed elsewhere.</w:t>
            </w:r>
          </w:p>
          <w:p w14:paraId="05C66ABD" w14:textId="77777777" w:rsidR="00C923E5" w:rsidRDefault="00C923E5" w:rsidP="00C923E5">
            <w:pPr>
              <w:spacing w:after="40" w:line="230" w:lineRule="auto"/>
            </w:pPr>
            <w:r>
              <w:rPr>
                <w:rFonts w:eastAsia="Arial"/>
                <w:color w:val="20384D"/>
                <w:sz w:val="18"/>
              </w:rPr>
              <w:t>A sensible response is to place more clinicians in control rooms, strengthen “Hear and Treat”, refer suitable patients directly to urgent community services and use demand data to position crews. These alternatives must remain accessible to people facing language, disability, digital or financial barriers; otherwise, demand-management policies may widen inequality.</w:t>
            </w:r>
          </w:p>
          <w:p w14:paraId="27F993AD" w14:textId="77777777" w:rsidR="00C923E5" w:rsidRDefault="00C923E5" w:rsidP="00C923E5">
            <w:pPr>
              <w:shd w:val="clear" w:color="auto" w:fill="FFFFFF"/>
              <w:spacing w:after="0" w:line="226" w:lineRule="auto"/>
            </w:pPr>
            <w:r>
              <w:rPr>
                <w:rFonts w:eastAsia="Arial"/>
                <w:b/>
                <w:color w:val="20384D"/>
                <w:sz w:val="18"/>
              </w:rPr>
              <w:t xml:space="preserve">Practical response: </w:t>
            </w:r>
            <w:r>
              <w:rPr>
                <w:rFonts w:eastAsia="Arial"/>
                <w:color w:val="20384D"/>
                <w:sz w:val="18"/>
              </w:rPr>
              <w:t>clinical navigation, home treatment, direct community referral, predictive deployment, accessible public information and staff-wellbeing support.</w:t>
            </w:r>
          </w:p>
        </w:tc>
        <w:tc>
          <w:tcPr>
            <w:tcW w:w="8000" w:type="dxa"/>
            <w:tcBorders>
              <w:top w:val="single" w:sz="5" w:space="0" w:color="91B9D5"/>
              <w:left w:val="single" w:sz="5" w:space="0" w:color="91B9D5"/>
              <w:bottom w:val="single" w:sz="5" w:space="0" w:color="91B9D5"/>
              <w:right w:val="single" w:sz="5" w:space="0" w:color="91B9D5"/>
            </w:tcBorders>
            <w:shd w:val="clear" w:color="auto" w:fill="FFF3F1"/>
            <w:tcMar>
              <w:top w:w="50" w:type="dxa"/>
              <w:left w:w="65" w:type="dxa"/>
              <w:bottom w:w="50" w:type="dxa"/>
              <w:right w:w="65" w:type="dxa"/>
            </w:tcMar>
          </w:tcPr>
          <w:p w14:paraId="2CA32479" w14:textId="77777777" w:rsidR="00C923E5" w:rsidRDefault="00C923E5" w:rsidP="00C923E5">
            <w:pPr>
              <w:spacing w:after="40" w:line="230" w:lineRule="auto"/>
            </w:pPr>
            <w:r>
              <w:rPr>
                <w:rFonts w:eastAsia="Arial"/>
                <w:color w:val="20384D"/>
                <w:sz w:val="18"/>
              </w:rPr>
              <w:t>Handover delays happen when an ambulance reaches an emergency department but staff or space are not available to accept the patient promptly. The patient waits longer for assessment, while the ambulance is unavailable for another emergency. This reflects pressure not only on ambulance services, but also on emergency departments, inpatient beds, discharge arrangements, community services and social care.</w:t>
            </w:r>
          </w:p>
          <w:p w14:paraId="09BAFA85" w14:textId="77777777" w:rsidR="00C923E5" w:rsidRDefault="00C923E5" w:rsidP="00C923E5">
            <w:pPr>
              <w:spacing w:after="40" w:line="230" w:lineRule="auto"/>
            </w:pPr>
            <w:r>
              <w:rPr>
                <w:rFonts w:eastAsia="Arial"/>
                <w:color w:val="20384D"/>
                <w:sz w:val="18"/>
              </w:rPr>
              <w:t>The 2025/26 urgent and emergency care plan requires escalation when a handover reaches 30 minutes so the ambulance can leave by 45 minutes, while services work towards the 15-minute standard. Improvement also depends on safe receiving areas, enough hospital staff, same-day emergency care, faster discharge, shared records and stronger community capacity (NHS England, 2025c).</w:t>
            </w:r>
          </w:p>
          <w:p w14:paraId="65297B82" w14:textId="77777777" w:rsidR="00C923E5" w:rsidRDefault="00C923E5" w:rsidP="00C923E5">
            <w:pPr>
              <w:shd w:val="clear" w:color="auto" w:fill="FFFFFF"/>
              <w:spacing w:after="0" w:line="226" w:lineRule="auto"/>
            </w:pPr>
            <w:r>
              <w:rPr>
                <w:rFonts w:eastAsia="Arial"/>
                <w:b/>
                <w:color w:val="20384D"/>
                <w:sz w:val="18"/>
              </w:rPr>
              <w:t xml:space="preserve">System lesson: </w:t>
            </w:r>
            <w:r>
              <w:rPr>
                <w:rFonts w:eastAsia="Arial"/>
                <w:color w:val="20384D"/>
                <w:sz w:val="18"/>
              </w:rPr>
              <w:t>ambulance performance cannot be improved by adding vehicles alone. Hospital flow, discharge and social-care capacity must improve at the same time.</w:t>
            </w:r>
          </w:p>
        </w:tc>
      </w:tr>
      <w:tr w:rsidR="00C923E5" w14:paraId="6E2BA6E9" w14:textId="77777777" w:rsidTr="00C923E5">
        <w:trPr>
          <w:cantSplit/>
          <w:jc w:val="center"/>
        </w:trPr>
        <w:tc>
          <w:tcPr>
            <w:tcW w:w="8000" w:type="dxa"/>
            <w:tcBorders>
              <w:top w:val="single" w:sz="5" w:space="0" w:color="91B9D5"/>
              <w:left w:val="single" w:sz="5" w:space="0" w:color="91B9D5"/>
              <w:bottom w:val="single" w:sz="5" w:space="0" w:color="91B9D5"/>
              <w:right w:val="single" w:sz="5" w:space="0" w:color="91B9D5"/>
            </w:tcBorders>
            <w:shd w:val="clear" w:color="auto" w:fill="EAF3F9"/>
            <w:tcMar>
              <w:top w:w="50" w:type="dxa"/>
              <w:left w:w="65" w:type="dxa"/>
              <w:bottom w:w="50" w:type="dxa"/>
              <w:right w:w="65" w:type="dxa"/>
            </w:tcMar>
          </w:tcPr>
          <w:p w14:paraId="17A6F100" w14:textId="77777777" w:rsidR="00C923E5" w:rsidRDefault="00C923E5" w:rsidP="00C923E5">
            <w:pPr>
              <w:spacing w:after="40" w:line="230" w:lineRule="auto"/>
            </w:pPr>
            <w:r>
              <w:rPr>
                <w:rFonts w:eastAsia="Arial"/>
                <w:b/>
                <w:color w:val="0B5FA5"/>
                <w:sz w:val="23"/>
              </w:rPr>
              <w:t>WHAT GOOD IMPROVEMENT LOOKS LIKE</w:t>
            </w:r>
          </w:p>
          <w:p w14:paraId="7A785B72" w14:textId="77777777" w:rsidR="00C923E5" w:rsidRDefault="00C923E5" w:rsidP="00C923E5">
            <w:pPr>
              <w:spacing w:after="0" w:line="223" w:lineRule="auto"/>
            </w:pPr>
            <w:r>
              <w:rPr>
                <w:rFonts w:eastAsia="Arial"/>
                <w:color w:val="20384D"/>
                <w:sz w:val="17"/>
              </w:rPr>
              <w:t>• Clinical priority, not simply call order, determines the response.</w:t>
            </w:r>
          </w:p>
          <w:p w14:paraId="76592B6F" w14:textId="77777777" w:rsidR="00C923E5" w:rsidRDefault="00C923E5" w:rsidP="00C923E5">
            <w:pPr>
              <w:spacing w:after="0" w:line="223" w:lineRule="auto"/>
            </w:pPr>
            <w:r>
              <w:rPr>
                <w:rFonts w:eastAsia="Arial"/>
                <w:color w:val="20384D"/>
                <w:sz w:val="17"/>
              </w:rPr>
              <w:t>• More patients receive safe care at home or through community referral.</w:t>
            </w:r>
          </w:p>
          <w:p w14:paraId="55E42773" w14:textId="77777777" w:rsidR="00C923E5" w:rsidRDefault="00C923E5" w:rsidP="00C923E5">
            <w:pPr>
              <w:spacing w:after="0" w:line="223" w:lineRule="auto"/>
            </w:pPr>
            <w:r>
              <w:rPr>
                <w:rFonts w:eastAsia="Arial"/>
                <w:color w:val="20384D"/>
                <w:sz w:val="17"/>
              </w:rPr>
              <w:t>• Ambulance, hospital, primary-care and social-care teams share information.</w:t>
            </w:r>
          </w:p>
          <w:p w14:paraId="2CCA56CC" w14:textId="77777777" w:rsidR="00C923E5" w:rsidRDefault="00C923E5" w:rsidP="00C923E5">
            <w:pPr>
              <w:spacing w:after="0" w:line="223" w:lineRule="auto"/>
            </w:pPr>
            <w:r>
              <w:rPr>
                <w:rFonts w:eastAsia="Arial"/>
                <w:color w:val="20384D"/>
                <w:sz w:val="17"/>
              </w:rPr>
              <w:t>• Staff training, retention and wellbeing are treated as patient-safety priorities.</w:t>
            </w:r>
          </w:p>
          <w:p w14:paraId="697098CA" w14:textId="77777777" w:rsidR="00C923E5" w:rsidRDefault="00C923E5" w:rsidP="00C923E5">
            <w:pPr>
              <w:spacing w:after="0" w:line="223" w:lineRule="auto"/>
            </w:pPr>
            <w:r>
              <w:rPr>
                <w:rFonts w:eastAsia="Arial"/>
                <w:color w:val="20384D"/>
                <w:sz w:val="17"/>
              </w:rPr>
              <w:t>• Performance is judged by outcomes, equity, response times and patient experience.</w:t>
            </w:r>
          </w:p>
        </w:tc>
        <w:tc>
          <w:tcPr>
            <w:tcW w:w="8000" w:type="dxa"/>
            <w:tcBorders>
              <w:top w:val="single" w:sz="5" w:space="0" w:color="91B9D5"/>
              <w:left w:val="single" w:sz="5" w:space="0" w:color="91B9D5"/>
              <w:bottom w:val="single" w:sz="5" w:space="0" w:color="91B9D5"/>
              <w:right w:val="single" w:sz="5" w:space="0" w:color="91B9D5"/>
            </w:tcBorders>
            <w:shd w:val="clear" w:color="auto" w:fill="173A56"/>
            <w:tcMar>
              <w:top w:w="50" w:type="dxa"/>
              <w:left w:w="65" w:type="dxa"/>
              <w:bottom w:w="50" w:type="dxa"/>
              <w:right w:w="65" w:type="dxa"/>
            </w:tcMar>
          </w:tcPr>
          <w:p w14:paraId="1FA25E91" w14:textId="77777777" w:rsidR="00C923E5" w:rsidRDefault="00C923E5" w:rsidP="00C923E5">
            <w:pPr>
              <w:spacing w:after="80" w:line="230" w:lineRule="auto"/>
              <w:jc w:val="center"/>
            </w:pPr>
            <w:r>
              <w:rPr>
                <w:rFonts w:eastAsia="Arial"/>
                <w:b/>
                <w:color w:val="FFFFFF"/>
                <w:sz w:val="23"/>
              </w:rPr>
              <w:t>KEY MESSAGE</w:t>
            </w:r>
          </w:p>
          <w:p w14:paraId="3312AAB5" w14:textId="77777777" w:rsidR="00C923E5" w:rsidRDefault="00C923E5" w:rsidP="00C923E5">
            <w:pPr>
              <w:spacing w:after="0" w:line="240" w:lineRule="auto"/>
              <w:jc w:val="center"/>
            </w:pPr>
            <w:r>
              <w:rPr>
                <w:rFonts w:eastAsia="Arial"/>
                <w:b/>
                <w:color w:val="FFFFFF"/>
                <w:sz w:val="20"/>
              </w:rPr>
              <w:t>The modern ambulance service is a mobile clinical service and a link across the whole care system. Its performance depends on community and hospital capacity as well as the number of ambulances available.</w:t>
            </w:r>
          </w:p>
        </w:tc>
      </w:tr>
    </w:tbl>
    <w:p w14:paraId="1BAF2B96" w14:textId="77777777" w:rsidR="00504010" w:rsidRPr="00EB3D38" w:rsidRDefault="00504010" w:rsidP="00504010">
      <w:pPr>
        <w:rPr>
          <w:rFonts w:cs="Arial"/>
        </w:rPr>
        <w:sectPr w:rsidR="00504010" w:rsidRPr="00EB3D38">
          <w:pgSz w:w="16834" w:h="11909" w:orient="landscape"/>
          <w:pgMar w:top="173" w:right="245" w:bottom="403" w:left="245" w:header="720" w:footer="720" w:gutter="0"/>
          <w:cols w:space="720"/>
          <w:docGrid w:linePitch="360"/>
        </w:sectPr>
      </w:pPr>
    </w:p>
    <w:p w14:paraId="2A27E58C" w14:textId="77777777" w:rsidR="00504010" w:rsidRPr="00EB3D38" w:rsidRDefault="00504010" w:rsidP="00504010">
      <w:pPr>
        <w:spacing w:after="80"/>
        <w:jc w:val="center"/>
        <w:rPr>
          <w:rFonts w:cs="Arial"/>
        </w:rPr>
      </w:pPr>
      <w:r w:rsidRPr="00EB3D38">
        <w:rPr>
          <w:rFonts w:cs="Arial"/>
          <w:b/>
          <w:color w:val="005EB8"/>
          <w:sz w:val="32"/>
        </w:rPr>
        <w:lastRenderedPageBreak/>
        <w:t>TASK 2: COMMUNITY MENTAL HEALTH SERVICES</w:t>
      </w:r>
    </w:p>
    <w:p w14:paraId="579DED58" w14:textId="77777777" w:rsidR="00504010" w:rsidRPr="00EB3D38" w:rsidRDefault="00504010" w:rsidP="00504010">
      <w:pPr>
        <w:spacing w:after="200"/>
        <w:jc w:val="center"/>
        <w:rPr>
          <w:rFonts w:cs="Arial"/>
        </w:rPr>
      </w:pPr>
      <w:r w:rsidRPr="00EB3D38">
        <w:rPr>
          <w:rFonts w:cs="Arial"/>
          <w:b/>
          <w:color w:val="15324A"/>
          <w:sz w:val="24"/>
        </w:rPr>
        <w:t>Origins, current functioning and contribution to quality of life</w:t>
      </w:r>
    </w:p>
    <w:p w14:paraId="60A73FBA" w14:textId="77777777" w:rsidR="00EB3D38" w:rsidRDefault="00504010" w:rsidP="00EB3D38">
      <w:pPr>
        <w:spacing w:after="0"/>
        <w:jc w:val="both"/>
        <w:rPr>
          <w:rFonts w:eastAsia="Times New Roman" w:cs="Arial"/>
          <w:sz w:val="21"/>
          <w:szCs w:val="21"/>
        </w:rPr>
      </w:pPr>
      <w:r w:rsidRPr="00504010">
        <w:rPr>
          <w:rFonts w:eastAsia="Times New Roman" w:cs="Arial"/>
          <w:b/>
          <w:sz w:val="21"/>
          <w:szCs w:val="21"/>
        </w:rPr>
        <w:t xml:space="preserve">Introduction </w:t>
      </w:r>
      <w:r w:rsidRPr="00504010">
        <w:rPr>
          <w:rFonts w:eastAsia="Times New Roman" w:cs="Arial"/>
          <w:b/>
          <w:sz w:val="21"/>
          <w:szCs w:val="21"/>
        </w:rPr>
        <w:br/>
      </w:r>
      <w:r w:rsidRPr="00504010">
        <w:rPr>
          <w:rFonts w:eastAsia="Times New Roman" w:cs="Arial"/>
          <w:sz w:val="21"/>
          <w:szCs w:val="21"/>
        </w:rPr>
        <w:t xml:space="preserve">Community mental health services help individuals and older persons with mental health issues beyond typical primary care but who may not always require admission to hospital. Their main goal is to offer easy-to-reach, </w:t>
      </w:r>
      <w:proofErr w:type="spellStart"/>
      <w:r w:rsidRPr="00504010">
        <w:rPr>
          <w:rFonts w:eastAsia="Times New Roman" w:cs="Arial"/>
          <w:sz w:val="21"/>
          <w:szCs w:val="21"/>
        </w:rPr>
        <w:t>co-ordinated</w:t>
      </w:r>
      <w:proofErr w:type="spellEnd"/>
      <w:r w:rsidRPr="00504010">
        <w:rPr>
          <w:rFonts w:eastAsia="Times New Roman" w:cs="Arial"/>
          <w:sz w:val="21"/>
          <w:szCs w:val="21"/>
        </w:rPr>
        <w:t xml:space="preserve"> and recovery-oriented help near where individuals live and to connect clinical treatment with social care and community resources.</w:t>
      </w:r>
    </w:p>
    <w:p w14:paraId="0B44BEF4" w14:textId="77777777" w:rsidR="00EB3D38" w:rsidRPr="00EB3D38" w:rsidRDefault="00EB3D38" w:rsidP="00EB3D38">
      <w:pPr>
        <w:spacing w:after="0"/>
        <w:jc w:val="both"/>
        <w:rPr>
          <w:rFonts w:eastAsia="Times New Roman" w:cs="Arial"/>
          <w:sz w:val="21"/>
          <w:szCs w:val="21"/>
        </w:rPr>
      </w:pPr>
      <w:r>
        <w:rPr>
          <w:rFonts w:eastAsia="Times New Roman" w:cs="Arial"/>
          <w:sz w:val="21"/>
          <w:szCs w:val="21"/>
        </w:rPr>
        <w:t xml:space="preserve"> </w:t>
      </w:r>
      <w:r w:rsidR="00504010" w:rsidRPr="00504010">
        <w:rPr>
          <w:rFonts w:eastAsia="Times New Roman" w:cs="Arial"/>
          <w:b/>
          <w:sz w:val="21"/>
          <w:szCs w:val="21"/>
        </w:rPr>
        <w:t>Origin and History</w:t>
      </w:r>
      <w:r w:rsidR="00504010" w:rsidRPr="00504010">
        <w:rPr>
          <w:rFonts w:eastAsia="Times New Roman" w:cs="Arial"/>
          <w:sz w:val="21"/>
          <w:szCs w:val="21"/>
        </w:rPr>
        <w:t xml:space="preserve"> </w:t>
      </w:r>
    </w:p>
    <w:p w14:paraId="675E5E32" w14:textId="77777777" w:rsidR="00EB3D38" w:rsidRPr="00EB3D38" w:rsidRDefault="00504010" w:rsidP="00EB3D38">
      <w:pPr>
        <w:spacing w:after="0"/>
        <w:jc w:val="both"/>
        <w:rPr>
          <w:rFonts w:eastAsia="Times New Roman" w:cs="Arial"/>
          <w:sz w:val="21"/>
          <w:szCs w:val="21"/>
        </w:rPr>
      </w:pPr>
      <w:r w:rsidRPr="00504010">
        <w:rPr>
          <w:rFonts w:eastAsia="Times New Roman" w:cs="Arial"/>
          <w:sz w:val="21"/>
          <w:szCs w:val="21"/>
        </w:rPr>
        <w:t xml:space="preserve">The service evolved from a steady move away from major psychiatric facilities. The Mental Health Act 1959 supported treatment outside hospital and </w:t>
      </w:r>
      <w:proofErr w:type="spellStart"/>
      <w:r w:rsidRPr="00504010">
        <w:rPr>
          <w:rFonts w:eastAsia="Times New Roman" w:cs="Arial"/>
          <w:sz w:val="21"/>
          <w:szCs w:val="21"/>
        </w:rPr>
        <w:t>deinstitutionalisation</w:t>
      </w:r>
      <w:proofErr w:type="spellEnd"/>
      <w:r w:rsidRPr="00504010">
        <w:rPr>
          <w:rFonts w:eastAsia="Times New Roman" w:cs="Arial"/>
          <w:sz w:val="21"/>
          <w:szCs w:val="21"/>
        </w:rPr>
        <w:t xml:space="preserve"> proceeded apace in the later twentieth century. The NHS and Community Care Act 1990 moved more duty for community support to local systems and the Care Act 2014 later reinforced duties around welfare, prevention and integration (UK Parliament, 2014). This history constituted a major shift from custodial care to citizenship and autonomy, but community provision was not always established at the same pace as hospital closures (Calabria and Cullen, 2024). This vulnerability was to be tackled by replacing fragmented, threshold-driven services with place-based and integrated care in the 2019 Community Mental Health Framework (NHS England, 2019). </w:t>
      </w:r>
    </w:p>
    <w:p w14:paraId="2A508FEA" w14:textId="77777777" w:rsidR="00EB3D38" w:rsidRPr="00EB3D38" w:rsidRDefault="00504010" w:rsidP="00EB3D38">
      <w:pPr>
        <w:spacing w:after="0"/>
        <w:jc w:val="both"/>
        <w:rPr>
          <w:rFonts w:eastAsia="Times New Roman" w:cs="Arial"/>
          <w:b/>
          <w:sz w:val="21"/>
          <w:szCs w:val="21"/>
        </w:rPr>
      </w:pPr>
      <w:r w:rsidRPr="00504010">
        <w:rPr>
          <w:rFonts w:eastAsia="Times New Roman" w:cs="Arial"/>
          <w:b/>
          <w:sz w:val="21"/>
          <w:szCs w:val="21"/>
        </w:rPr>
        <w:t xml:space="preserve">Now how the service works </w:t>
      </w:r>
    </w:p>
    <w:p w14:paraId="6FADBF20" w14:textId="77777777" w:rsidR="00EB3D38" w:rsidRPr="00EB3D38" w:rsidRDefault="00504010" w:rsidP="00EB3D38">
      <w:pPr>
        <w:spacing w:after="0"/>
        <w:jc w:val="both"/>
        <w:rPr>
          <w:rFonts w:eastAsia="Times New Roman" w:cs="Arial"/>
          <w:sz w:val="21"/>
          <w:szCs w:val="21"/>
        </w:rPr>
      </w:pPr>
      <w:r w:rsidRPr="00504010">
        <w:rPr>
          <w:rFonts w:eastAsia="Times New Roman" w:cs="Arial"/>
          <w:sz w:val="21"/>
          <w:szCs w:val="21"/>
        </w:rPr>
        <w:t xml:space="preserve">Today, community mental health teams frequently include of psychiatrists, mental-health nurses, psychologists, occupational therapists, social workers, pharmacists, peer-support workers and employment or housing specialists. They assess risk and need, coordinate </w:t>
      </w:r>
      <w:proofErr w:type="spellStart"/>
      <w:r w:rsidRPr="00504010">
        <w:rPr>
          <w:rFonts w:eastAsia="Times New Roman" w:cs="Arial"/>
          <w:sz w:val="21"/>
          <w:szCs w:val="21"/>
        </w:rPr>
        <w:t>personalised</w:t>
      </w:r>
      <w:proofErr w:type="spellEnd"/>
      <w:r w:rsidRPr="00504010">
        <w:rPr>
          <w:rFonts w:eastAsia="Times New Roman" w:cs="Arial"/>
          <w:sz w:val="21"/>
          <w:szCs w:val="21"/>
        </w:rPr>
        <w:t xml:space="preserve"> care, check medicines, offer psychological and family treatments, monitor physical health, support daily life and respond when a person deteriorates. “Care can be delivered in clinics, GP practices, homes or community hubs. The approach also seeks to link secondary mental-health providers with primary care, local authorities and voluntary </w:t>
      </w:r>
      <w:proofErr w:type="spellStart"/>
      <w:r w:rsidRPr="00504010">
        <w:rPr>
          <w:rFonts w:eastAsia="Times New Roman" w:cs="Arial"/>
          <w:sz w:val="21"/>
          <w:szCs w:val="21"/>
        </w:rPr>
        <w:t>organisations</w:t>
      </w:r>
      <w:proofErr w:type="spellEnd"/>
      <w:r w:rsidRPr="00504010">
        <w:rPr>
          <w:rFonts w:eastAsia="Times New Roman" w:cs="Arial"/>
          <w:sz w:val="21"/>
          <w:szCs w:val="21"/>
        </w:rPr>
        <w:t xml:space="preserve">, so that care can be ramped up or down without needing to be referred each time (NHS England, 2019). Crisis teams and out-of-hours services are of particular importance as quick help may avert self-harm, police involvement or forcible admission. </w:t>
      </w:r>
      <w:r w:rsidRPr="00504010">
        <w:rPr>
          <w:rFonts w:eastAsia="Times New Roman" w:cs="Arial"/>
          <w:sz w:val="21"/>
          <w:szCs w:val="21"/>
        </w:rPr>
        <w:br/>
      </w:r>
      <w:r w:rsidRPr="00504010">
        <w:rPr>
          <w:rFonts w:eastAsia="Times New Roman" w:cs="Arial"/>
          <w:b/>
          <w:sz w:val="21"/>
          <w:szCs w:val="21"/>
        </w:rPr>
        <w:t>Critical assessment</w:t>
      </w:r>
      <w:r w:rsidRPr="00504010">
        <w:rPr>
          <w:rFonts w:eastAsia="Times New Roman" w:cs="Arial"/>
          <w:sz w:val="21"/>
          <w:szCs w:val="21"/>
        </w:rPr>
        <w:t xml:space="preserve"> </w:t>
      </w:r>
    </w:p>
    <w:p w14:paraId="778A1486" w14:textId="77777777" w:rsidR="00EB3D38" w:rsidRDefault="00504010" w:rsidP="00EB3D38">
      <w:pPr>
        <w:spacing w:after="0"/>
        <w:jc w:val="both"/>
        <w:rPr>
          <w:rFonts w:eastAsia="Times New Roman" w:cs="Arial"/>
          <w:sz w:val="21"/>
          <w:szCs w:val="21"/>
        </w:rPr>
      </w:pPr>
      <w:r w:rsidRPr="00504010">
        <w:rPr>
          <w:rFonts w:eastAsia="Times New Roman" w:cs="Arial"/>
          <w:sz w:val="21"/>
          <w:szCs w:val="21"/>
        </w:rPr>
        <w:t xml:space="preserve">A key aspect of this approach is that it conceptualizes healing as more than symptom reduction. People can be supported to maintain their identity and independence through relationships, work, housing, physical health and community participation. Evidence suggests that structured care management may reduce mental symptoms and enhance quality of life, but effects vary depending on </w:t>
      </w:r>
      <w:proofErr w:type="spellStart"/>
      <w:r w:rsidRPr="00504010">
        <w:rPr>
          <w:rFonts w:eastAsia="Times New Roman" w:cs="Arial"/>
          <w:sz w:val="21"/>
          <w:szCs w:val="21"/>
        </w:rPr>
        <w:t>programme</w:t>
      </w:r>
      <w:proofErr w:type="spellEnd"/>
      <w:r w:rsidRPr="00504010">
        <w:rPr>
          <w:rFonts w:eastAsia="Times New Roman" w:cs="Arial"/>
          <w:sz w:val="21"/>
          <w:szCs w:val="21"/>
        </w:rPr>
        <w:t xml:space="preserve"> design and implementation (Lim et al., 2022). Collaborative care can also increase coordination between professions, although the data is not universally robust, suggesting that integration must involve genuine shared accountability, rather than just adding meetings or referral paths (Reilly et al., 2024). Person-</w:t>
      </w:r>
      <w:proofErr w:type="spellStart"/>
      <w:r w:rsidRPr="00504010">
        <w:rPr>
          <w:rFonts w:eastAsia="Times New Roman" w:cs="Arial"/>
          <w:sz w:val="21"/>
          <w:szCs w:val="21"/>
        </w:rPr>
        <w:t>centred</w:t>
      </w:r>
      <w:proofErr w:type="spellEnd"/>
      <w:r w:rsidRPr="00504010">
        <w:rPr>
          <w:rFonts w:eastAsia="Times New Roman" w:cs="Arial"/>
          <w:sz w:val="21"/>
          <w:szCs w:val="21"/>
        </w:rPr>
        <w:t xml:space="preserve"> planning and peer support can help to minimize power inequalities further, but only where service users are able to exert real influence over goals and decisions. </w:t>
      </w:r>
    </w:p>
    <w:p w14:paraId="07425A16" w14:textId="77777777" w:rsidR="00EB3D38" w:rsidRPr="00EB3D38" w:rsidRDefault="00504010" w:rsidP="00EB3D38">
      <w:pPr>
        <w:spacing w:after="0"/>
        <w:jc w:val="both"/>
        <w:rPr>
          <w:rFonts w:eastAsia="Times New Roman" w:cs="Arial"/>
          <w:sz w:val="21"/>
          <w:szCs w:val="21"/>
        </w:rPr>
      </w:pPr>
      <w:r w:rsidRPr="00504010">
        <w:rPr>
          <w:rFonts w:eastAsia="Times New Roman" w:cs="Arial"/>
          <w:b/>
          <w:sz w:val="21"/>
          <w:szCs w:val="21"/>
        </w:rPr>
        <w:t>Present Challenges</w:t>
      </w:r>
      <w:r w:rsidRPr="00504010">
        <w:rPr>
          <w:rFonts w:eastAsia="Times New Roman" w:cs="Arial"/>
          <w:sz w:val="21"/>
          <w:szCs w:val="21"/>
        </w:rPr>
        <w:t xml:space="preserve"> </w:t>
      </w:r>
    </w:p>
    <w:p w14:paraId="1786A5C8" w14:textId="77777777" w:rsidR="00EB3D38" w:rsidRPr="00EB3D38" w:rsidRDefault="00504010" w:rsidP="00EB3D38">
      <w:pPr>
        <w:spacing w:after="0"/>
        <w:jc w:val="both"/>
        <w:rPr>
          <w:rFonts w:eastAsia="Times New Roman" w:cs="Arial"/>
          <w:sz w:val="21"/>
          <w:szCs w:val="21"/>
        </w:rPr>
      </w:pPr>
      <w:r w:rsidRPr="00504010">
        <w:rPr>
          <w:rFonts w:eastAsia="Times New Roman" w:cs="Arial"/>
          <w:sz w:val="21"/>
          <w:szCs w:val="21"/>
        </w:rPr>
        <w:lastRenderedPageBreak/>
        <w:t>However, important constraints remain. High criteria, long waits, staff shortages and varied local provision can all limit access. A evaluation in the UK identified ongoing inequities in people’s abilities to seek and get care, such as stigma, service availability and uneven routes (Lowther-Payne et al., 2023). The CQC’s 2025 survey showed that 46% of respondents waited at least three months for treatment; 39% desired therapy that they did not get, and 32% did not get the care they needed when they contacted crisis services (Care Quality Commission, 2026). These findings suggest that care provided in a community setting is not automatically person-</w:t>
      </w:r>
      <w:proofErr w:type="spellStart"/>
      <w:r w:rsidRPr="00504010">
        <w:rPr>
          <w:rFonts w:eastAsia="Times New Roman" w:cs="Arial"/>
          <w:sz w:val="21"/>
          <w:szCs w:val="21"/>
        </w:rPr>
        <w:t>centred</w:t>
      </w:r>
      <w:proofErr w:type="spellEnd"/>
      <w:r w:rsidRPr="00504010">
        <w:rPr>
          <w:rFonts w:eastAsia="Times New Roman" w:cs="Arial"/>
          <w:sz w:val="21"/>
          <w:szCs w:val="21"/>
        </w:rPr>
        <w:t xml:space="preserve"> just because it is not offered in a hospital. Poor coordination with housing, welfare and social care can leave clinical teams to manage challenges they cannot solve alone. </w:t>
      </w:r>
    </w:p>
    <w:p w14:paraId="2392AE71" w14:textId="77777777" w:rsidR="00EB3D38" w:rsidRPr="00EB3D38" w:rsidRDefault="00504010" w:rsidP="00EB3D38">
      <w:pPr>
        <w:spacing w:after="0"/>
        <w:jc w:val="both"/>
        <w:rPr>
          <w:rFonts w:eastAsia="Times New Roman" w:cs="Arial"/>
          <w:sz w:val="21"/>
          <w:szCs w:val="21"/>
        </w:rPr>
      </w:pPr>
      <w:r w:rsidRPr="00504010">
        <w:rPr>
          <w:rFonts w:eastAsia="Times New Roman" w:cs="Arial"/>
          <w:b/>
          <w:sz w:val="21"/>
          <w:szCs w:val="21"/>
        </w:rPr>
        <w:t>Concluding remarks</w:t>
      </w:r>
      <w:r w:rsidRPr="00504010">
        <w:rPr>
          <w:rFonts w:eastAsia="Times New Roman" w:cs="Arial"/>
          <w:sz w:val="21"/>
          <w:szCs w:val="21"/>
        </w:rPr>
        <w:t xml:space="preserve"> </w:t>
      </w:r>
    </w:p>
    <w:p w14:paraId="4D3AF526" w14:textId="77777777" w:rsidR="00504010" w:rsidRPr="00504010" w:rsidRDefault="00504010" w:rsidP="00EB3D38">
      <w:pPr>
        <w:spacing w:after="0"/>
        <w:jc w:val="both"/>
        <w:rPr>
          <w:rFonts w:eastAsia="Times New Roman" w:cs="Arial"/>
          <w:sz w:val="21"/>
          <w:szCs w:val="21"/>
        </w:rPr>
      </w:pPr>
      <w:r w:rsidRPr="00504010">
        <w:rPr>
          <w:rFonts w:eastAsia="Times New Roman" w:cs="Arial"/>
          <w:sz w:val="21"/>
          <w:szCs w:val="21"/>
        </w:rPr>
        <w:t>In general, community mental health services can help greatly to improve quality of life by avoiding unnecessary admission, by keeping up social duties, by supporting physical health and by allowing patients to live comfortably in familiar settings. But their value depends on availability in a timely fashion, continuity, co-produced care plans and adequate housing, welfare and social-care support. A really effective service, therefore, must be characterized by both clinical skill and practical aid, preserve rights and dignity, include families in an appropriate way, and regard the service user as an active participant in rehabilitation.</w:t>
      </w:r>
    </w:p>
    <w:p w14:paraId="69DB934F" w14:textId="77777777" w:rsidR="00504010" w:rsidRPr="00EB3D38" w:rsidRDefault="00504010" w:rsidP="00504010">
      <w:pPr>
        <w:jc w:val="right"/>
        <w:rPr>
          <w:rFonts w:cs="Arial"/>
        </w:rPr>
      </w:pPr>
    </w:p>
    <w:p w14:paraId="27AF3C1B" w14:textId="77777777" w:rsidR="00504010" w:rsidRPr="00EB3D38" w:rsidRDefault="00504010" w:rsidP="00504010">
      <w:pPr>
        <w:pageBreakBefore/>
        <w:jc w:val="center"/>
        <w:rPr>
          <w:rFonts w:cs="Arial"/>
        </w:rPr>
      </w:pPr>
      <w:r w:rsidRPr="00EB3D38">
        <w:rPr>
          <w:rFonts w:cs="Arial"/>
          <w:b/>
          <w:color w:val="005EB8"/>
          <w:sz w:val="32"/>
        </w:rPr>
        <w:lastRenderedPageBreak/>
        <w:t>REFERENCE LIST</w:t>
      </w:r>
    </w:p>
    <w:p w14:paraId="08A19BB3" w14:textId="77777777" w:rsidR="00504010" w:rsidRPr="00EB3D38" w:rsidRDefault="00504010" w:rsidP="00504010">
      <w:pPr>
        <w:spacing w:after="100" w:line="276" w:lineRule="auto"/>
        <w:ind w:left="403" w:hanging="403"/>
        <w:rPr>
          <w:rFonts w:cs="Arial"/>
        </w:rPr>
      </w:pPr>
      <w:r w:rsidRPr="00EB3D38">
        <w:rPr>
          <w:rFonts w:cs="Arial"/>
          <w:sz w:val="21"/>
        </w:rPr>
        <w:t>Calabria, V. and Cullen, L.T. (2024) ‘</w:t>
      </w:r>
      <w:proofErr w:type="spellStart"/>
      <w:r w:rsidRPr="00EB3D38">
        <w:rPr>
          <w:rFonts w:cs="Arial"/>
          <w:sz w:val="21"/>
        </w:rPr>
        <w:t>Deinstitutionalisation</w:t>
      </w:r>
      <w:proofErr w:type="spellEnd"/>
      <w:r w:rsidRPr="00EB3D38">
        <w:rPr>
          <w:rFonts w:cs="Arial"/>
          <w:sz w:val="21"/>
        </w:rPr>
        <w:t xml:space="preserve"> and the move to community care: comparing the changing dimensions of mental healthcare after 1922 in the Republic of Ireland and England’, History of Psychiatry, 35(2), pp. 141–157. </w:t>
      </w:r>
      <w:proofErr w:type="spellStart"/>
      <w:r w:rsidRPr="00EB3D38">
        <w:rPr>
          <w:rFonts w:cs="Arial"/>
          <w:sz w:val="21"/>
        </w:rPr>
        <w:t>doi</w:t>
      </w:r>
      <w:proofErr w:type="spellEnd"/>
      <w:r w:rsidRPr="00EB3D38">
        <w:rPr>
          <w:rFonts w:cs="Arial"/>
          <w:sz w:val="21"/>
        </w:rPr>
        <w:t>: 10.1177/0957154X241231057.</w:t>
      </w:r>
    </w:p>
    <w:p w14:paraId="3ADEC4DF" w14:textId="77777777" w:rsidR="00504010" w:rsidRPr="00EB3D38" w:rsidRDefault="00504010" w:rsidP="00504010">
      <w:pPr>
        <w:spacing w:after="100" w:line="276" w:lineRule="auto"/>
        <w:ind w:left="403" w:hanging="403"/>
        <w:rPr>
          <w:rFonts w:cs="Arial"/>
        </w:rPr>
      </w:pPr>
      <w:r w:rsidRPr="00EB3D38">
        <w:rPr>
          <w:rFonts w:cs="Arial"/>
          <w:sz w:val="21"/>
        </w:rPr>
        <w:t>Care Quality Commission (2026) Community mental health survey 2025. Available at: https://www.cqc.org.uk/publications/surveys/community-mental-health-survey (Accessed: 15 July 2026).</w:t>
      </w:r>
    </w:p>
    <w:p w14:paraId="0F336440" w14:textId="77777777" w:rsidR="00504010" w:rsidRPr="00EB3D38" w:rsidRDefault="00504010" w:rsidP="00504010">
      <w:pPr>
        <w:spacing w:after="100" w:line="276" w:lineRule="auto"/>
        <w:ind w:left="403" w:hanging="403"/>
        <w:rPr>
          <w:rFonts w:cs="Arial"/>
        </w:rPr>
      </w:pPr>
      <w:r w:rsidRPr="00EB3D38">
        <w:rPr>
          <w:rFonts w:cs="Arial"/>
          <w:sz w:val="21"/>
        </w:rPr>
        <w:t xml:space="preserve">Lim, C.T., Caan, M.P., Kim, C.H., Chow, C.M., Leff, H.S. and Tepper, M.C. (2022) ‘Care management for serious mental illness: a systematic review and meta-analysis’, Psychiatric Services, 73(2), pp. 180–187. </w:t>
      </w:r>
      <w:proofErr w:type="spellStart"/>
      <w:r w:rsidRPr="00EB3D38">
        <w:rPr>
          <w:rFonts w:cs="Arial"/>
          <w:sz w:val="21"/>
        </w:rPr>
        <w:t>doi</w:t>
      </w:r>
      <w:proofErr w:type="spellEnd"/>
      <w:r w:rsidRPr="00EB3D38">
        <w:rPr>
          <w:rFonts w:cs="Arial"/>
          <w:sz w:val="21"/>
        </w:rPr>
        <w:t>: 10.1176/appi.ps.202000473.</w:t>
      </w:r>
    </w:p>
    <w:p w14:paraId="4199986F" w14:textId="77777777" w:rsidR="00504010" w:rsidRPr="00EB3D38" w:rsidRDefault="00504010" w:rsidP="00504010">
      <w:pPr>
        <w:spacing w:after="100" w:line="276" w:lineRule="auto"/>
        <w:ind w:left="403" w:hanging="403"/>
        <w:rPr>
          <w:rFonts w:cs="Arial"/>
        </w:rPr>
      </w:pPr>
      <w:r w:rsidRPr="00EB3D38">
        <w:rPr>
          <w:rFonts w:cs="Arial"/>
          <w:sz w:val="21"/>
        </w:rPr>
        <w:t>London Ambulance Service NHS Trust (n.d.) Our history – a timeline. Available at: https://www.londonambulance.nhs.uk/about-us/our-history/our-history-a-timeline/ (Accessed: 15 July 2026).</w:t>
      </w:r>
    </w:p>
    <w:p w14:paraId="3C79A21B" w14:textId="77777777" w:rsidR="00504010" w:rsidRPr="00EB3D38" w:rsidRDefault="00504010" w:rsidP="00504010">
      <w:pPr>
        <w:spacing w:after="100" w:line="276" w:lineRule="auto"/>
        <w:ind w:left="403" w:hanging="403"/>
        <w:rPr>
          <w:rFonts w:cs="Arial"/>
        </w:rPr>
      </w:pPr>
      <w:r w:rsidRPr="00EB3D38">
        <w:rPr>
          <w:rFonts w:cs="Arial"/>
          <w:sz w:val="21"/>
        </w:rPr>
        <w:t xml:space="preserve">Lowther-Payne, H.J., Ushakova, A., Beckwith, A., Liberty, C., Edge, R. and Lobban, F. (2023) ‘Understanding inequalities in access to adult mental health services in the UK: a systematic mapping review’, BMC Health Services Research, 23(1), article 1042. </w:t>
      </w:r>
      <w:proofErr w:type="spellStart"/>
      <w:r w:rsidRPr="00EB3D38">
        <w:rPr>
          <w:rFonts w:cs="Arial"/>
          <w:sz w:val="21"/>
        </w:rPr>
        <w:t>doi</w:t>
      </w:r>
      <w:proofErr w:type="spellEnd"/>
      <w:r w:rsidRPr="00EB3D38">
        <w:rPr>
          <w:rFonts w:cs="Arial"/>
          <w:sz w:val="21"/>
        </w:rPr>
        <w:t>: 10.1186/s12913-023-10030-8.</w:t>
      </w:r>
    </w:p>
    <w:p w14:paraId="214CC019" w14:textId="77777777" w:rsidR="00504010" w:rsidRPr="00EB3D38" w:rsidRDefault="00504010" w:rsidP="00504010">
      <w:pPr>
        <w:spacing w:after="100" w:line="276" w:lineRule="auto"/>
        <w:ind w:left="403" w:hanging="403"/>
        <w:rPr>
          <w:rFonts w:cs="Arial"/>
        </w:rPr>
      </w:pPr>
      <w:r w:rsidRPr="00EB3D38">
        <w:rPr>
          <w:rFonts w:cs="Arial"/>
          <w:sz w:val="21"/>
        </w:rPr>
        <w:t>NHS England (2019) The Community Mental Health Framework for Adults and Older Adults. London: NHS England and NHS Improvement.</w:t>
      </w:r>
    </w:p>
    <w:p w14:paraId="18725434" w14:textId="77777777" w:rsidR="00504010" w:rsidRPr="00EB3D38" w:rsidRDefault="00504010" w:rsidP="00504010">
      <w:pPr>
        <w:spacing w:after="100" w:line="276" w:lineRule="auto"/>
        <w:ind w:left="403" w:hanging="403"/>
        <w:rPr>
          <w:rFonts w:cs="Arial"/>
        </w:rPr>
      </w:pPr>
      <w:r w:rsidRPr="00EB3D38">
        <w:rPr>
          <w:rFonts w:cs="Arial"/>
          <w:sz w:val="21"/>
        </w:rPr>
        <w:t>NHS England (2024) Urgent community response and ambulance referral resource. Available at: https://www.england.nhs.uk/long-read/urgent-community-response-and-ambulance-referral-resource/ (Accessed: 15 July 2026).</w:t>
      </w:r>
    </w:p>
    <w:p w14:paraId="75150F8D" w14:textId="77777777" w:rsidR="00504010" w:rsidRPr="00EB3D38" w:rsidRDefault="00504010" w:rsidP="00504010">
      <w:pPr>
        <w:spacing w:after="100" w:line="276" w:lineRule="auto"/>
        <w:ind w:left="403" w:hanging="403"/>
        <w:rPr>
          <w:rFonts w:cs="Arial"/>
        </w:rPr>
      </w:pPr>
      <w:r w:rsidRPr="00EB3D38">
        <w:rPr>
          <w:rFonts w:cs="Arial"/>
          <w:sz w:val="21"/>
        </w:rPr>
        <w:t xml:space="preserve">NHS England (2025a) Ambulance Response </w:t>
      </w:r>
      <w:proofErr w:type="spellStart"/>
      <w:r w:rsidRPr="00EB3D38">
        <w:rPr>
          <w:rFonts w:cs="Arial"/>
          <w:sz w:val="21"/>
        </w:rPr>
        <w:t>Programme</w:t>
      </w:r>
      <w:proofErr w:type="spellEnd"/>
      <w:r w:rsidRPr="00EB3D38">
        <w:rPr>
          <w:rFonts w:cs="Arial"/>
          <w:sz w:val="21"/>
        </w:rPr>
        <w:t>. Available at: https://www.england.nhs.uk/urgent-emergency-care/improving-ambulance-services/arp/ (Accessed: 15 July 2026).</w:t>
      </w:r>
    </w:p>
    <w:p w14:paraId="44028B0F" w14:textId="77777777" w:rsidR="00504010" w:rsidRPr="00EB3D38" w:rsidRDefault="00504010" w:rsidP="00504010">
      <w:pPr>
        <w:spacing w:after="100" w:line="276" w:lineRule="auto"/>
        <w:ind w:left="403" w:hanging="403"/>
        <w:rPr>
          <w:rFonts w:cs="Arial"/>
        </w:rPr>
      </w:pPr>
      <w:r w:rsidRPr="00EB3D38">
        <w:rPr>
          <w:rFonts w:cs="Arial"/>
          <w:sz w:val="21"/>
        </w:rPr>
        <w:t>NHS England (2025b) Monthly Operational Statistics – June 2025. Available at: https://www.england.nhs.uk/long-read/monthly-operational-statistics-june-2025/ (Accessed: 15 July 2026).</w:t>
      </w:r>
    </w:p>
    <w:p w14:paraId="309D9B96" w14:textId="77777777" w:rsidR="00504010" w:rsidRPr="00EB3D38" w:rsidRDefault="00504010" w:rsidP="00504010">
      <w:pPr>
        <w:spacing w:after="100" w:line="276" w:lineRule="auto"/>
        <w:ind w:left="403" w:hanging="403"/>
        <w:rPr>
          <w:rFonts w:cs="Arial"/>
        </w:rPr>
      </w:pPr>
      <w:r w:rsidRPr="00EB3D38">
        <w:rPr>
          <w:rFonts w:cs="Arial"/>
          <w:sz w:val="21"/>
        </w:rPr>
        <w:t>NHS England (2025c) Urgent and emergency care plan 2025/26. Available at: https://www.england.nhs.uk/long-read/urgent-and-emergency-care-plan-2025-26/ (Accessed: 15 July 2026).</w:t>
      </w:r>
    </w:p>
    <w:p w14:paraId="29669ADE" w14:textId="77777777" w:rsidR="00504010" w:rsidRPr="00EB3D38" w:rsidRDefault="00504010" w:rsidP="00504010">
      <w:pPr>
        <w:spacing w:after="100" w:line="276" w:lineRule="auto"/>
        <w:ind w:left="403" w:hanging="403"/>
        <w:rPr>
          <w:rFonts w:cs="Arial"/>
        </w:rPr>
      </w:pPr>
      <w:r w:rsidRPr="00EB3D38">
        <w:rPr>
          <w:rFonts w:cs="Arial"/>
          <w:sz w:val="21"/>
        </w:rPr>
        <w:t xml:space="preserve">Reilly, S., Hobson-Merrett, C., Gibbons, B., Jones, B., Richards, D., Plappert, H., Gibson, J., Green, M., Gask, L., Huxley, P.J., Druss, B.G. and Planner, C.L. (2024) ‘Collaborative care approaches for people with severe mental illness’, Cochrane Database of Systematic Reviews, 5, CD009531. </w:t>
      </w:r>
      <w:proofErr w:type="spellStart"/>
      <w:r w:rsidRPr="00EB3D38">
        <w:rPr>
          <w:rFonts w:cs="Arial"/>
          <w:sz w:val="21"/>
        </w:rPr>
        <w:t>doi</w:t>
      </w:r>
      <w:proofErr w:type="spellEnd"/>
      <w:r w:rsidRPr="00EB3D38">
        <w:rPr>
          <w:rFonts w:cs="Arial"/>
          <w:sz w:val="21"/>
        </w:rPr>
        <w:t>: 10.1002/14651858.CD009531.pub3.</w:t>
      </w:r>
    </w:p>
    <w:p w14:paraId="604FF42A" w14:textId="77777777" w:rsidR="00504010" w:rsidRPr="00EB3D38" w:rsidRDefault="00504010" w:rsidP="00504010">
      <w:pPr>
        <w:spacing w:after="100" w:line="276" w:lineRule="auto"/>
        <w:ind w:left="403" w:hanging="403"/>
        <w:rPr>
          <w:rFonts w:cs="Arial"/>
        </w:rPr>
      </w:pPr>
      <w:r w:rsidRPr="00EB3D38">
        <w:rPr>
          <w:rFonts w:cs="Arial"/>
          <w:sz w:val="21"/>
        </w:rPr>
        <w:t>UK Parliament (2014) Care Act 2014. Available at: https://www.legislation.gov.uk/ukpga/2014/23/contents (Accessed: 15 July 2026).</w:t>
      </w:r>
    </w:p>
    <w:p w14:paraId="7656CDF7" w14:textId="77777777" w:rsidR="00504010" w:rsidRPr="00EB3D38" w:rsidRDefault="00504010">
      <w:pPr>
        <w:rPr>
          <w:rFonts w:cs="Arial"/>
        </w:rPr>
      </w:pPr>
    </w:p>
    <w:sectPr w:rsidR="00504010" w:rsidRPr="00EB3D38" w:rsidSect="00C923E5">
      <w:pgSz w:w="11909" w:h="16834"/>
      <w:pgMar w:top="1080" w:right="1224" w:bottom="1008"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2E78F" w14:textId="77777777" w:rsidR="0087038A" w:rsidRDefault="0087038A">
      <w:pPr>
        <w:spacing w:after="0" w:line="240" w:lineRule="auto"/>
      </w:pPr>
      <w:r>
        <w:separator/>
      </w:r>
    </w:p>
  </w:endnote>
  <w:endnote w:type="continuationSeparator" w:id="0">
    <w:p w14:paraId="0B5BB97C" w14:textId="77777777" w:rsidR="0087038A" w:rsidRDefault="00870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508AB" w14:textId="77777777" w:rsidR="00C923E5" w:rsidRDefault="00C923E5">
    <w:pPr>
      <w:pStyle w:val="Footer"/>
      <w:jc w:val="center"/>
    </w:pPr>
    <w:r>
      <w:fldChar w:fldCharType="begin"/>
    </w:r>
    <w:r>
      <w:instrText xml:space="preserve"> PAGE </w:instrText>
    </w:r>
    <w:r>
      <w:fldChar w:fldCharType="separate"/>
    </w:r>
    <w:r w:rsidR="00295778">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11CD5" w14:textId="77777777" w:rsidR="0087038A" w:rsidRDefault="0087038A">
      <w:pPr>
        <w:spacing w:after="0" w:line="240" w:lineRule="auto"/>
      </w:pPr>
      <w:r>
        <w:separator/>
      </w:r>
    </w:p>
  </w:footnote>
  <w:footnote w:type="continuationSeparator" w:id="0">
    <w:p w14:paraId="58C7C339" w14:textId="77777777" w:rsidR="0087038A" w:rsidRDefault="008703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4010"/>
    <w:rsid w:val="000F2E32"/>
    <w:rsid w:val="001127E5"/>
    <w:rsid w:val="00150285"/>
    <w:rsid w:val="00295778"/>
    <w:rsid w:val="00386971"/>
    <w:rsid w:val="00504010"/>
    <w:rsid w:val="00512958"/>
    <w:rsid w:val="00607A64"/>
    <w:rsid w:val="006452EC"/>
    <w:rsid w:val="0087038A"/>
    <w:rsid w:val="00A36D32"/>
    <w:rsid w:val="00C923E5"/>
    <w:rsid w:val="00CB0C24"/>
    <w:rsid w:val="00EB3D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F57BF"/>
  <w15:chartTrackingRefBased/>
  <w15:docId w15:val="{E8C35491-ADAC-4EE8-B435-2355598FC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010"/>
    <w:pPr>
      <w:spacing w:after="120" w:line="360" w:lineRule="auto"/>
    </w:pPr>
    <w:rPr>
      <w:rFonts w:ascii="Arial" w:eastAsiaTheme="minorEastAsia" w:hAnsi="Ari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040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4010"/>
    <w:rPr>
      <w:rFonts w:ascii="Arial" w:eastAsiaTheme="minorEastAsia"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0313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1933</Words>
  <Characters>11022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Stephanie Chasteau</cp:lastModifiedBy>
  <cp:revision>3</cp:revision>
  <dcterms:created xsi:type="dcterms:W3CDTF">2026-08-08T10:09:00Z</dcterms:created>
  <dcterms:modified xsi:type="dcterms:W3CDTF">2026-08-08T10:13:00Z</dcterms:modified>
</cp:coreProperties>
</file>