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360"/>
        <w:ind w:right="0" w:left="0" w:firstLine="0"/>
        <w:jc w:val="left"/>
        <w:rPr>
          <w:rFonts w:ascii="Times New Roman" w:hAnsi="Times New Roman" w:cs="Times New Roman" w:eastAsia="Times New Roman"/>
          <w:b/>
          <w:color w:val="auto"/>
          <w:spacing w:val="0"/>
          <w:position w:val="0"/>
          <w:sz w:val="32"/>
          <w:shd w:fill="auto" w:val="clear"/>
        </w:rPr>
      </w:pPr>
      <w:r>
        <w:object w:dxaOrig="3016" w:dyaOrig="1235">
          <v:rect xmlns:o="urn:schemas-microsoft-com:office:office" xmlns:v="urn:schemas-microsoft-com:vml" id="rectole0000000000" style="width:150.800000pt;height:61.7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36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Student name : Hetalben Kishorbhai Odedra </w:t>
      </w:r>
    </w:p>
    <w:p>
      <w:pPr>
        <w:spacing w:before="0" w:after="0" w:line="36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Sudent ID : 2108243</w:t>
      </w:r>
    </w:p>
    <w:p>
      <w:pPr>
        <w:spacing w:before="0" w:after="0" w:line="36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name : Strategic Management Assignment 1</w:t>
      </w:r>
    </w:p>
    <w:p>
      <w:pPr>
        <w:spacing w:before="0" w:after="0" w:line="36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Module coad : LCMB7003</w:t>
      </w:r>
    </w:p>
    <w:p>
      <w:pPr>
        <w:spacing w:before="0" w:after="0" w:line="360"/>
        <w:ind w:right="0" w:left="0" w:firstLine="0"/>
        <w:jc w:val="left"/>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Lecturer name : Gladius David Kulothungan</w:t>
      </w:r>
    </w:p>
    <w:p>
      <w:pPr>
        <w:spacing w:before="0" w:after="0" w:line="360"/>
        <w:ind w:right="0" w:left="0" w:firstLine="0"/>
        <w:jc w:val="left"/>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left"/>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left"/>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both"/>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32"/>
          <w:shd w:fill="auto" w:val="clear"/>
        </w:rPr>
      </w:pP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Executive Summary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PlayStation of Sony has been on stable ground in most of the video game sector, but this has required evolving much about this. The discrepancy of the network abilities and also the software limit offering has particularly kept the PS from controlling their market. The corporate strategy has helped the company to improve their gaming sector to develop their PS4 product. Some objectives and the mission are present in the company that is elaborate here in this report. They have used both the external and internal analysis for understanding much better about the company. In the external analysis, there have used PESTLE and Porter’s five forces, and in the internal analysis, there have used SWOT, Value chain, financial and the VRIO framework. There also have some issues in the contemporary management, and to reduce these issues there have to use the proper development strategy.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32"/>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is one of the largest consumer electronic products manufacturers based in Japan and it is among the biggest contenders in the electronic and gaming market globally. They are primarily involved in music, films, financial services, and gaming industries. This report aims at Sony’s strategic management in the gaming industry and the ways in which they earned supremacy in the field. Sony made its debut in the gaming community back in the year 1994 by releasing its PlayStation Consoles under Sony Computer Entertainment. These consoles by Sony were based on 32-bit technology and enabled Sony to reach a better height in the world of video games. The PlayStation that Sony launched was also known as PS One, it required the use of compact discs to run a game. They were the first in the market that has made the industry move away from traditional cartridge-based gaming. Currently, Nintendo and Xbox are the only contenders that give competition to the company.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Definition of Strategy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Strategy is referred to the plan of action a company uses to achieve its desired goals. The goals could be Short-term, middle-term, or long-term. A business primarily focuses on three types of strategies. The corporate strategy a company helps a company to define its overall strategic goals (Akman and Akin, 2021). The business strategy is the second part that helps in making strategic goals which directly concerned with the business unit. And the third part is concerned with the functional strategies, which emphasize achieving the business-related goals along with making developments in the functional areas too. In a company, goals play a crucial role as they help in the determination of the company’s future directions. An excellent strategy helps in achieving all the company’s goals and assists in making plans based on a thorough analysis of the company’s market position (Marziano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2021). Strategy in business helps in defining the SWOT analysis part of the company.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role of an impeccable strategy does not end in defining plans of action for a company and establishing a direction for the employees and the management. Along with all the esteemed functionally of a strategy, it helps the management in the decision-making process. Strategic management helps companies such as Sony, which have an understanding of the market, in making strategies and plans that assist in making the best utilization of resources and manpower. Sony focuses on strategies that are dynamic in nature and that can help the business grow with minimum interruptions. In the current competitive market in order to survive companies need strategies that can help them in making a better reach of their products and services? Under strategic management, various tools are made that help the companies of large-scale to determine and implement strategies that are useful in making an entry into a new market. The </w:t>
      </w:r>
      <w:r>
        <w:rPr>
          <w:rFonts w:ascii="Times New Roman" w:hAnsi="Times New Roman" w:cs="Times New Roman" w:eastAsia="Times New Roman"/>
          <w:b/>
          <w:i/>
          <w:color w:val="auto"/>
          <w:spacing w:val="0"/>
          <w:position w:val="0"/>
          <w:sz w:val="24"/>
          <w:shd w:fill="auto" w:val="clear"/>
        </w:rPr>
        <w:t xml:space="preserve">“Three Horizons of Growth model”</w:t>
      </w:r>
      <w:r>
        <w:rPr>
          <w:rFonts w:ascii="Times New Roman" w:hAnsi="Times New Roman" w:cs="Times New Roman" w:eastAsia="Times New Roman"/>
          <w:color w:val="auto"/>
          <w:spacing w:val="0"/>
          <w:position w:val="0"/>
          <w:sz w:val="24"/>
          <w:shd w:fill="auto" w:val="clear"/>
        </w:rPr>
        <w:t xml:space="preserve"> by McKinsey assist companies to make plans that are valid in the determination of a company’s desired future goal (He</w:t>
      </w:r>
      <w:r>
        <w:rPr>
          <w:rFonts w:ascii="Times New Roman" w:hAnsi="Times New Roman" w:cs="Times New Roman" w:eastAsia="Times New Roman"/>
          <w:i/>
          <w:color w:val="auto"/>
          <w:spacing w:val="0"/>
          <w:position w:val="0"/>
          <w:sz w:val="24"/>
          <w:shd w:fill="auto" w:val="clear"/>
        </w:rPr>
        <w:t xml:space="preserve"> et al., </w:t>
      </w:r>
      <w:r>
        <w:rPr>
          <w:rFonts w:ascii="Times New Roman" w:hAnsi="Times New Roman" w:cs="Times New Roman" w:eastAsia="Times New Roman"/>
          <w:color w:val="auto"/>
          <w:spacing w:val="0"/>
          <w:position w:val="0"/>
          <w:sz w:val="24"/>
          <w:shd w:fill="auto" w:val="clear"/>
        </w:rPr>
        <w:t xml:space="preserve">2021). Sony uses the strategy chart method in order to align its ongoing work process with its desired goals. It helps in minimizing the error rate and uplifts Sony’s efficiency.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6317" w:dyaOrig="5750">
          <v:rect xmlns:o="urn:schemas-microsoft-com:office:office" xmlns:v="urn:schemas-microsoft-com:vml" id="rectole0000000001" style="width:315.850000pt;height:287.5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1: Strategic planning of Sony in the gaming industry</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Agzamov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2021)</w:t>
      </w:r>
    </w:p>
    <w:p>
      <w:pPr>
        <w:keepNext w:val="true"/>
        <w:keepLines w:val="true"/>
        <w:spacing w:before="0" w:after="0" w:line="36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Mission and strategic objectives of the company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comprehends its corporate mission as: </w:t>
      </w:r>
      <w:r>
        <w:rPr>
          <w:rFonts w:ascii="Times New Roman" w:hAnsi="Times New Roman" w:cs="Times New Roman" w:eastAsia="Times New Roman"/>
          <w:b/>
          <w:i/>
          <w:color w:val="auto"/>
          <w:spacing w:val="0"/>
          <w:position w:val="0"/>
          <w:sz w:val="24"/>
          <w:shd w:fill="auto" w:val="clear"/>
        </w:rPr>
        <w:t xml:space="preserve">“a company that provides customers with kando </w:t>
      </w:r>
      <w:r>
        <w:rPr>
          <w:rFonts w:ascii="Times New Roman" w:hAnsi="Times New Roman" w:cs="Times New Roman" w:eastAsia="Times New Roman"/>
          <w:b/>
          <w:i/>
          <w:color w:val="auto"/>
          <w:spacing w:val="0"/>
          <w:position w:val="0"/>
          <w:sz w:val="24"/>
          <w:shd w:fill="auto" w:val="clear"/>
        </w:rPr>
        <w:t xml:space="preserve">–</w:t>
      </w:r>
      <w:r>
        <w:rPr>
          <w:rFonts w:ascii="Times New Roman" w:hAnsi="Times New Roman" w:cs="Times New Roman" w:eastAsia="Times New Roman"/>
          <w:b/>
          <w:i/>
          <w:color w:val="auto"/>
          <w:spacing w:val="0"/>
          <w:position w:val="0"/>
          <w:sz w:val="24"/>
          <w:shd w:fill="auto" w:val="clear"/>
        </w:rPr>
        <w:t xml:space="preserve"> to move them emotionally </w:t>
      </w:r>
      <w:r>
        <w:rPr>
          <w:rFonts w:ascii="Times New Roman" w:hAnsi="Times New Roman" w:cs="Times New Roman" w:eastAsia="Times New Roman"/>
          <w:b/>
          <w:i/>
          <w:color w:val="auto"/>
          <w:spacing w:val="0"/>
          <w:position w:val="0"/>
          <w:sz w:val="24"/>
          <w:shd w:fill="auto" w:val="clear"/>
        </w:rPr>
        <w:t xml:space="preserve">–</w:t>
      </w:r>
      <w:r>
        <w:rPr>
          <w:rFonts w:ascii="Times New Roman" w:hAnsi="Times New Roman" w:cs="Times New Roman" w:eastAsia="Times New Roman"/>
          <w:b/>
          <w:i/>
          <w:color w:val="auto"/>
          <w:spacing w:val="0"/>
          <w:position w:val="0"/>
          <w:sz w:val="24"/>
          <w:shd w:fill="auto" w:val="clear"/>
        </w:rPr>
        <w:t xml:space="preserve"> and inspires and fulfills their curiosity.</w:t>
      </w:r>
      <w:r>
        <w:rPr>
          <w:rFonts w:ascii="Times New Roman" w:hAnsi="Times New Roman" w:cs="Times New Roman" w:eastAsia="Times New Roman"/>
          <w:b/>
          <w:i/>
          <w:color w:val="auto"/>
          <w:spacing w:val="0"/>
          <w:position w:val="0"/>
          <w:sz w:val="24"/>
          <w:shd w:fill="auto" w:val="clear"/>
        </w:rPr>
        <w:t xml:space="preserve">”</w:t>
      </w:r>
      <w:r>
        <w:rPr>
          <w:rFonts w:ascii="Times New Roman" w:hAnsi="Times New Roman" w:cs="Times New Roman" w:eastAsia="Times New Roman"/>
          <w:b/>
          <w:i/>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Sony’s mission statement they primarily focus on developing products that help in evoking a customer’s emotions. Their final products show that Sony put all its efforts into making a product that signifies its mission. PlayStation is among the lineups of Sony gaming products which helps in attracting customers and retaining them by satisfying their curiosity through the gaming experience (Sony.com, 2021). Such products help in establishing an emotional relationship between the user and the product. Sony’s mission statement helps in understanding the ideology behind its product creation and the value for every customer.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Sony’s corporate mission doesn’t help in understanding the strategic decision-making process of the company. In that Part Company’s strategic objective plays a more significant role in understanding its process of product creation. The strategic objective of Sony comprises of </w:t>
      </w:r>
    </w:p>
    <w:p>
      <w:pPr>
        <w:numPr>
          <w:ilvl w:val="0"/>
          <w:numId w:val="22"/>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Increasing investment capability</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company has increased its ability to generate the flow of cash significantly (Weerabahu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2021). It helps in reinforcing the financial foundation of the company and making strategic plans for every department. </w:t>
      </w:r>
    </w:p>
    <w:p>
      <w:pPr>
        <w:numPr>
          <w:ilvl w:val="0"/>
          <w:numId w:val="24"/>
        </w:numPr>
        <w:spacing w:before="0" w:after="0" w:line="360"/>
        <w:ind w:right="0" w:left="720" w:hanging="36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Establishing a structure that facilitates group architecture:</w:t>
      </w:r>
    </w:p>
    <w:p>
      <w:pPr>
        <w:spacing w:before="0" w:after="0" w:line="36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April 2021 Company announced a new group architecture that is primarily based on the concept of Kando. This objective of the company helps in merging all the different wings of the company and making improvements in the final products (Mustapha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2021). This also assists the company in further making new recruitments in the company to manage this group architecture.</w:t>
      </w:r>
    </w:p>
    <w:p>
      <w:pPr>
        <w:numPr>
          <w:ilvl w:val="0"/>
          <w:numId w:val="26"/>
        </w:numPr>
        <w:spacing w:before="0" w:after="0" w:line="360"/>
        <w:ind w:right="0" w:left="720" w:hanging="36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Formation and expansion in the interest of the community:</w:t>
      </w:r>
    </w:p>
    <w:p>
      <w:pPr>
        <w:spacing w:before="0" w:after="0" w:line="360"/>
        <w:ind w:right="0" w:left="72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is focusing on the formation and expansion of the community where gamers can share their similar interest, and impactful experiences, and facilitate communication (Pashkov, 2021). The company is planning to achieve this in the upcoming years and can make the world connected using kando.</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Industry analysis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Corporation is a business of the electronics unit of the Sony group. Sony has primarily conducted R&amp;D (Research and development), designing, planning, marketing and manufacturing of many electronics products, especially video games. In the opinion of JINMING, (2020), they create such a platform, which has delivered some good value for their developers and users. This has certainly led them to become a leader in such a completely new industry for Sony. The overall success of Sony was huge, such as the PlayStation and the PlayStation 2 has sold over 100 and 150 million units respectively. Sony has now become the 2 best selling “gaming console” worldwide so far. </w:t>
      </w:r>
    </w:p>
    <w:p>
      <w:pPr>
        <w:keepNext w:val="true"/>
        <w:keepLines w:val="true"/>
        <w:spacing w:before="12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6"/>
          <w:shd w:fill="auto" w:val="clear"/>
        </w:rPr>
        <w:t xml:space="preserve">External analysis </w:t>
      </w:r>
    </w:p>
    <w:p>
      <w:pPr>
        <w:keepNext w:val="true"/>
        <w:keepLines w:val="true"/>
        <w:spacing w:before="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PESTLE analysis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Ind w:w="100" w:type="dxa"/>
      </w:tblPr>
      <w:tblGrid>
        <w:gridCol w:w="3120"/>
        <w:gridCol w:w="3120"/>
        <w:gridCol w:w="3120"/>
      </w:tblGrid>
      <w:tr>
        <w:trPr>
          <w:trHeight w:val="1" w:hRule="atLeast"/>
          <w:jc w:val="left"/>
          <w:cantSplit w:val="1"/>
        </w:trPr>
        <w:tc>
          <w:tcPr>
            <w:tcW w:w="3120" w:type="dxa"/>
            <w:tcBorders>
              <w:top w:val="single" w:color="000000" w:sz="8"/>
              <w:left w:val="single" w:color="000000" w:sz="8"/>
              <w:bottom w:val="single" w:color="000000" w:sz="8"/>
              <w:right w:val="single" w:color="000000" w:sz="8"/>
            </w:tcBorders>
            <w:shd w:color="auto" w:fill="3c78d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Political</w:t>
            </w:r>
          </w:p>
        </w:tc>
        <w:tc>
          <w:tcPr>
            <w:tcW w:w="3120" w:type="dxa"/>
            <w:tcBorders>
              <w:top w:val="single" w:color="000000" w:sz="8"/>
              <w:left w:val="single" w:color="000000" w:sz="8"/>
              <w:bottom w:val="single" w:color="000000" w:sz="8"/>
              <w:right w:val="single" w:color="000000" w:sz="8"/>
            </w:tcBorders>
            <w:shd w:color="auto" w:fill="3c78d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Economic</w:t>
            </w:r>
          </w:p>
        </w:tc>
        <w:tc>
          <w:tcPr>
            <w:tcW w:w="3120" w:type="dxa"/>
            <w:tcBorders>
              <w:top w:val="single" w:color="000000" w:sz="8"/>
              <w:left w:val="single" w:color="000000" w:sz="8"/>
              <w:bottom w:val="single" w:color="000000" w:sz="8"/>
              <w:right w:val="single" w:color="000000" w:sz="8"/>
            </w:tcBorders>
            <w:shd w:color="auto" w:fill="3c78d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Social</w:t>
            </w:r>
          </w:p>
        </w:tc>
      </w:tr>
      <w:tr>
        <w:trPr>
          <w:trHeight w:val="1" w:hRule="atLeast"/>
          <w:jc w:val="left"/>
          <w:cantSplit w:val="1"/>
        </w:trPr>
        <w:tc>
          <w:tcPr>
            <w:tcW w:w="312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numPr>
                <w:ilvl w:val="0"/>
                <w:numId w:val="3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political stability index is around 0.52 points in 2020</w:t>
            </w:r>
          </w:p>
          <w:p>
            <w:pPr>
              <w:numPr>
                <w:ilvl w:val="0"/>
                <w:numId w:val="3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Enhance government support for online business</w:t>
            </w:r>
          </w:p>
          <w:p>
            <w:pPr>
              <w:numPr>
                <w:ilvl w:val="0"/>
                <w:numId w:val="3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Increase data security</w:t>
            </w:r>
          </w:p>
          <w:p>
            <w:pPr>
              <w:spacing w:before="0" w:after="0" w:line="360"/>
              <w:ind w:right="0" w:left="0" w:firstLine="0"/>
              <w:jc w:val="both"/>
              <w:rPr>
                <w:color w:val="auto"/>
                <w:spacing w:val="0"/>
                <w:position w:val="0"/>
              </w:rPr>
            </w:pPr>
          </w:p>
        </w:tc>
        <w:tc>
          <w:tcPr>
            <w:tcW w:w="312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numPr>
                <w:ilvl w:val="0"/>
                <w:numId w:val="3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Growth in the developing market</w:t>
            </w:r>
          </w:p>
          <w:p>
            <w:pPr>
              <w:numPr>
                <w:ilvl w:val="0"/>
                <w:numId w:val="3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highest GDP rate is 6%</w:t>
            </w:r>
          </w:p>
          <w:p>
            <w:pPr>
              <w:numPr>
                <w:ilvl w:val="0"/>
                <w:numId w:val="3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Economic stability</w:t>
            </w:r>
          </w:p>
          <w:p>
            <w:pPr>
              <w:numPr>
                <w:ilvl w:val="0"/>
                <w:numId w:val="3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Increase the disposable income</w:t>
            </w:r>
          </w:p>
          <w:p>
            <w:pPr>
              <w:numPr>
                <w:ilvl w:val="0"/>
                <w:numId w:val="3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inflation rate is about 2% per year</w:t>
            </w:r>
          </w:p>
          <w:p>
            <w:pPr>
              <w:spacing w:before="0" w:after="0" w:line="360"/>
              <w:ind w:right="0" w:left="0" w:firstLine="0"/>
              <w:jc w:val="both"/>
              <w:rPr>
                <w:color w:val="auto"/>
                <w:spacing w:val="0"/>
                <w:position w:val="0"/>
              </w:rPr>
            </w:pPr>
          </w:p>
        </w:tc>
        <w:tc>
          <w:tcPr>
            <w:tcW w:w="312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numPr>
                <w:ilvl w:val="0"/>
                <w:numId w:val="41"/>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Enhance online gaming adoption</w:t>
            </w:r>
          </w:p>
          <w:p>
            <w:pPr>
              <w:numPr>
                <w:ilvl w:val="0"/>
                <w:numId w:val="41"/>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Increase the openness in leisure</w:t>
            </w:r>
          </w:p>
          <w:p>
            <w:pPr>
              <w:numPr>
                <w:ilvl w:val="0"/>
                <w:numId w:val="41"/>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Ordinary profit is 34 billion in 2021</w:t>
            </w:r>
          </w:p>
          <w:p>
            <w:pPr>
              <w:numPr>
                <w:ilvl w:val="0"/>
                <w:numId w:val="41"/>
              </w:numPr>
              <w:spacing w:before="0" w:after="0" w:line="360"/>
              <w:ind w:right="0" w:left="72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Develop the wealth distribution</w:t>
            </w:r>
          </w:p>
        </w:tc>
      </w:tr>
      <w:tr>
        <w:trPr>
          <w:trHeight w:val="1" w:hRule="atLeast"/>
          <w:jc w:val="left"/>
          <w:cantSplit w:val="1"/>
        </w:trPr>
        <w:tc>
          <w:tcPr>
            <w:tcW w:w="3120" w:type="dxa"/>
            <w:tcBorders>
              <w:top w:val="single" w:color="000000" w:sz="8"/>
              <w:left w:val="single" w:color="000000" w:sz="8"/>
              <w:bottom w:val="single" w:color="000000" w:sz="8"/>
              <w:right w:val="single" w:color="000000" w:sz="8"/>
            </w:tcBorders>
            <w:shd w:color="auto" w:fill="3c78d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Technological</w:t>
            </w:r>
          </w:p>
        </w:tc>
        <w:tc>
          <w:tcPr>
            <w:tcW w:w="3120" w:type="dxa"/>
            <w:tcBorders>
              <w:top w:val="single" w:color="000000" w:sz="8"/>
              <w:left w:val="single" w:color="000000" w:sz="8"/>
              <w:bottom w:val="single" w:color="000000" w:sz="8"/>
              <w:right w:val="single" w:color="000000" w:sz="8"/>
            </w:tcBorders>
            <w:shd w:color="auto" w:fill="3c78d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Legal</w:t>
            </w:r>
          </w:p>
        </w:tc>
        <w:tc>
          <w:tcPr>
            <w:tcW w:w="3120" w:type="dxa"/>
            <w:tcBorders>
              <w:top w:val="single" w:color="000000" w:sz="8"/>
              <w:left w:val="single" w:color="000000" w:sz="8"/>
              <w:bottom w:val="single" w:color="000000" w:sz="8"/>
              <w:right w:val="single" w:color="000000" w:sz="8"/>
            </w:tcBorders>
            <w:shd w:color="auto" w:fill="3c78d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Environmental</w:t>
            </w:r>
          </w:p>
        </w:tc>
      </w:tr>
      <w:tr>
        <w:trPr>
          <w:trHeight w:val="1" w:hRule="atLeast"/>
          <w:jc w:val="left"/>
          <w:cantSplit w:val="1"/>
        </w:trPr>
        <w:tc>
          <w:tcPr>
            <w:tcW w:w="312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numPr>
                <w:ilvl w:val="0"/>
                <w:numId w:val="4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High rate of the technology adoption</w:t>
            </w:r>
          </w:p>
          <w:p>
            <w:pPr>
              <w:numPr>
                <w:ilvl w:val="0"/>
                <w:numId w:val="4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R&amp;D activity high rate</w:t>
            </w:r>
          </w:p>
          <w:p>
            <w:pPr>
              <w:numPr>
                <w:ilvl w:val="0"/>
                <w:numId w:val="47"/>
              </w:numPr>
              <w:spacing w:before="0" w:after="0" w:line="360"/>
              <w:ind w:right="0" w:left="72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Increase the digital technology dependence</w:t>
            </w:r>
          </w:p>
        </w:tc>
        <w:tc>
          <w:tcPr>
            <w:tcW w:w="312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numPr>
                <w:ilvl w:val="0"/>
                <w:numId w:val="4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Develop the patent protection</w:t>
            </w:r>
          </w:p>
          <w:p>
            <w:pPr>
              <w:numPr>
                <w:ilvl w:val="0"/>
                <w:numId w:val="4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Increase the product regulation</w:t>
            </w:r>
          </w:p>
          <w:p>
            <w:pPr>
              <w:numPr>
                <w:ilvl w:val="0"/>
                <w:numId w:val="47"/>
              </w:numPr>
              <w:spacing w:before="0" w:after="0" w:line="360"/>
              <w:ind w:right="0" w:left="72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Enhance e-waste regulation</w:t>
            </w:r>
          </w:p>
        </w:tc>
        <w:tc>
          <w:tcPr>
            <w:tcW w:w="312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numPr>
                <w:ilvl w:val="0"/>
                <w:numId w:val="4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Recycling facilities availability</w:t>
            </w:r>
          </w:p>
          <w:p>
            <w:pPr>
              <w:numPr>
                <w:ilvl w:val="0"/>
                <w:numId w:val="47"/>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Enhance business sustainability</w:t>
            </w:r>
          </w:p>
          <w:p>
            <w:pPr>
              <w:numPr>
                <w:ilvl w:val="0"/>
                <w:numId w:val="47"/>
              </w:numPr>
              <w:spacing w:before="0" w:after="0" w:line="360"/>
              <w:ind w:right="0" w:left="72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Increase the demand for an eco-friendly product</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1: PESTLE Analysis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Self-developed)</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Political factor</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political condition affects most of the markets of the Sony video game. All of the aspects of the PESTLE analysis have considered governmental activity's influence on the macro or remorse environment of this particular company. As per the view of Klingebiel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(2022), the political stability index points as of 2020 is around 0.52 pints of the Sony which is enough to develop the gaming sector of Sony. The corporation of Sony has benefited from such political stability as the majority of their self-markets. The proper stability has as well corresponded to minimizing all of the political barriers in most macro and remote environments.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However, Sony has presented some proper opportunities for their business growth in the video game sector. Moreover, Sony also has few opportunities for growth based on such developed governmental support in their overall data security. As cited by Ozalp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this has certainly supported the growth of the business as well as some online operations. In the relation, their government is improving all of the additional measures for helping their overall online business. This particular factor as the external has been creating the proper opportunity for Sony to increase its online operations.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Economical factor</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performance of Sony has depended on its economic trends, and this specific aspect in the PESTLE analysis recognizes the overall economic situation as significantly in their entire business. However, Sony is also required to consider the proper external factor of the economy in their macro or remote environment. According to Rietveld and Schilling, (2021), Sony has many opportunities for growth as the economy in most of the improving markets. Their markets in the gaming sector have such the highest rate of growth that certainly could boost the revenue of their business. GDP rate is very important in any business and in this industry; the highest GDP rate is around 6% which will certainly help to increase the overall production of the gaming products of Sony.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However, the stability of the economy of most of the improved markets has also presented the perfect opportunity to increase their operations, whereas, there also has the risk of minimal experience in the market. Another consideration is to increase the disposable level of tier income worldwide (Kodama, 2020). This specific factor as the external has as well created the proper opportunity for the gaming industry to grow its overall revenue.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Social factor</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has some effect of the social trends on the customer response to all the gaming products of Sony. This specific aspect of PESTLE has determined that particular effect on the socio-cultural and social conditions in most macro or remote business environments. According to the lifestyle index, the ordinary profit of the Sony gaming console is 34 billion in 2021 which is pretty good for their business. In the opinion of Le, (2020), the enhancement adoption in online gaming and the developing wealth distribution has also created many opportunities for the particular company Sony to enhance their total revenue from all sales of their gaming products. As an example, the company could expect the overall potential enhancement in the sales of the PlayStation revenues, as most people are likely to buy most of the products. Sony as well could boost its overall sales revenue which is generally based on enhancing openness in leisure. This specific external factor has highlighted all benefits in the marketing of entertainment and gaming products for choosing the leisure requirement of their most of the target audience.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Technological factor</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brand Sony is also dependent on the use of the technology in their business which certainly facilitates the consumption use of all products. The technological affects conditions and trends on such of the macro and remote environment on their firms has considered in such of these specific aspects of the PESTLE. As per the view of Van de Kaa, (2018), the corporation of Sony has such a growth opportunity based on the enhancing dependence on their overall digital technology. This particular external factor points to enhancing the demand by organizations and individuals for digital technology.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Legal factor</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industry should satisfy the overall needs as legal that will be perfect for their macro and remote environment. This particular aspect has determined all of the effects on the firm's regulations. As cited by Beek</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(2021), the developing patent protection has been highlighted in the effort of the intergovernmental and governments for protecting all patents. This particular aspect has presented some opportunities to grow their entire business whereas, expect such minimal challenges to protect their overall proprietary design and information. However, on the other hand, the regulations that are mainly enhancing e-waste are now a threat of some expense and effort.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Environment factor</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They have such proper growth chances that are based on the enhancing emphasis on their business sustainability. As an example, Sony could increase its entire brand image by enhancing its sustainability. The gaming sector of Sony also could be innovative in making all their products environmentally friendly. According to Hammar and Woodcock, (2019), they have some products that certainly could be very attractive to their customers. Some other consideration has been presented there that enhances availability in such recycling facilities. Most of the factors have developed their overall potential success of the efforts of sony for addressing the concern of the products. </w:t>
      </w:r>
    </w:p>
    <w:p>
      <w:pPr>
        <w:keepNext w:val="true"/>
        <w:keepLines w:val="true"/>
        <w:spacing w:before="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Porter’s Five Forces Analysis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6803" w:dyaOrig="5304">
          <v:rect xmlns:o="urn:schemas-microsoft-com:office:office" xmlns:v="urn:schemas-microsoft-com:vml" id="rectole0000000002" style="width:340.150000pt;height:265.2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2: Porter’s Five Forces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notesmatic, 2022)</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Bargaining power of the suppliers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bargaining power of most of the suppliers of Sony is very low for moderating that is to the very high finances that Sony has. This brand has been held to the proper level of control over all suppliers. Most of the suppliers, whereas, very smaller in size as well as being scattered in the whole world that as well hold some exercise and control just much low for moderating the overall power of the bargaining. In the opinion of McAllister and Ruggill, (2018), this is very easy for the gaming sector of Sony to switch most of its suppliers but on the contrary, their same suppliers are the means of such vital loss. Many suppliers due to their size as well the high clout, and that still subject to similar rules and regulations.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Bargaining power of the buyers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21st century, the buyer's bargaining power has increased. Whereas, their all competitors might be very few that are still present with such heavy market competition.  However, most of the gaming products of Sony are priced very high compared to other competitors. As per the view of Väänänen, (2018), the quality of their products could be better comparatively, and still, most of their competitors are focused on such challenges and innovation to grow their business.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Substitutes Threat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very few substitutes for Sony products, and since the switch of the cost is very low, then this has certainly led to increasing the overall threat level from substitutes. Some factors are also present there that limit the threat from that particular substitute. As cited by Vedanand, (2021), all of the factors have such of their self and particular brand image of the Sony, and the product quality and lower level of the differentiation. There are also a few products as the PlayStation have moderate threat as well from the substitute by their utility and popularity.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New entrants' threats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particular threat to Sony is much lower, and the electronics sector and also the gaming sector, all are very intensive. To increase or grow in such a competitive brand is not much easy and any of the companies would certainly require making such perfect and vast investment in their infrastructure operations, hiring and technically skilled workers (Milkau, 2019). However, making a brand of electronics is very costly.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Competitive rivalry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actual level of the competitive rivalry in most of the existing companies is much higher in specific areas of the electronics industry and gaming industry. They have many competitive brands that might be very limited, as for the lower switching costs, and the less risk of the customers to their competition is now high. According to Bates, (2020), the overall outcome is that the firm invests in the firm very aggressively in most of the innovation and marketing.  </w:t>
      </w:r>
    </w:p>
    <w:p>
      <w:pPr>
        <w:keepNext w:val="true"/>
        <w:keepLines w:val="true"/>
        <w:spacing w:before="12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Internal analysis </w:t>
      </w:r>
    </w:p>
    <w:p>
      <w:pPr>
        <w:keepNext w:val="true"/>
        <w:keepLines w:val="true"/>
        <w:spacing w:before="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Financial and business analysis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Presently, Sony is the largest player in the gaming console market. The PlayStation 4 is a very popular console in the gaming industry worldwide and that also holds a large market share in all of the gaming consoles in their specific gaming market. As per the statista, their entire revenue has been generated from such a gaming console in the UK that will certainly reach around $6.94 billion in the year 2021 (Fahy and Jobber, 2019). The market in China will specifically lead the international industry of the gaming console in terms of the sales that generate nearly $19.7 billion in their overall net revenue and that also from the gaming console sales. In the opinion of Longwe and Sakyi, (2020), the revenue of every person from the gaming console sales is now going to around $20.8 billion.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year 2019, the overall revenue that was generated from that particular gaming console in the US and that as well will reach around$7.54 a billion (JINMING, 2020). The PlayStation 4 of the Sony in 20198 was the best-selling gaming console, and this has sold over 100 million in its history that also is the second-highest selling the gaming console as well after the PlayStation 2 which has sold around 157 million (Chen, 2021). Presently, Sony is ahead of its nearest competitors who include Nintendo and Microsoft. The overall experience of the company has declined the proper unit sales of the PS4 hardware in the fiscal of 2019, but this is as well the lead player in the overall gaming industry. The hardware of the PS4 is as well as a vital source of brand revenue (</w:t>
      </w:r>
      <w:r>
        <w:rPr>
          <w:rFonts w:ascii="Times New Roman" w:hAnsi="Times New Roman" w:cs="Times New Roman" w:eastAsia="Times New Roman"/>
          <w:color w:val="000000"/>
          <w:spacing w:val="0"/>
          <w:position w:val="0"/>
          <w:sz w:val="24"/>
          <w:shd w:fill="FFFFFF" w:val="clear"/>
        </w:rPr>
        <w:t xml:space="preserve">Sterman </w:t>
      </w:r>
      <w:r>
        <w:rPr>
          <w:rFonts w:ascii="Times New Roman" w:hAnsi="Times New Roman" w:cs="Times New Roman" w:eastAsia="Times New Roman"/>
          <w:i/>
          <w:color w:val="000000"/>
          <w:spacing w:val="0"/>
          <w:position w:val="0"/>
          <w:sz w:val="24"/>
          <w:shd w:fill="FFFFFF" w:val="clear"/>
        </w:rPr>
        <w:t xml:space="preserve">et al.,</w:t>
      </w:r>
      <w:r>
        <w:rPr>
          <w:rFonts w:ascii="Times New Roman" w:hAnsi="Times New Roman" w:cs="Times New Roman" w:eastAsia="Times New Roman"/>
          <w:color w:val="000000"/>
          <w:spacing w:val="0"/>
          <w:position w:val="0"/>
          <w:sz w:val="24"/>
          <w:shd w:fill="FFFFFF" w:val="clear"/>
        </w:rPr>
        <w:t xml:space="preserve"> 2011)</w:t>
      </w:r>
      <w:r>
        <w:rPr>
          <w:rFonts w:ascii="Times New Roman" w:hAnsi="Times New Roman" w:cs="Times New Roman" w:eastAsia="Times New Roman"/>
          <w:color w:val="auto"/>
          <w:spacing w:val="0"/>
          <w:position w:val="0"/>
          <w:sz w:val="24"/>
          <w:shd w:fill="auto" w:val="clear"/>
        </w:rPr>
        <w:t xml:space="preserve">. </w:t>
      </w:r>
    </w:p>
    <w:p>
      <w:pPr>
        <w:keepNext w:val="true"/>
        <w:keepLines w:val="true"/>
        <w:spacing w:before="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Value chain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illustrated in the specific Value chain, the gaming industry Sony has 5 generic categories of most of the primary activities,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Inbound Logistics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 activities of the gaming industry of Sony are particularly associated with storing, receiving, and disseminating the overall product's inputs. As cited by Rogers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(2020), this could include the warehousing of materials handling, physical products, and the architecture for storing and receiving the entire customer data for most of the company of the digital media. Presently, the SONY has outsourced many activities that are inbound logistics.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Operations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Most of the activities certainly assist the entire organization in transforming some of the raw materials into the overall finished products (Milkau, 2019). In this specific purpose of this overall study, the definition is much broader, and that certainly could be the means to mould the plastic for making such products that use their customer information for serving their total advertising on the behavior usage to their all clients.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Outbound Logistics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gaming sector of Sony has taken all of the activities for distributing all of their finished products for their all-channel partners and purchasers. The specific outbound Logistics and its all activities have been included as the retailers and wholesalers order to fulfill, scheduling, warehousing, network distribution and the processing.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Marketing and Sales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activities of the marketing and sales are particularly undertaken by the gaming industry of Sony for creating the proper means by which most of the buyers could buy such the products of their firms. As per the view of Kranendonk and van den Heede, (2019), all activities are included as, promotion and advertising, channel selection, force management of the sales, pricing and marketing.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Services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They have been required by the gaming industry for supplying the particular sales service and the proper maintenance for using as successfully all products. According to Le, (2020), the activities of the service of the gaming Sony could be included as, training, party supply, maintenance of the post-sales, backend alignment, product forward of their software and the services of the installation. </w:t>
      </w:r>
    </w:p>
    <w:p>
      <w:pPr>
        <w:keepNext w:val="true"/>
        <w:keepLines w:val="true"/>
        <w:spacing w:before="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SWOT analysis</w:t>
      </w:r>
    </w:p>
    <w:tbl>
      <w:tblPr>
        <w:tblInd w:w="100" w:type="dxa"/>
      </w:tblPr>
      <w:tblGrid>
        <w:gridCol w:w="4680"/>
        <w:gridCol w:w="4680"/>
      </w:tblGrid>
      <w:tr>
        <w:trPr>
          <w:trHeight w:val="1" w:hRule="atLeast"/>
          <w:jc w:val="left"/>
          <w:cantSplit w:val="1"/>
        </w:trPr>
        <w:tc>
          <w:tcPr>
            <w:tcW w:w="4680" w:type="dxa"/>
            <w:tcBorders>
              <w:top w:val="single" w:color="000000" w:sz="8"/>
              <w:left w:val="single" w:color="000000" w:sz="8"/>
              <w:bottom w:val="single" w:color="000000" w:sz="8"/>
              <w:right w:val="single" w:color="000000" w:sz="8"/>
            </w:tcBorders>
            <w:shd w:color="auto" w:fill="980000" w:val="clear"/>
            <w:tcMar>
              <w:left w:w="100" w:type="dxa"/>
              <w:right w:w="100" w:type="dxa"/>
            </w:tcMar>
            <w:vAlign w:val="top"/>
          </w:tcPr>
          <w:p>
            <w:pPr>
              <w:spacing w:before="0" w:after="0" w:line="360"/>
              <w:ind w:right="0" w:left="0" w:firstLine="0"/>
              <w:jc w:val="center"/>
              <w:rPr>
                <w:spacing w:val="0"/>
                <w:position w:val="0"/>
              </w:rPr>
            </w:pPr>
            <w:r>
              <w:rPr>
                <w:rFonts w:ascii="Times New Roman" w:hAnsi="Times New Roman" w:cs="Times New Roman" w:eastAsia="Times New Roman"/>
                <w:b/>
                <w:color w:val="FFFFFF"/>
                <w:spacing w:val="0"/>
                <w:position w:val="0"/>
                <w:sz w:val="24"/>
                <w:shd w:fill="auto" w:val="clear"/>
              </w:rPr>
              <w:t xml:space="preserve">Strength</w:t>
            </w:r>
          </w:p>
        </w:tc>
        <w:tc>
          <w:tcPr>
            <w:tcW w:w="4680" w:type="dxa"/>
            <w:tcBorders>
              <w:top w:val="single" w:color="000000" w:sz="8"/>
              <w:left w:val="single" w:color="000000" w:sz="8"/>
              <w:bottom w:val="single" w:color="000000" w:sz="8"/>
              <w:right w:val="single" w:color="000000" w:sz="8"/>
            </w:tcBorders>
            <w:shd w:color="auto" w:fill="980000" w:val="clear"/>
            <w:tcMar>
              <w:left w:w="100" w:type="dxa"/>
              <w:right w:w="100" w:type="dxa"/>
            </w:tcMar>
            <w:vAlign w:val="top"/>
          </w:tcPr>
          <w:p>
            <w:pPr>
              <w:spacing w:before="0" w:after="0" w:line="360"/>
              <w:ind w:right="0" w:left="0" w:firstLine="0"/>
              <w:jc w:val="center"/>
              <w:rPr>
                <w:spacing w:val="0"/>
                <w:position w:val="0"/>
              </w:rPr>
            </w:pPr>
            <w:r>
              <w:rPr>
                <w:rFonts w:ascii="Times New Roman" w:hAnsi="Times New Roman" w:cs="Times New Roman" w:eastAsia="Times New Roman"/>
                <w:b/>
                <w:color w:val="FFFFFF"/>
                <w:spacing w:val="0"/>
                <w:position w:val="0"/>
                <w:sz w:val="24"/>
                <w:shd w:fill="auto" w:val="clear"/>
              </w:rPr>
              <w:t xml:space="preserve">Weakness</w:t>
            </w:r>
          </w:p>
        </w:tc>
      </w:tr>
      <w:tr>
        <w:trPr>
          <w:trHeight w:val="1" w:hRule="atLeast"/>
          <w:jc w:val="left"/>
          <w:cantSplit w:val="1"/>
        </w:trPr>
        <w:tc>
          <w:tcPr>
            <w:tcW w:w="4680" w:type="dxa"/>
            <w:tcBorders>
              <w:top w:val="single" w:color="000000" w:sz="8"/>
              <w:left w:val="single" w:color="000000" w:sz="8"/>
              <w:bottom w:val="single" w:color="000000" w:sz="8"/>
              <w:right w:val="single" w:color="000000" w:sz="8"/>
            </w:tcBorders>
            <w:shd w:color="auto" w:fill="fff2cc" w:val="clear"/>
            <w:tcMar>
              <w:left w:w="100" w:type="dxa"/>
              <w:right w:w="100" w:type="dxa"/>
            </w:tcMar>
            <w:vAlign w:val="top"/>
          </w:tcPr>
          <w:p>
            <w:pPr>
              <w:numPr>
                <w:ilvl w:val="0"/>
                <w:numId w:val="6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Brand Image</w:t>
            </w:r>
          </w:p>
          <w:p>
            <w:pPr>
              <w:numPr>
                <w:ilvl w:val="0"/>
                <w:numId w:val="6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Diverse product portfolio</w:t>
            </w:r>
          </w:p>
          <w:p>
            <w:pPr>
              <w:numPr>
                <w:ilvl w:val="0"/>
                <w:numId w:val="69"/>
              </w:numPr>
              <w:spacing w:before="0" w:after="0" w:line="360"/>
              <w:ind w:right="0" w:left="72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Product quality</w:t>
            </w:r>
          </w:p>
        </w:tc>
        <w:tc>
          <w:tcPr>
            <w:tcW w:w="4680" w:type="dxa"/>
            <w:tcBorders>
              <w:top w:val="single" w:color="000000" w:sz="8"/>
              <w:left w:val="single" w:color="000000" w:sz="8"/>
              <w:bottom w:val="single" w:color="000000" w:sz="8"/>
              <w:right w:val="single" w:color="000000" w:sz="8"/>
            </w:tcBorders>
            <w:shd w:color="auto" w:fill="fff2cc" w:val="clear"/>
            <w:tcMar>
              <w:left w:w="100" w:type="dxa"/>
              <w:right w:w="100" w:type="dxa"/>
            </w:tcMar>
            <w:vAlign w:val="top"/>
          </w:tcPr>
          <w:p>
            <w:pPr>
              <w:numPr>
                <w:ilvl w:val="0"/>
                <w:numId w:val="6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Falling sales of PS4</w:t>
            </w:r>
          </w:p>
          <w:p>
            <w:pPr>
              <w:numPr>
                <w:ilvl w:val="0"/>
                <w:numId w:val="69"/>
              </w:numPr>
              <w:spacing w:before="0" w:after="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Discrepancy in marketing focus</w:t>
            </w:r>
          </w:p>
          <w:p>
            <w:pPr>
              <w:numPr>
                <w:ilvl w:val="0"/>
                <w:numId w:val="69"/>
              </w:numPr>
              <w:spacing w:before="0" w:after="0" w:line="360"/>
              <w:ind w:right="0" w:left="720" w:hanging="360"/>
              <w:jc w:val="both"/>
              <w:rPr>
                <w:color w:val="auto"/>
                <w:spacing w:val="0"/>
                <w:position w:val="0"/>
              </w:rPr>
            </w:pPr>
            <w:r>
              <w:rPr>
                <w:rFonts w:ascii="Times New Roman" w:hAnsi="Times New Roman" w:cs="Times New Roman" w:eastAsia="Times New Roman"/>
                <w:color w:val="auto"/>
                <w:spacing w:val="0"/>
                <w:position w:val="0"/>
                <w:sz w:val="24"/>
                <w:shd w:fill="auto" w:val="clear"/>
              </w:rPr>
              <w:t xml:space="preserve">Price pressure</w:t>
            </w:r>
          </w:p>
        </w:tc>
      </w:tr>
      <w:tr>
        <w:trPr>
          <w:trHeight w:val="1" w:hRule="atLeast"/>
          <w:jc w:val="left"/>
          <w:cantSplit w:val="1"/>
        </w:trPr>
        <w:tc>
          <w:tcPr>
            <w:tcW w:w="4680" w:type="dxa"/>
            <w:tcBorders>
              <w:top w:val="single" w:color="000000" w:sz="8"/>
              <w:left w:val="single" w:color="000000" w:sz="8"/>
              <w:bottom w:val="single" w:color="000000" w:sz="8"/>
              <w:right w:val="single" w:color="000000" w:sz="8"/>
            </w:tcBorders>
            <w:shd w:color="auto" w:fill="980000" w:val="clear"/>
            <w:tcMar>
              <w:left w:w="100" w:type="dxa"/>
              <w:right w:w="100" w:type="dxa"/>
            </w:tcMar>
            <w:vAlign w:val="top"/>
          </w:tcPr>
          <w:p>
            <w:pPr>
              <w:spacing w:before="0" w:after="0" w:line="360"/>
              <w:ind w:right="0" w:left="0" w:firstLine="0"/>
              <w:jc w:val="center"/>
              <w:rPr>
                <w:spacing w:val="0"/>
                <w:position w:val="0"/>
              </w:rPr>
            </w:pPr>
            <w:r>
              <w:rPr>
                <w:rFonts w:ascii="Times New Roman" w:hAnsi="Times New Roman" w:cs="Times New Roman" w:eastAsia="Times New Roman"/>
                <w:b/>
                <w:color w:val="FFFFFF"/>
                <w:spacing w:val="0"/>
                <w:position w:val="0"/>
                <w:sz w:val="24"/>
                <w:shd w:fill="auto" w:val="clear"/>
              </w:rPr>
              <w:t xml:space="preserve">Opportunity</w:t>
            </w:r>
          </w:p>
        </w:tc>
        <w:tc>
          <w:tcPr>
            <w:tcW w:w="4680" w:type="dxa"/>
            <w:tcBorders>
              <w:top w:val="single" w:color="000000" w:sz="8"/>
              <w:left w:val="single" w:color="000000" w:sz="8"/>
              <w:bottom w:val="single" w:color="000000" w:sz="8"/>
              <w:right w:val="single" w:color="000000" w:sz="8"/>
            </w:tcBorders>
            <w:shd w:color="auto" w:fill="980000" w:val="clear"/>
            <w:tcMar>
              <w:left w:w="100" w:type="dxa"/>
              <w:right w:w="100" w:type="dxa"/>
            </w:tcMar>
            <w:vAlign w:val="top"/>
          </w:tcPr>
          <w:p>
            <w:pPr>
              <w:spacing w:before="0" w:after="0" w:line="360"/>
              <w:ind w:right="0" w:left="0" w:firstLine="0"/>
              <w:jc w:val="center"/>
              <w:rPr>
                <w:spacing w:val="0"/>
                <w:position w:val="0"/>
              </w:rPr>
            </w:pPr>
            <w:r>
              <w:rPr>
                <w:rFonts w:ascii="Times New Roman" w:hAnsi="Times New Roman" w:cs="Times New Roman" w:eastAsia="Times New Roman"/>
                <w:b/>
                <w:color w:val="FFFFFF"/>
                <w:spacing w:val="0"/>
                <w:position w:val="0"/>
                <w:sz w:val="24"/>
                <w:shd w:fill="auto" w:val="clear"/>
              </w:rPr>
              <w:t xml:space="preserve">Threats</w:t>
            </w:r>
          </w:p>
        </w:tc>
      </w:tr>
      <w:tr>
        <w:trPr>
          <w:trHeight w:val="1" w:hRule="atLeast"/>
          <w:jc w:val="left"/>
          <w:cantSplit w:val="1"/>
        </w:trPr>
        <w:tc>
          <w:tcPr>
            <w:tcW w:w="4680" w:type="dxa"/>
            <w:tcBorders>
              <w:top w:val="single" w:color="000000" w:sz="8"/>
              <w:left w:val="single" w:color="000000" w:sz="8"/>
              <w:bottom w:val="single" w:color="000000" w:sz="8"/>
              <w:right w:val="single" w:color="000000" w:sz="8"/>
            </w:tcBorders>
            <w:shd w:color="auto" w:fill="fff2cc" w:val="clear"/>
            <w:tcMar>
              <w:left w:w="100" w:type="dxa"/>
              <w:right w:w="100" w:type="dxa"/>
            </w:tcMar>
            <w:vAlign w:val="top"/>
          </w:tcPr>
          <w:p>
            <w:pPr>
              <w:numPr>
                <w:ilvl w:val="0"/>
                <w:numId w:val="75"/>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Digital marketing</w:t>
            </w:r>
          </w:p>
          <w:p>
            <w:pPr>
              <w:numPr>
                <w:ilvl w:val="0"/>
                <w:numId w:val="75"/>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Latest technology</w:t>
            </w:r>
          </w:p>
          <w:p>
            <w:pPr>
              <w:numPr>
                <w:ilvl w:val="0"/>
                <w:numId w:val="75"/>
              </w:numPr>
              <w:spacing w:before="0" w:after="0" w:line="360"/>
              <w:ind w:right="0" w:left="720" w:hanging="36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Emerging economics</w:t>
            </w:r>
          </w:p>
        </w:tc>
        <w:tc>
          <w:tcPr>
            <w:tcW w:w="4680" w:type="dxa"/>
            <w:tcBorders>
              <w:top w:val="single" w:color="000000" w:sz="8"/>
              <w:left w:val="single" w:color="000000" w:sz="8"/>
              <w:bottom w:val="single" w:color="000000" w:sz="8"/>
              <w:right w:val="single" w:color="000000" w:sz="8"/>
            </w:tcBorders>
            <w:shd w:color="auto" w:fill="fff2cc" w:val="clear"/>
            <w:tcMar>
              <w:left w:w="100" w:type="dxa"/>
              <w:right w:w="100" w:type="dxa"/>
            </w:tcMar>
            <w:vAlign w:val="top"/>
          </w:tcPr>
          <w:p>
            <w:pPr>
              <w:numPr>
                <w:ilvl w:val="0"/>
                <w:numId w:val="75"/>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Heavy competition</w:t>
            </w:r>
          </w:p>
          <w:p>
            <w:pPr>
              <w:numPr>
                <w:ilvl w:val="0"/>
                <w:numId w:val="75"/>
              </w:numPr>
              <w:spacing w:before="0" w:after="0" w:line="360"/>
              <w:ind w:right="0" w:left="72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Covid-19 pandemic</w:t>
            </w:r>
          </w:p>
          <w:p>
            <w:pPr>
              <w:numPr>
                <w:ilvl w:val="0"/>
                <w:numId w:val="75"/>
              </w:numPr>
              <w:spacing w:before="0" w:after="0" w:line="360"/>
              <w:ind w:right="0" w:left="720" w:hanging="36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Economic fluctuation</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2: SWOT Analysis</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Self-developed)</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Strength</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has now achieved the proper image of its quality-focused, ethical brand, and customer-friendly. The </w:t>
      </w:r>
      <w:r>
        <w:rPr>
          <w:rFonts w:ascii="Times New Roman" w:hAnsi="Times New Roman" w:cs="Times New Roman" w:eastAsia="Times New Roman"/>
          <w:b/>
          <w:i/>
          <w:color w:val="auto"/>
          <w:spacing w:val="0"/>
          <w:position w:val="0"/>
          <w:sz w:val="24"/>
          <w:shd w:fill="auto" w:val="clear"/>
        </w:rPr>
        <w:t xml:space="preserve">brand image</w:t>
      </w:r>
      <w:r>
        <w:rPr>
          <w:rFonts w:ascii="Times New Roman" w:hAnsi="Times New Roman" w:cs="Times New Roman" w:eastAsia="Times New Roman"/>
          <w:color w:val="auto"/>
          <w:spacing w:val="0"/>
          <w:position w:val="0"/>
          <w:sz w:val="24"/>
          <w:shd w:fill="auto" w:val="clear"/>
        </w:rPr>
        <w:t xml:space="preserve"> of Sony is a major driver of revenue and sales growth worldwide. In the opinion of Le, (2020), they make their overall sales a vast and </w:t>
      </w:r>
      <w:r>
        <w:rPr>
          <w:rFonts w:ascii="Times New Roman" w:hAnsi="Times New Roman" w:cs="Times New Roman" w:eastAsia="Times New Roman"/>
          <w:b/>
          <w:i/>
          <w:color w:val="auto"/>
          <w:spacing w:val="0"/>
          <w:position w:val="0"/>
          <w:sz w:val="24"/>
          <w:shd w:fill="auto" w:val="clear"/>
        </w:rPr>
        <w:t xml:space="preserve">diverse product portfolio</w:t>
      </w:r>
      <w:r>
        <w:rPr>
          <w:rFonts w:ascii="Times New Roman" w:hAnsi="Times New Roman" w:cs="Times New Roman" w:eastAsia="Times New Roman"/>
          <w:color w:val="auto"/>
          <w:spacing w:val="0"/>
          <w:position w:val="0"/>
          <w:sz w:val="24"/>
          <w:shd w:fill="auto" w:val="clear"/>
        </w:rPr>
        <w:t xml:space="preserve">, which as well includes their services and products such as gaming, electronics and many others. This company has remained a leader in the gaming and electronic industry as the focus of it’s on the</w:t>
      </w:r>
      <w:r>
        <w:rPr>
          <w:rFonts w:ascii="Times New Roman" w:hAnsi="Times New Roman" w:cs="Times New Roman" w:eastAsia="Times New Roman"/>
          <w:b/>
          <w:i/>
          <w:color w:val="auto"/>
          <w:spacing w:val="0"/>
          <w:position w:val="0"/>
          <w:sz w:val="24"/>
          <w:shd w:fill="auto" w:val="clear"/>
        </w:rPr>
        <w:t xml:space="preserve"> perfect quality.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Weakness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is now trying to reduce the sales of PS4 and has remained the major driver of the company's revenue. For the heavy </w:t>
      </w:r>
      <w:r>
        <w:rPr>
          <w:rFonts w:ascii="Times New Roman" w:hAnsi="Times New Roman" w:cs="Times New Roman" w:eastAsia="Times New Roman"/>
          <w:b/>
          <w:i/>
          <w:color w:val="auto"/>
          <w:spacing w:val="0"/>
          <w:position w:val="0"/>
          <w:sz w:val="24"/>
          <w:shd w:fill="auto" w:val="clear"/>
        </w:rPr>
        <w:t xml:space="preserve">reduction of the PS4 sales</w:t>
      </w:r>
      <w:r>
        <w:rPr>
          <w:rFonts w:ascii="Times New Roman" w:hAnsi="Times New Roman" w:cs="Times New Roman" w:eastAsia="Times New Roman"/>
          <w:color w:val="auto"/>
          <w:spacing w:val="0"/>
          <w:position w:val="0"/>
          <w:sz w:val="24"/>
          <w:shd w:fill="auto" w:val="clear"/>
        </w:rPr>
        <w:t xml:space="preserve"> during the 2019 fiscal and also decreased the electronics sales, the experience of the company has fallen in the revenue operating. The </w:t>
      </w:r>
      <w:r>
        <w:rPr>
          <w:rFonts w:ascii="Times New Roman" w:hAnsi="Times New Roman" w:cs="Times New Roman" w:eastAsia="Times New Roman"/>
          <w:b/>
          <w:i/>
          <w:color w:val="auto"/>
          <w:spacing w:val="0"/>
          <w:position w:val="0"/>
          <w:sz w:val="24"/>
          <w:shd w:fill="auto" w:val="clear"/>
        </w:rPr>
        <w:t xml:space="preserve">discrepancy in the market focus</w:t>
      </w:r>
      <w:r>
        <w:rPr>
          <w:rFonts w:ascii="Times New Roman" w:hAnsi="Times New Roman" w:cs="Times New Roman" w:eastAsia="Times New Roman"/>
          <w:color w:val="auto"/>
          <w:spacing w:val="0"/>
          <w:position w:val="0"/>
          <w:sz w:val="24"/>
          <w:shd w:fill="auto" w:val="clear"/>
        </w:rPr>
        <w:t xml:space="preserve"> is another weakness of Sony, and they face intense competition worldwide (Ziesak and Barsch, 2019). Sony is facing such </w:t>
      </w:r>
      <w:r>
        <w:rPr>
          <w:rFonts w:ascii="Times New Roman" w:hAnsi="Times New Roman" w:cs="Times New Roman" w:eastAsia="Times New Roman"/>
          <w:b/>
          <w:i/>
          <w:color w:val="auto"/>
          <w:spacing w:val="0"/>
          <w:position w:val="0"/>
          <w:sz w:val="24"/>
          <w:shd w:fill="auto" w:val="clear"/>
        </w:rPr>
        <w:t xml:space="preserve">price pressure</w:t>
      </w:r>
      <w:r>
        <w:rPr>
          <w:rFonts w:ascii="Times New Roman" w:hAnsi="Times New Roman" w:cs="Times New Roman" w:eastAsia="Times New Roman"/>
          <w:color w:val="auto"/>
          <w:spacing w:val="0"/>
          <w:position w:val="0"/>
          <w:sz w:val="24"/>
          <w:shd w:fill="auto" w:val="clear"/>
        </w:rPr>
        <w:t xml:space="preserve">, which results in a loss of the overall market share and also a decline in the profit and sales during 2019 fiscal.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Opportunity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opportunity for Sony has lie in the </w:t>
      </w:r>
      <w:r>
        <w:rPr>
          <w:rFonts w:ascii="Times New Roman" w:hAnsi="Times New Roman" w:cs="Times New Roman" w:eastAsia="Times New Roman"/>
          <w:b/>
          <w:i/>
          <w:color w:val="auto"/>
          <w:spacing w:val="0"/>
          <w:position w:val="0"/>
          <w:sz w:val="24"/>
          <w:shd w:fill="auto" w:val="clear"/>
        </w:rPr>
        <w:t xml:space="preserve">latest technology</w:t>
      </w:r>
      <w:r>
        <w:rPr>
          <w:rFonts w:ascii="Times New Roman" w:hAnsi="Times New Roman" w:cs="Times New Roman" w:eastAsia="Times New Roman"/>
          <w:color w:val="auto"/>
          <w:spacing w:val="0"/>
          <w:position w:val="0"/>
          <w:sz w:val="24"/>
          <w:shd w:fill="auto" w:val="clear"/>
        </w:rPr>
        <w:t xml:space="preserve">. The organization entered the gaming sector with their vision-S. The vision-S is the sedan of the electric concept, which was unveiled in an electronic show. According to Kranendonk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developing the </w:t>
      </w:r>
      <w:r>
        <w:rPr>
          <w:rFonts w:ascii="Times New Roman" w:hAnsi="Times New Roman" w:cs="Times New Roman" w:eastAsia="Times New Roman"/>
          <w:b/>
          <w:i/>
          <w:color w:val="auto"/>
          <w:spacing w:val="0"/>
          <w:position w:val="0"/>
          <w:sz w:val="24"/>
          <w:shd w:fill="auto" w:val="clear"/>
        </w:rPr>
        <w:t xml:space="preserve">marketing strategy</w:t>
      </w:r>
      <w:r>
        <w:rPr>
          <w:rFonts w:ascii="Times New Roman" w:hAnsi="Times New Roman" w:cs="Times New Roman" w:eastAsia="Times New Roman"/>
          <w:color w:val="auto"/>
          <w:spacing w:val="0"/>
          <w:position w:val="0"/>
          <w:sz w:val="24"/>
          <w:shd w:fill="auto" w:val="clear"/>
        </w:rPr>
        <w:t xml:space="preserve">, the company could not expect to grow the overall sales of their major gaming products. The</w:t>
      </w:r>
      <w:r>
        <w:rPr>
          <w:rFonts w:ascii="Times New Roman" w:hAnsi="Times New Roman" w:cs="Times New Roman" w:eastAsia="Times New Roman"/>
          <w:b/>
          <w:i/>
          <w:color w:val="auto"/>
          <w:spacing w:val="0"/>
          <w:position w:val="0"/>
          <w:sz w:val="24"/>
          <w:shd w:fill="auto" w:val="clear"/>
        </w:rPr>
        <w:t xml:space="preserve"> emerging economics</w:t>
      </w:r>
      <w:r>
        <w:rPr>
          <w:rFonts w:ascii="Times New Roman" w:hAnsi="Times New Roman" w:cs="Times New Roman" w:eastAsia="Times New Roman"/>
          <w:color w:val="auto"/>
          <w:spacing w:val="0"/>
          <w:position w:val="0"/>
          <w:sz w:val="24"/>
          <w:shd w:fill="auto" w:val="clear"/>
        </w:rPr>
        <w:t xml:space="preserve"> has presented a very important opportunity before their gaming brand Sony.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Threats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Heavy competition </w:t>
      </w:r>
      <w:r>
        <w:rPr>
          <w:rFonts w:ascii="Times New Roman" w:hAnsi="Times New Roman" w:cs="Times New Roman" w:eastAsia="Times New Roman"/>
          <w:color w:val="auto"/>
          <w:spacing w:val="0"/>
          <w:position w:val="0"/>
          <w:sz w:val="24"/>
          <w:shd w:fill="auto" w:val="clear"/>
        </w:rPr>
        <w:t xml:space="preserve">is the main threat in any company and Sony, this is also a threat. Sony has faced many companies in their business, and this company has to compete with those companies such as Samsung, LG, etc. As cited by Bates, (2020), the </w:t>
      </w:r>
      <w:r>
        <w:rPr>
          <w:rFonts w:ascii="Times New Roman" w:hAnsi="Times New Roman" w:cs="Times New Roman" w:eastAsia="Times New Roman"/>
          <w:b/>
          <w:i/>
          <w:color w:val="auto"/>
          <w:spacing w:val="0"/>
          <w:position w:val="0"/>
          <w:sz w:val="24"/>
          <w:shd w:fill="auto" w:val="clear"/>
        </w:rPr>
        <w:t xml:space="preserve">covid-19 pandemic</w:t>
      </w:r>
      <w:r>
        <w:rPr>
          <w:rFonts w:ascii="Times New Roman" w:hAnsi="Times New Roman" w:cs="Times New Roman" w:eastAsia="Times New Roman"/>
          <w:color w:val="auto"/>
          <w:spacing w:val="0"/>
          <w:position w:val="0"/>
          <w:sz w:val="24"/>
          <w:shd w:fill="auto" w:val="clear"/>
        </w:rPr>
        <w:t xml:space="preserve"> has hit most of the large business industries and also in this gaming console company, this has hit very hard. Sony is a very premium brand, and the particular </w:t>
      </w:r>
      <w:r>
        <w:rPr>
          <w:rFonts w:ascii="Times New Roman" w:hAnsi="Times New Roman" w:cs="Times New Roman" w:eastAsia="Times New Roman"/>
          <w:b/>
          <w:i/>
          <w:color w:val="auto"/>
          <w:spacing w:val="0"/>
          <w:position w:val="0"/>
          <w:sz w:val="24"/>
          <w:shd w:fill="auto" w:val="clear"/>
        </w:rPr>
        <w:t xml:space="preserve">fluctuation</w:t>
      </w:r>
      <w:r>
        <w:rPr>
          <w:rFonts w:ascii="Times New Roman" w:hAnsi="Times New Roman" w:cs="Times New Roman" w:eastAsia="Times New Roman"/>
          <w:color w:val="auto"/>
          <w:spacing w:val="0"/>
          <w:position w:val="0"/>
          <w:sz w:val="24"/>
          <w:shd w:fill="auto" w:val="clear"/>
        </w:rPr>
        <w:t xml:space="preserve"> in the overall economy worldwide has an impact directly on their business. </w:t>
      </w:r>
    </w:p>
    <w:p>
      <w:pPr>
        <w:keepNext w:val="true"/>
        <w:keepLines w:val="true"/>
        <w:spacing w:before="80" w:after="0" w:line="360"/>
        <w:ind w:right="0" w:left="0" w:firstLine="0"/>
        <w:jc w:val="both"/>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VRIO Framework</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Ind w:w="100" w:type="dxa"/>
      </w:tblPr>
      <w:tblGrid>
        <w:gridCol w:w="1755"/>
        <w:gridCol w:w="1365"/>
        <w:gridCol w:w="1560"/>
        <w:gridCol w:w="1560"/>
        <w:gridCol w:w="1560"/>
        <w:gridCol w:w="1560"/>
      </w:tblGrid>
      <w:tr>
        <w:trPr>
          <w:trHeight w:val="1" w:hRule="atLeast"/>
          <w:jc w:val="left"/>
          <w:cantSplit w:val="1"/>
        </w:trPr>
        <w:tc>
          <w:tcPr>
            <w:tcW w:w="1755" w:type="dxa"/>
            <w:tcBorders>
              <w:top w:val="single" w:color="000000" w:sz="8"/>
              <w:left w:val="single" w:color="000000" w:sz="8"/>
              <w:bottom w:val="single" w:color="000000" w:sz="8"/>
              <w:right w:val="single" w:color="000000" w:sz="8"/>
            </w:tcBorders>
            <w:shd w:color="auto" w:fill="ea9999"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Competencies</w:t>
            </w:r>
          </w:p>
        </w:tc>
        <w:tc>
          <w:tcPr>
            <w:tcW w:w="1365" w:type="dxa"/>
            <w:tcBorders>
              <w:top w:val="single" w:color="000000" w:sz="8"/>
              <w:left w:val="single" w:color="000000" w:sz="8"/>
              <w:bottom w:val="single" w:color="000000" w:sz="8"/>
              <w:right w:val="single" w:color="000000" w:sz="8"/>
            </w:tcBorders>
            <w:shd w:color="auto" w:fill="ea9999"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Valuable</w:t>
            </w:r>
          </w:p>
        </w:tc>
        <w:tc>
          <w:tcPr>
            <w:tcW w:w="1560" w:type="dxa"/>
            <w:tcBorders>
              <w:top w:val="single" w:color="000000" w:sz="8"/>
              <w:left w:val="single" w:color="000000" w:sz="8"/>
              <w:bottom w:val="single" w:color="000000" w:sz="8"/>
              <w:right w:val="single" w:color="000000" w:sz="8"/>
            </w:tcBorders>
            <w:shd w:color="auto" w:fill="ea9999"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Rare</w:t>
            </w:r>
          </w:p>
        </w:tc>
        <w:tc>
          <w:tcPr>
            <w:tcW w:w="1560" w:type="dxa"/>
            <w:tcBorders>
              <w:top w:val="single" w:color="000000" w:sz="8"/>
              <w:left w:val="single" w:color="000000" w:sz="8"/>
              <w:bottom w:val="single" w:color="000000" w:sz="8"/>
              <w:right w:val="single" w:color="000000" w:sz="8"/>
            </w:tcBorders>
            <w:shd w:color="auto" w:fill="ea9999"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Inimitable</w:t>
            </w:r>
          </w:p>
        </w:tc>
        <w:tc>
          <w:tcPr>
            <w:tcW w:w="1560" w:type="dxa"/>
            <w:tcBorders>
              <w:top w:val="single" w:color="000000" w:sz="8"/>
              <w:left w:val="single" w:color="000000" w:sz="8"/>
              <w:bottom w:val="single" w:color="000000" w:sz="8"/>
              <w:right w:val="single" w:color="000000" w:sz="8"/>
            </w:tcBorders>
            <w:shd w:color="auto" w:fill="ea9999"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Organized</w:t>
            </w:r>
          </w:p>
        </w:tc>
        <w:tc>
          <w:tcPr>
            <w:tcW w:w="1560" w:type="dxa"/>
            <w:tcBorders>
              <w:top w:val="single" w:color="000000" w:sz="8"/>
              <w:left w:val="single" w:color="000000" w:sz="8"/>
              <w:bottom w:val="single" w:color="000000" w:sz="8"/>
              <w:right w:val="single" w:color="000000" w:sz="8"/>
            </w:tcBorders>
            <w:shd w:color="auto" w:fill="ea9999"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b/>
                <w:color w:val="auto"/>
                <w:spacing w:val="0"/>
                <w:position w:val="0"/>
                <w:sz w:val="24"/>
                <w:shd w:fill="auto" w:val="clear"/>
              </w:rPr>
              <w:t xml:space="preserve">Advantage</w:t>
            </w:r>
          </w:p>
        </w:tc>
      </w:tr>
      <w:tr>
        <w:trPr>
          <w:trHeight w:val="1" w:hRule="atLeast"/>
          <w:jc w:val="left"/>
          <w:cantSplit w:val="1"/>
        </w:trPr>
        <w:tc>
          <w:tcPr>
            <w:tcW w:w="1755"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Brand image</w:t>
            </w:r>
          </w:p>
        </w:tc>
        <w:tc>
          <w:tcPr>
            <w:tcW w:w="1365"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Competitive advantage</w:t>
            </w:r>
          </w:p>
        </w:tc>
      </w:tr>
      <w:tr>
        <w:trPr>
          <w:trHeight w:val="1" w:hRule="atLeast"/>
          <w:jc w:val="left"/>
          <w:cantSplit w:val="1"/>
        </w:trPr>
        <w:tc>
          <w:tcPr>
            <w:tcW w:w="1755"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Innovation</w:t>
            </w:r>
          </w:p>
        </w:tc>
        <w:tc>
          <w:tcPr>
            <w:tcW w:w="1365"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Competitive advantage</w:t>
            </w:r>
          </w:p>
        </w:tc>
      </w:tr>
      <w:tr>
        <w:trPr>
          <w:trHeight w:val="1" w:hRule="atLeast"/>
          <w:jc w:val="left"/>
          <w:cantSplit w:val="1"/>
        </w:trPr>
        <w:tc>
          <w:tcPr>
            <w:tcW w:w="1755"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Product range</w:t>
            </w:r>
          </w:p>
        </w:tc>
        <w:tc>
          <w:tcPr>
            <w:tcW w:w="1365"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No</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Temporary advantage</w:t>
            </w:r>
          </w:p>
        </w:tc>
      </w:tr>
      <w:tr>
        <w:trPr>
          <w:trHeight w:val="1" w:hRule="atLeast"/>
          <w:jc w:val="left"/>
          <w:cantSplit w:val="1"/>
        </w:trPr>
        <w:tc>
          <w:tcPr>
            <w:tcW w:w="1755"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Customer experience</w:t>
            </w:r>
          </w:p>
        </w:tc>
        <w:tc>
          <w:tcPr>
            <w:tcW w:w="1365"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Competitive advantage</w:t>
            </w:r>
          </w:p>
        </w:tc>
      </w:tr>
      <w:tr>
        <w:trPr>
          <w:trHeight w:val="1" w:hRule="atLeast"/>
          <w:jc w:val="left"/>
          <w:cantSplit w:val="1"/>
        </w:trPr>
        <w:tc>
          <w:tcPr>
            <w:tcW w:w="1755"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Market position</w:t>
            </w:r>
          </w:p>
        </w:tc>
        <w:tc>
          <w:tcPr>
            <w:tcW w:w="1365"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No</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No</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center"/>
              <w:rPr>
                <w:color w:val="auto"/>
                <w:spacing w:val="0"/>
                <w:position w:val="0"/>
              </w:rPr>
            </w:pPr>
            <w:r>
              <w:rPr>
                <w:rFonts w:ascii="Times New Roman" w:hAnsi="Times New Roman" w:cs="Times New Roman" w:eastAsia="Times New Roman"/>
                <w:color w:val="auto"/>
                <w:spacing w:val="0"/>
                <w:position w:val="0"/>
                <w:sz w:val="24"/>
                <w:shd w:fill="auto" w:val="clear"/>
              </w:rPr>
              <w:t xml:space="preserve">Yes</w:t>
            </w:r>
          </w:p>
        </w:tc>
        <w:tc>
          <w:tcPr>
            <w:tcW w:w="1560" w:type="dxa"/>
            <w:tcBorders>
              <w:top w:val="single" w:color="000000" w:sz="8"/>
              <w:left w:val="single" w:color="000000" w:sz="8"/>
              <w:bottom w:val="single" w:color="000000" w:sz="8"/>
              <w:right w:val="single" w:color="000000" w:sz="8"/>
            </w:tcBorders>
            <w:shd w:color="auto" w:fill="c9daf8" w:val="clear"/>
            <w:tcMar>
              <w:left w:w="100" w:type="dxa"/>
              <w:right w:w="100" w:type="dxa"/>
            </w:tcMar>
            <w:vAlign w:val="top"/>
          </w:tcPr>
          <w:p>
            <w:pPr>
              <w:spacing w:before="0" w:after="0" w:line="36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Temporary advantage</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3: VRIO framework</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Self-developed)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brand image of Sony is a major capability driving its success and popularity in the global market. Besides that, driving the high popularity and recall as easy, and the superior sales have played some vital roles in the global marketing of Sony. In the opinion of Smith, (2021), the image of Sony is that of the ethical brand and innovation that is the cause as many customers have loved this brand worldwide.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most of the industry, Sony is the market-leading brand that includes entertainment, customer electronics, sensing and imaging solutions, and the gaming console. However, they have such major factors, which have aided their success and growth in all of the areas in their focus on innovation. As per the view of Klingebiel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(2022), Sony has released various technologies and products that are particularly the first in their domestic market. The innovation of the technology is the major source of most of the competitive advantage for that particular brand and that certainly has helped to differentiate their products and brand from the overall rivals.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the 21st century, the main focus of their customer experience has particularly grown and that also in the nearest sectors, that is the proper success of Sony and that as well depend very heavily on their customer experiences. As the gaming and consumer electronics, Sony has also focused on their customer for growing in such of the market influence to achieve sustain of the company. As cited by Ozalp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this customer experience has assisted many companies to differentiate their proper image in their gaming market.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They have a heavily diversified product range that is also the major source of most of the brand's competitive advantage. Sony is not particularly dependent on any of the single categories of the product for their profit and revenue. In the opinion of Rietveld and Schilling, (2021), they have generated the overall revenue from different kinds of products. Whereas this is a specific leader in their particular gaming console and it also has the proper leader in such other categories.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Contemporary strategic management issues</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in the whole world stood as the leader and pioneer in the electronics industry yet the company has many decisions that still ail the company in making appropriate strategic management. Upon post joining of Mr. W.E. Deming as the executive, the company has moved its focus to industrialization (Antony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2021). These made the company move its primary objective from innovation to production. The main area where the company lacked was producing mass quantity-oriented products and depended heavily on the foreign market and foreign capital. This obsession made the board of directors of Sony avoid the research and development unit and suppress their true agenda i.e. </w:t>
      </w:r>
      <w:r>
        <w:rPr>
          <w:rFonts w:ascii="Times New Roman" w:hAnsi="Times New Roman" w:cs="Times New Roman" w:eastAsia="Times New Roman"/>
          <w:b/>
          <w:i/>
          <w:color w:val="auto"/>
          <w:spacing w:val="0"/>
          <w:position w:val="0"/>
          <w:sz w:val="24"/>
          <w:shd w:fill="auto" w:val="clear"/>
        </w:rPr>
        <w:t xml:space="preserve">“pioneering new market/technology”.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8240" w:dyaOrig="5102">
          <v:rect xmlns:o="urn:schemas-microsoft-com:office:office" xmlns:v="urn:schemas-microsoft-com:vml" id="rectole0000000003" style="width:412.000000pt;height:255.1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3: Sales and operating revenue in fiscal 2019-20</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Statista, 2020)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ignored its growing competition in the market and its lack of strategic ambitions in management created a disparity between its true identity and working methodologies. Companies like Dell, Lenovo, HP, Microsoft, and many more were making great achievements in their product portfolios (Xiao, 2022). Their products were more innovative and attractive in comparison to Sony’s lineup. Sony was focusing on quantity-based production as their objective and was focusing on being price aggressive yet other rival brands were making more profit. This was the 1st downfall for the company to ignore its value as an innovator. Managing customer expectations is a part where the company fails many times (Aydalga and Y</w:t>
      </w:r>
      <w:r>
        <w:rPr>
          <w:rFonts w:ascii="Times New Roman" w:hAnsi="Times New Roman" w:cs="Times New Roman" w:eastAsia="Times New Roman"/>
          <w:color w:val="auto"/>
          <w:spacing w:val="0"/>
          <w:position w:val="0"/>
          <w:sz w:val="24"/>
          <w:shd w:fill="auto" w:val="clear"/>
        </w:rPr>
        <w:t xml:space="preserve">ıldırım, 2021). The company promised to keep its portable gaming device PS VITA in the market. The company lacked heavily in the push update part. The devices started to lag and have many frames drops over time. It results in a bad customer experience and the competitor Nintendo launched a new </w:t>
      </w:r>
      <w:r>
        <w:rPr>
          <w:rFonts w:ascii="Times New Roman" w:hAnsi="Times New Roman" w:cs="Times New Roman" w:eastAsia="Times New Roman"/>
          <w:b/>
          <w:i/>
          <w:color w:val="auto"/>
          <w:spacing w:val="0"/>
          <w:position w:val="0"/>
          <w:sz w:val="24"/>
          <w:shd w:fill="auto" w:val="clear"/>
        </w:rPr>
        <w:t xml:space="preserve">Switch</w:t>
      </w:r>
      <w:r>
        <w:rPr>
          <w:rFonts w:ascii="Times New Roman" w:hAnsi="Times New Roman" w:cs="Times New Roman" w:eastAsia="Times New Roman"/>
          <w:color w:val="auto"/>
          <w:spacing w:val="0"/>
          <w:position w:val="0"/>
          <w:sz w:val="24"/>
          <w:shd w:fill="auto" w:val="clear"/>
        </w:rPr>
        <w:t xml:space="preserve"> lineup. Nintendo undo Sony’s mistakes and made their products durable and provide timely updates. This made the reach of Nintendo skyrocketing. These issues were the result of the poor strategic management of the company.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has lacked focus over the period of time. The changes in the strategic management part shifted from product to product and never aligned to one specific product. This created a lack of product quality and standardization in the product lineup (Scuissiatto, 2021). Sony has invested heavily while purchasing Errision, yet no new technology was added to the product led to a great decline. Sony focused on the manufacturing and volume aspect more than on creating different products that can rival brands such as Nokia and Motorola. The lack of technology-intensive products made a huge downfall in the company’s strategic management. Sony further made other smartphones under its “Z” and “X” series, which were a big miss in the smartphone market (Shet and Pereira, 2021). They were launched with good tech and better hardware yet the lack of timely software made the lineup vanish from this rising market. Companies such as Apple, Asus, Lenovo, and many others are making smartphones that encourage mobile gaming to a greater extent. Sony has missed this opportunity and has withdrawn from this market even after being dominant in the gaming industry. Sony only launches gaming headphones that are compatible with PCs, Laptops, and gaming consoles. The change or shift of the gaming industry on smartphones has created a bigger scope for the market contenders to make accessories. Sony has even missed this opportunity and has delayed its entrance into this market for a very long time. </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Competitive and development strategy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uses Porter’s Model to stay advantageous in this competitive market of the gaming industry (Alhashash </w:t>
      </w:r>
      <w:r>
        <w:rPr>
          <w:rFonts w:ascii="Times New Roman" w:hAnsi="Times New Roman" w:cs="Times New Roman" w:eastAsia="Times New Roman"/>
          <w:i/>
          <w:color w:val="auto"/>
          <w:spacing w:val="0"/>
          <w:position w:val="0"/>
          <w:sz w:val="24"/>
          <w:shd w:fill="auto" w:val="clear"/>
        </w:rPr>
        <w:t xml:space="preserve">et al., </w:t>
      </w:r>
      <w:r>
        <w:rPr>
          <w:rFonts w:ascii="Times New Roman" w:hAnsi="Times New Roman" w:cs="Times New Roman" w:eastAsia="Times New Roman"/>
          <w:color w:val="auto"/>
          <w:spacing w:val="0"/>
          <w:position w:val="0"/>
          <w:sz w:val="24"/>
          <w:shd w:fill="auto" w:val="clear"/>
        </w:rPr>
        <w:t xml:space="preserve">2019). This has helped the company significantly in raising high profitability in not only the gaming industry but also in the entertainment, electronics, and financial service markets. Sony makes timely adjustments in its strategies for intensive and continual growth in the business with respect to the changes in the market. Sony’s competitive strategy focuses significantly on product uniqueness (Mandal, 2020). The intensive strategy of the company helps in making the business grow and make development consequently in different wings of its business at the same time.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6215" w:dyaOrig="5142">
          <v:rect xmlns:o="urn:schemas-microsoft-com:office:office" xmlns:v="urn:schemas-microsoft-com:vml" id="rectole0000000004" style="width:310.750000pt;height:257.10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Figure 4: Sony’s share in the gaming market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Mandal, 2020)</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Sony’s Generic Strategy based on Porter’s Model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sustain a better competitive advantage Sony uses differentiation as a primary part of its generic strategy. Differentiation helps in establishing a uniqueness in a product in comparison to other products available in the market. While the implication of this strategy in its working culture the company Sony has integrated many features that assist in making the products profitable and attractive. Uniqueness and novelty in the product have made a success of PlayStation in the market (Sony and Naik, 2020). The generic strategy of Sony facilitates innovation as a continual part of the novelty feature among products and assists the company in maintaining a competitive advantage in the market. This strategy also assisted the company to minimize its cost of production in every segment of the workplace and business. These objectives assist business results in attaining competitive advantage, an increase in efficiency, and profitability for Sony.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tbl>
      <w:tblPr>
        <w:tblInd w:w="100" w:type="dxa"/>
      </w:tblPr>
      <w:tblGrid>
        <w:gridCol w:w="4514"/>
        <w:gridCol w:w="4515"/>
      </w:tblGrid>
      <w:tr>
        <w:trPr>
          <w:trHeight w:val="1" w:hRule="atLeast"/>
          <w:jc w:val="left"/>
          <w:cantSplit w:val="1"/>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PlayStation</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$1152.4 million</w:t>
            </w:r>
          </w:p>
        </w:tc>
      </w:tr>
      <w:tr>
        <w:trPr>
          <w:trHeight w:val="1" w:hRule="atLeast"/>
          <w:jc w:val="left"/>
          <w:cantSplit w:val="1"/>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Music</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$324.3 </w:t>
            </w:r>
          </w:p>
        </w:tc>
      </w:tr>
      <w:tr>
        <w:trPr>
          <w:trHeight w:val="1" w:hRule="atLeast"/>
          <w:jc w:val="left"/>
          <w:cantSplit w:val="1"/>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Pictures</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$229.6 </w:t>
            </w:r>
          </w:p>
        </w:tc>
      </w:tr>
      <w:tr>
        <w:trPr>
          <w:trHeight w:val="1" w:hRule="atLeast"/>
          <w:jc w:val="left"/>
          <w:cantSplit w:val="1"/>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Imaging and sensing solution</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$236.1 </w:t>
            </w:r>
          </w:p>
        </w:tc>
      </w:tr>
      <w:tr>
        <w:trPr>
          <w:trHeight w:val="1" w:hRule="atLeast"/>
          <w:jc w:val="left"/>
          <w:cantSplit w:val="1"/>
        </w:trPr>
        <w:tc>
          <w:tcPr>
            <w:tcW w:w="4514"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Financial Service</w:t>
            </w:r>
          </w:p>
        </w:tc>
        <w:tc>
          <w:tcPr>
            <w:tcW w:w="4515" w:type="dxa"/>
            <w:tcBorders>
              <w:top w:val="single" w:color="000000" w:sz="8"/>
              <w:left w:val="single" w:color="000000" w:sz="8"/>
              <w:bottom w:val="single" w:color="000000" w:sz="8"/>
              <w:right w:val="single" w:color="000000" w:sz="8"/>
            </w:tcBorders>
            <w:shd w:color="auto" w:fill="auto" w:val="clear"/>
            <w:tcMar>
              <w:left w:w="100" w:type="dxa"/>
              <w:right w:w="100" w:type="dxa"/>
            </w:tcMar>
            <w:vAlign w:val="top"/>
          </w:tcPr>
          <w:p>
            <w:pPr>
              <w:spacing w:before="0" w:after="0" w:line="240"/>
              <w:ind w:right="0" w:left="0" w:firstLine="0"/>
              <w:jc w:val="left"/>
              <w:rPr>
                <w:color w:val="auto"/>
                <w:spacing w:val="0"/>
                <w:position w:val="0"/>
              </w:rPr>
            </w:pPr>
            <w:r>
              <w:rPr>
                <w:rFonts w:ascii="Times New Roman" w:hAnsi="Times New Roman" w:cs="Times New Roman" w:eastAsia="Times New Roman"/>
                <w:color w:val="auto"/>
                <w:spacing w:val="0"/>
                <w:position w:val="0"/>
                <w:sz w:val="24"/>
                <w:shd w:fill="auto" w:val="clear"/>
              </w:rPr>
              <w:t xml:space="preserve">$438.7 </w:t>
            </w:r>
          </w:p>
        </w:tc>
      </w:tr>
    </w:tbl>
    <w:p>
      <w:pPr>
        <w:spacing w:before="0" w:after="0" w:line="360"/>
        <w:ind w:right="0" w:left="0" w:firstLine="0"/>
        <w:jc w:val="center"/>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Table 4: Profit breakdown of Sony’s product segment </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(Source: Jesus and Lima, 2020)</w:t>
      </w:r>
    </w:p>
    <w:p>
      <w:pPr>
        <w:spacing w:before="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Sony’s Intensive Growth Strategies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Market penetration</w:t>
      </w:r>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is treated to be the primary part of Sony’s intensive growth strategy. This strategy aims in establishing growth, increasing sales, and maintain profitability in the company in the markets it operates. </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Product Development: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treated as the secondary part of the intensive growth strategy. Product development is used by Sony to grow its business (Jesus and Lima, 2020). The primary goal of product development is concerned with the development and creation of products that are better when compared to the competition. It assists the company in making innovative products in its gaming lineup.</w:t>
      </w:r>
    </w:p>
    <w:p>
      <w:pPr>
        <w:spacing w:before="0" w:after="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Market Development: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uses this in order to grow in a new market. They use market development to create market segmentation. Whenever Sony launches a new product in a market where its presence is minimal, it uses this strategy to increase its reach (Bhattarai, 2018). Sony uses market development along with differentiation to make its products attractive to existing and new customers.</w:t>
      </w: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report is based on the strategic management aspect of </w:t>
      </w:r>
      <w:r>
        <w:rPr>
          <w:rFonts w:ascii="Times New Roman" w:hAnsi="Times New Roman" w:cs="Times New Roman" w:eastAsia="Times New Roman"/>
          <w:b/>
          <w:i/>
          <w:color w:val="auto"/>
          <w:spacing w:val="0"/>
          <w:position w:val="0"/>
          <w:sz w:val="24"/>
          <w:shd w:fill="auto" w:val="clear"/>
        </w:rPr>
        <w:t xml:space="preserve">“Sony’s battle for video game supremacy”</w:t>
      </w:r>
      <w:r>
        <w:rPr>
          <w:rFonts w:ascii="Times New Roman" w:hAnsi="Times New Roman" w:cs="Times New Roman" w:eastAsia="Times New Roman"/>
          <w:color w:val="auto"/>
          <w:spacing w:val="0"/>
          <w:position w:val="0"/>
          <w:sz w:val="24"/>
          <w:shd w:fill="auto" w:val="clear"/>
        </w:rPr>
        <w:t xml:space="preserve">. This report provides company background detail in the introduction section of the report. This report concludes with the definition of strategy and provides emphasis on Sony’s mission and strategic objectives. It also helps in understanding the PESTLE and Porter’s five force analysis of Sony in the external analysis part of the report. The internal analysis helps in understanding Sony’s business and financial analysis, value chain, SWOT analysis, and VRIO framework. It helps in understanding issues related to Sony’s contemporary strategic management and implementing strategy part of Sony’s product marketing. This report assists in getting a better onlook over all the aspects related to strategic management involved in Sony’s gaming depart to be the market leader.  </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Agzamov, A.T., Rakhmatullaeva, F.M. and Giyazova, N.B., 2021, June. Marketing strategy for the competitiveness of modern enterprises. In E-Conference Globe (pp. 1-3).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Akman, E. and Akin, S., 2021. Poly (N, N</w:t>
      </w:r>
      <w:r>
        <w:rPr>
          <w:rFonts w:ascii="Calibri" w:hAnsi="Calibri" w:cs="Calibri" w:eastAsia="Calibri"/>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bis</w:t>
      </w:r>
      <w:r>
        <w:rPr>
          <w:rFonts w:ascii="Calibri" w:hAnsi="Calibri" w:cs="Calibri" w:eastAsia="Calibri"/>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4</w:t>
      </w:r>
      <w:r>
        <w:rPr>
          <w:rFonts w:ascii="Calibri" w:hAnsi="Calibri" w:cs="Calibri" w:eastAsia="Calibri"/>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butylphenyl</w:t>
      </w:r>
      <w:r>
        <w:rPr>
          <w:rFonts w:ascii="Calibri" w:hAnsi="Calibri" w:cs="Calibri" w:eastAsia="Calibri"/>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N, N</w:t>
      </w:r>
      <w:r>
        <w:rPr>
          <w:rFonts w:ascii="Calibri" w:hAnsi="Calibri" w:cs="Calibri" w:eastAsia="Calibri"/>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bisphenyl) benzidine</w:t>
      </w:r>
      <w:r>
        <w:rPr>
          <w:rFonts w:ascii="Calibri" w:hAnsi="Calibri" w:cs="Calibri" w:eastAsia="Calibri"/>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based interfacial passivation strategy promoting efficiency and operational stability of perovskite solar cells in regular architecture. Advanced Materials, 33(2), p.2006087.</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Alhashash, F., Alshammari, T. and Al-Mnaies, A., 2019. Sony Corporation. Journal of the Community Development in Asia (JCDA), 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Antony, J., Sony, M., McDermott, O., Jayaraman, R. and Flynn, D., 2021. An exploration of organizational readiness factors for Quality 4.0: an intercontinental study and future research directions. International Journal of Quality &amp; Reliability Management.</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Aydalga, C. and Y</w:t>
      </w:r>
      <w:r>
        <w:rPr>
          <w:rFonts w:ascii="Times New Roman" w:hAnsi="Times New Roman" w:cs="Times New Roman" w:eastAsia="Times New Roman"/>
          <w:color w:val="auto"/>
          <w:spacing w:val="0"/>
          <w:position w:val="0"/>
          <w:sz w:val="24"/>
          <w:shd w:fill="auto" w:val="clear"/>
        </w:rPr>
        <w:t xml:space="preserve">ıldırım, N., 2021. DATA MINING FOR CROWDFUNDING: EXPLORING THE BACKERS OF NEW GAMES: IN-PLAYER COMMUNITIES.</w:t>
      </w:r>
      <w:r>
        <w:rPr>
          <w:rFonts w:ascii="Times New Roman" w:hAnsi="Times New Roman" w:cs="Times New Roman" w:eastAsia="Times New Roman"/>
          <w:color w:val="auto"/>
          <w:spacing w:val="0"/>
          <w:position w:val="0"/>
          <w:sz w:val="24"/>
          <w:shd w:fill="auto" w:val="clear"/>
        </w:rPr>
        <w:t xml:space="preserve"> PROCEEDINGS BOOK, p.91.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Bhattarai, D.R., 2018. Competitive Advantage of Firm Strategy. NCC Journal, 3(1), pp.30-43.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He, F., Thakur, V.K. and Khan, M., 2021. Evolution and new horizons in modeling crack mechanics of 3D printing polymeric structures. Materials Today Chemistry, 20, p.100393.</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Jesus, C.D. and Lima, R.M., 2020. Literature search of key factors for the development of generic and specific maturity models for Industry 4.0. Applied Sciences, 10(17), p.5825.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Mandal, P.C., 2020. Generating Ideas for New Product Development: Strategies and Initiatives. International Journal of R&amp;D Innovation Strategy (IJRDIS), 2(1), pp.1-21.</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Marziano, V., Guzzetta, G., Rondinone, B.M., Boccuni, F., Riccardo, F., Bella, A., Poletti, P., Trentini, F., Pezzotti, P., Brusaferro, S. and Rezza, G., 2021. Retrospective analysis of the Italian exit strategy from COVID-19 lockdown. Proceedings of the National Academy of Sciences, 118(4).</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Mustapha, A.A., Mohamad, M.F. and Noorhani, N.M.A., 2021. A Framework of an Interior Design Work Delivery Process. International Journal of Sustainable Construction Engineering and Technology, 12(3), pp.322-332.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Pashkov, S., 2021. Video game industry market analysis: Approaches that resulted in industry success and high demand.</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Scuissiatto, E.F., 2021. The formation of born global companies: a case study of the Finnish mobile gaming firms.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Shet, S.V. and Pereira, V., 2021. Proposed managerial competencies for Industry 4.0</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Implications for social sustainability.</w:t>
      </w:r>
      <w:r>
        <w:rPr>
          <w:rFonts w:ascii="Times New Roman" w:hAnsi="Times New Roman" w:cs="Times New Roman" w:eastAsia="Times New Roman"/>
          <w:color w:val="auto"/>
          <w:spacing w:val="0"/>
          <w:position w:val="0"/>
          <w:sz w:val="24"/>
          <w:shd w:fill="auto" w:val="clear"/>
        </w:rPr>
        <w:t xml:space="preserve"> Technological Forecasting and Social Change, 173, p.121080.</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M. and Naik, S., 2020. Critical factors for the successful implementation of Industry 4.0: a review and future research direction. Production Planning &amp; Control, 31(10), pp.799-815.</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Weerabahu, W.M.S.K., Samaranayake, P., Nakandala, D. and Hurriyet, H., 2021, December. Enabling Factors of Digital Manufacturing Supply Chains: A Systematic Literature Review. In 2021 IEEE International Conference on Industrial Engineering and Engineering Management (IEEM) (pp. 118-123). IEEE.</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Xiao, Y., 2022, March. Research on the Commercial Application of Video Games Based on Data Analysis. In 2022 7th International Conference on Financial Innovation and Economic Development (ICFIED 2022) (pp. 199-204). Atlantis Press.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Bates, N., 2020. Comparing Cyber Weapons to Traditional Weapons Through the Lens of Business Strategy Frameworks. </w:t>
      </w:r>
      <w:r>
        <w:rPr>
          <w:rFonts w:ascii="Times New Roman" w:hAnsi="Times New Roman" w:cs="Times New Roman" w:eastAsia="Times New Roman"/>
          <w:i/>
          <w:color w:val="222222"/>
          <w:spacing w:val="0"/>
          <w:position w:val="0"/>
          <w:sz w:val="24"/>
          <w:shd w:fill="FFFFFF" w:val="clear"/>
        </w:rPr>
        <w:t xml:space="preserve">Egham, United Kingdom: Royal Holloway, University of London</w:t>
      </w:r>
      <w:r>
        <w:rPr>
          <w:rFonts w:ascii="Times New Roman" w:hAnsi="Times New Roman" w:cs="Times New Roman" w:eastAsia="Times New Roman"/>
          <w:color w:val="222222"/>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Bates, N., 2020. Comparing Cyber Weapons to Traditional Weapons Through the Lens of Business Strategy Frameworks. </w:t>
      </w:r>
      <w:r>
        <w:rPr>
          <w:rFonts w:ascii="Times New Roman" w:hAnsi="Times New Roman" w:cs="Times New Roman" w:eastAsia="Times New Roman"/>
          <w:i/>
          <w:color w:val="222222"/>
          <w:spacing w:val="0"/>
          <w:position w:val="0"/>
          <w:sz w:val="24"/>
          <w:shd w:fill="FFFFFF" w:val="clear"/>
        </w:rPr>
        <w:t xml:space="preserve">Egham, United Kingdom: Royal Holloway, University of London</w:t>
      </w:r>
      <w:r>
        <w:rPr>
          <w:rFonts w:ascii="Times New Roman" w:hAnsi="Times New Roman" w:cs="Times New Roman" w:eastAsia="Times New Roman"/>
          <w:color w:val="222222"/>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Beek, R.M., Verschueren, J.F. and Derom, I., 2021. Soccer Esports in Europe: Brands, Partnerships, and Business Opportunities in Professional Football. In </w:t>
      </w:r>
      <w:r>
        <w:rPr>
          <w:rFonts w:ascii="Times New Roman" w:hAnsi="Times New Roman" w:cs="Times New Roman" w:eastAsia="Times New Roman"/>
          <w:i/>
          <w:color w:val="222222"/>
          <w:spacing w:val="0"/>
          <w:position w:val="0"/>
          <w:sz w:val="24"/>
          <w:shd w:fill="FFFFFF" w:val="clear"/>
        </w:rPr>
        <w:t xml:space="preserve">Handbook of Research on Pathways and Opportunities Into the Business of Esports</w:t>
      </w:r>
      <w:r>
        <w:rPr>
          <w:rFonts w:ascii="Times New Roman" w:hAnsi="Times New Roman" w:cs="Times New Roman" w:eastAsia="Times New Roman"/>
          <w:color w:val="222222"/>
          <w:spacing w:val="0"/>
          <w:position w:val="0"/>
          <w:sz w:val="24"/>
          <w:shd w:fill="FFFFFF" w:val="clear"/>
        </w:rPr>
        <w:t xml:space="preserve"> (pp. 104-126). IGI Global.</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Chen, Z., 2021. The Future and Development of E-Sports.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Fahy, J. and Jobber, D., 2019. </w:t>
      </w:r>
      <w:r>
        <w:rPr>
          <w:rFonts w:ascii="Times New Roman" w:hAnsi="Times New Roman" w:cs="Times New Roman" w:eastAsia="Times New Roman"/>
          <w:i/>
          <w:color w:val="222222"/>
          <w:spacing w:val="0"/>
          <w:position w:val="0"/>
          <w:sz w:val="24"/>
          <w:shd w:fill="FFFFFF" w:val="clear"/>
        </w:rPr>
        <w:t xml:space="preserve">EBOOK: Foundations of Marketing, 6e</w:t>
      </w:r>
      <w:r>
        <w:rPr>
          <w:rFonts w:ascii="Times New Roman" w:hAnsi="Times New Roman" w:cs="Times New Roman" w:eastAsia="Times New Roman"/>
          <w:color w:val="222222"/>
          <w:spacing w:val="0"/>
          <w:position w:val="0"/>
          <w:sz w:val="24"/>
          <w:shd w:fill="FFFFFF" w:val="clear"/>
        </w:rPr>
        <w:t xml:space="preserve">. McGraw Hill.</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Hammar, E.L. and Woodcock, J., 2019. The political economy of wargames: the production of history and memory in military video games. </w:t>
      </w:r>
      <w:r>
        <w:rPr>
          <w:rFonts w:ascii="Times New Roman" w:hAnsi="Times New Roman" w:cs="Times New Roman" w:eastAsia="Times New Roman"/>
          <w:i/>
          <w:color w:val="222222"/>
          <w:spacing w:val="0"/>
          <w:position w:val="0"/>
          <w:sz w:val="24"/>
          <w:shd w:fill="FFFFFF" w:val="clear"/>
        </w:rPr>
        <w:t xml:space="preserve">War Games: Memory, Militarism and the Subject of Play</w:t>
      </w:r>
      <w:r>
        <w:rPr>
          <w:rFonts w:ascii="Times New Roman" w:hAnsi="Times New Roman" w:cs="Times New Roman" w:eastAsia="Times New Roman"/>
          <w:color w:val="222222"/>
          <w:spacing w:val="0"/>
          <w:position w:val="0"/>
          <w:sz w:val="24"/>
          <w:shd w:fill="FFFFFF" w:val="clear"/>
        </w:rPr>
        <w:t xml:space="preserve">, p.53.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JINMING, Z., 2020. </w:t>
      </w:r>
      <w:r>
        <w:rPr>
          <w:rFonts w:ascii="Times New Roman" w:hAnsi="Times New Roman" w:cs="Times New Roman" w:eastAsia="Times New Roman"/>
          <w:i/>
          <w:color w:val="222222"/>
          <w:spacing w:val="0"/>
          <w:position w:val="0"/>
          <w:sz w:val="24"/>
          <w:shd w:fill="FFFFFF" w:val="clear"/>
        </w:rPr>
        <w:t xml:space="preserve">ANALYSIS OF STRATEGIC MANAGEMENT</w:t>
      </w:r>
      <w:r>
        <w:rPr>
          <w:rFonts w:ascii="Times New Roman" w:hAnsi="Times New Roman" w:cs="Times New Roman" w:eastAsia="Times New Roman"/>
          <w:i/>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A CASE STUDY OF NINTENDO</w:t>
      </w:r>
      <w:r>
        <w:rPr>
          <w:rFonts w:ascii="Times New Roman" w:hAnsi="Times New Roman" w:cs="Times New Roman" w:eastAsia="Times New Roman"/>
          <w:color w:val="222222"/>
          <w:spacing w:val="0"/>
          <w:position w:val="0"/>
          <w:sz w:val="24"/>
          <w:shd w:fill="FFFFFF" w:val="clear"/>
        </w:rPr>
        <w:t xml:space="preserve"> (Doctoral dissertation, SIAM UNIVERSITY).</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JINMING, Z., 2020. </w:t>
      </w:r>
      <w:r>
        <w:rPr>
          <w:rFonts w:ascii="Times New Roman" w:hAnsi="Times New Roman" w:cs="Times New Roman" w:eastAsia="Times New Roman"/>
          <w:i/>
          <w:color w:val="222222"/>
          <w:spacing w:val="0"/>
          <w:position w:val="0"/>
          <w:sz w:val="24"/>
          <w:shd w:fill="FFFFFF" w:val="clear"/>
        </w:rPr>
        <w:t xml:space="preserve">ANALYSIS OF STRATEGIC MANAGEMENT</w:t>
      </w:r>
      <w:r>
        <w:rPr>
          <w:rFonts w:ascii="Times New Roman" w:hAnsi="Times New Roman" w:cs="Times New Roman" w:eastAsia="Times New Roman"/>
          <w:i/>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A CASE STUDY OF NINTENDO</w:t>
      </w:r>
      <w:r>
        <w:rPr>
          <w:rFonts w:ascii="Times New Roman" w:hAnsi="Times New Roman" w:cs="Times New Roman" w:eastAsia="Times New Roman"/>
          <w:color w:val="222222"/>
          <w:spacing w:val="0"/>
          <w:position w:val="0"/>
          <w:sz w:val="24"/>
          <w:shd w:fill="FFFFFF" w:val="clear"/>
        </w:rPr>
        <w:t xml:space="preserve"> (Doctoral dissertation, SIAM UNIVERSITY).</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JINMING, Z., 2020. </w:t>
      </w:r>
      <w:r>
        <w:rPr>
          <w:rFonts w:ascii="Times New Roman" w:hAnsi="Times New Roman" w:cs="Times New Roman" w:eastAsia="Times New Roman"/>
          <w:i/>
          <w:color w:val="222222"/>
          <w:spacing w:val="0"/>
          <w:position w:val="0"/>
          <w:sz w:val="24"/>
          <w:shd w:fill="FFFFFF" w:val="clear"/>
        </w:rPr>
        <w:t xml:space="preserve">ANALYSIS OF STRATEGIC MANAGEMENT</w:t>
      </w:r>
      <w:r>
        <w:rPr>
          <w:rFonts w:ascii="Times New Roman" w:hAnsi="Times New Roman" w:cs="Times New Roman" w:eastAsia="Times New Roman"/>
          <w:i/>
          <w:color w:val="222222"/>
          <w:spacing w:val="0"/>
          <w:position w:val="0"/>
          <w:sz w:val="24"/>
          <w:shd w:fill="FFFFFF" w:val="clear"/>
        </w:rPr>
        <w:t xml:space="preserve">—</w:t>
      </w:r>
      <w:r>
        <w:rPr>
          <w:rFonts w:ascii="Times New Roman" w:hAnsi="Times New Roman" w:cs="Times New Roman" w:eastAsia="Times New Roman"/>
          <w:i/>
          <w:color w:val="222222"/>
          <w:spacing w:val="0"/>
          <w:position w:val="0"/>
          <w:sz w:val="24"/>
          <w:shd w:fill="FFFFFF" w:val="clear"/>
        </w:rPr>
        <w:t xml:space="preserve">A CASE STUDY OF NINTENDO</w:t>
      </w:r>
      <w:r>
        <w:rPr>
          <w:rFonts w:ascii="Times New Roman" w:hAnsi="Times New Roman" w:cs="Times New Roman" w:eastAsia="Times New Roman"/>
          <w:color w:val="222222"/>
          <w:spacing w:val="0"/>
          <w:position w:val="0"/>
          <w:sz w:val="24"/>
          <w:shd w:fill="FFFFFF" w:val="clear"/>
        </w:rPr>
        <w:t xml:space="preserve"> (Doctoral dissertation, SIAM UNIVERSITY).</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Klingebiel, R., Joseph, J. and Machoba, V., 2022. Sequencing innovation rollout: Learning opportunity versus entry speed. </w:t>
      </w:r>
      <w:r>
        <w:rPr>
          <w:rFonts w:ascii="Times New Roman" w:hAnsi="Times New Roman" w:cs="Times New Roman" w:eastAsia="Times New Roman"/>
          <w:i/>
          <w:color w:val="222222"/>
          <w:spacing w:val="0"/>
          <w:position w:val="0"/>
          <w:sz w:val="24"/>
          <w:shd w:fill="FFFFFF" w:val="clear"/>
        </w:rPr>
        <w:t xml:space="preserve">Strategic Management Journal</w:t>
      </w:r>
      <w:r>
        <w:rPr>
          <w:rFonts w:ascii="Times New Roman" w:hAnsi="Times New Roman" w:cs="Times New Roman" w:eastAsia="Times New Roman"/>
          <w:color w:val="222222"/>
          <w:spacing w:val="0"/>
          <w:position w:val="0"/>
          <w:sz w:val="24"/>
          <w:shd w:fill="FFFFFF" w:val="clear"/>
        </w:rPr>
        <w:t xml:space="preserve">.</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Kodama, M., 2020. Innovation through boundaries vision and dynamic capabilities: the strategic management perspective. In </w:t>
      </w:r>
      <w:r>
        <w:rPr>
          <w:rFonts w:ascii="Times New Roman" w:hAnsi="Times New Roman" w:cs="Times New Roman" w:eastAsia="Times New Roman"/>
          <w:i/>
          <w:color w:val="222222"/>
          <w:spacing w:val="0"/>
          <w:position w:val="0"/>
          <w:sz w:val="24"/>
          <w:shd w:fill="FFFFFF" w:val="clear"/>
        </w:rPr>
        <w:t xml:space="preserve">Developing Boundaries Knowledge for Innovation</w:t>
      </w:r>
      <w:r>
        <w:rPr>
          <w:rFonts w:ascii="Times New Roman" w:hAnsi="Times New Roman" w:cs="Times New Roman" w:eastAsia="Times New Roman"/>
          <w:color w:val="222222"/>
          <w:spacing w:val="0"/>
          <w:position w:val="0"/>
          <w:sz w:val="24"/>
          <w:shd w:fill="FFFFFF" w:val="clear"/>
        </w:rPr>
        <w:t xml:space="preserve">. Edward Elgar Publishing.</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Kranendonk, M. and van den Heede, P., Going Global: Internationalisation strategies of Dutch Game Studios since 1990.</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Kranendonk, M. and van den Heede, P., Going Global: Internationalisation strategies of Dutch Game Studios since 1990.</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Le, T.T., 2020. </w:t>
      </w:r>
      <w:r>
        <w:rPr>
          <w:rFonts w:ascii="Times New Roman" w:hAnsi="Times New Roman" w:cs="Times New Roman" w:eastAsia="Times New Roman"/>
          <w:i/>
          <w:color w:val="222222"/>
          <w:spacing w:val="0"/>
          <w:position w:val="0"/>
          <w:sz w:val="24"/>
          <w:shd w:fill="FFFFFF" w:val="clear"/>
        </w:rPr>
        <w:t xml:space="preserve">Cloud Gaming Platforms: Their impact on the future of the video game industry</w:t>
      </w:r>
      <w:r>
        <w:rPr>
          <w:rFonts w:ascii="Times New Roman" w:hAnsi="Times New Roman" w:cs="Times New Roman" w:eastAsia="Times New Roman"/>
          <w:color w:val="222222"/>
          <w:spacing w:val="0"/>
          <w:position w:val="0"/>
          <w:sz w:val="24"/>
          <w:shd w:fill="FFFFFF" w:val="clear"/>
        </w:rPr>
        <w:t xml:space="preserve"> (Master's thesis, OsloMet-Storbyuniversitetet).</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Le, T.T., 2020. </w:t>
      </w:r>
      <w:r>
        <w:rPr>
          <w:rFonts w:ascii="Times New Roman" w:hAnsi="Times New Roman" w:cs="Times New Roman" w:eastAsia="Times New Roman"/>
          <w:i/>
          <w:color w:val="222222"/>
          <w:spacing w:val="0"/>
          <w:position w:val="0"/>
          <w:sz w:val="24"/>
          <w:shd w:fill="FFFFFF" w:val="clear"/>
        </w:rPr>
        <w:t xml:space="preserve">Cloud Gaming Platforms: Their impact on the future of the video game industry</w:t>
      </w:r>
      <w:r>
        <w:rPr>
          <w:rFonts w:ascii="Times New Roman" w:hAnsi="Times New Roman" w:cs="Times New Roman" w:eastAsia="Times New Roman"/>
          <w:color w:val="222222"/>
          <w:spacing w:val="0"/>
          <w:position w:val="0"/>
          <w:sz w:val="24"/>
          <w:shd w:fill="FFFFFF" w:val="clear"/>
        </w:rPr>
        <w:t xml:space="preserve"> (Master's thesis, OsloMet-Storbyuniversitetet).</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Longwe, B. and Sakyi, K., 2020. Reassessing the Core Product’s Relevance: Balancing Heritage against Modern Needs.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McAllister, K.S. and Ruggill, J.E., 2018. Playing to Death. </w:t>
      </w:r>
      <w:r>
        <w:rPr>
          <w:rFonts w:ascii="Times New Roman" w:hAnsi="Times New Roman" w:cs="Times New Roman" w:eastAsia="Times New Roman"/>
          <w:i/>
          <w:color w:val="222222"/>
          <w:spacing w:val="0"/>
          <w:position w:val="0"/>
          <w:sz w:val="24"/>
          <w:shd w:fill="FFFFFF" w:val="clear"/>
        </w:rPr>
        <w:t xml:space="preserve">American journal of play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11</w:t>
      </w:r>
      <w:r>
        <w:rPr>
          <w:rFonts w:ascii="Times New Roman" w:hAnsi="Times New Roman" w:cs="Times New Roman" w:eastAsia="Times New Roman"/>
          <w:color w:val="222222"/>
          <w:spacing w:val="0"/>
          <w:position w:val="0"/>
          <w:sz w:val="24"/>
          <w:shd w:fill="FFFFFF" w:val="clear"/>
        </w:rPr>
        <w:t xml:space="preserve">(1), pp.85-103.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Milkau, U., 2019. Value creation within AI-enabled data platforms. </w:t>
      </w:r>
      <w:r>
        <w:rPr>
          <w:rFonts w:ascii="Times New Roman" w:hAnsi="Times New Roman" w:cs="Times New Roman" w:eastAsia="Times New Roman"/>
          <w:i/>
          <w:color w:val="222222"/>
          <w:spacing w:val="0"/>
          <w:position w:val="0"/>
          <w:sz w:val="24"/>
          <w:shd w:fill="FFFFFF" w:val="clear"/>
        </w:rPr>
        <w:t xml:space="preserve">Journal of Creating Value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w:t>
      </w:r>
      <w:r>
        <w:rPr>
          <w:rFonts w:ascii="Times New Roman" w:hAnsi="Times New Roman" w:cs="Times New Roman" w:eastAsia="Times New Roman"/>
          <w:color w:val="222222"/>
          <w:spacing w:val="0"/>
          <w:position w:val="0"/>
          <w:sz w:val="24"/>
          <w:shd w:fill="FFFFFF" w:val="clear"/>
        </w:rPr>
        <w:t xml:space="preserve">(1), pp.25-39.</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Milkau, U., 2019. Value creation within AI-enabled data platforms. </w:t>
      </w:r>
      <w:r>
        <w:rPr>
          <w:rFonts w:ascii="Times New Roman" w:hAnsi="Times New Roman" w:cs="Times New Roman" w:eastAsia="Times New Roman"/>
          <w:i/>
          <w:color w:val="222222"/>
          <w:spacing w:val="0"/>
          <w:position w:val="0"/>
          <w:sz w:val="24"/>
          <w:shd w:fill="FFFFFF" w:val="clear"/>
        </w:rPr>
        <w:t xml:space="preserve">Journal of Creating Value</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w:t>
      </w:r>
      <w:r>
        <w:rPr>
          <w:rFonts w:ascii="Times New Roman" w:hAnsi="Times New Roman" w:cs="Times New Roman" w:eastAsia="Times New Roman"/>
          <w:color w:val="222222"/>
          <w:spacing w:val="0"/>
          <w:position w:val="0"/>
          <w:sz w:val="24"/>
          <w:shd w:fill="FFFFFF" w:val="clear"/>
        </w:rPr>
        <w:t xml:space="preserve">(1), pp.25-39.</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Ozalp, H., Cennamo, C. and Gawer, A., 2018. Disruption in platform</w:t>
      </w:r>
      <w:r>
        <w:rPr>
          <w:rFonts w:ascii="Calibri" w:hAnsi="Calibri" w:cs="Calibri" w:eastAsia="Calibri"/>
          <w:color w:val="222222"/>
          <w:spacing w:val="0"/>
          <w:position w:val="0"/>
          <w:sz w:val="24"/>
          <w:shd w:fill="FFFFFF" w:val="clear"/>
        </w:rPr>
        <w:t xml:space="preserve">‐</w:t>
      </w:r>
      <w:r>
        <w:rPr>
          <w:rFonts w:ascii="Times New Roman" w:hAnsi="Times New Roman" w:cs="Times New Roman" w:eastAsia="Times New Roman"/>
          <w:color w:val="222222"/>
          <w:spacing w:val="0"/>
          <w:position w:val="0"/>
          <w:sz w:val="24"/>
          <w:shd w:fill="FFFFFF" w:val="clear"/>
        </w:rPr>
        <w:t xml:space="preserve">based ecosystems. </w:t>
      </w:r>
      <w:r>
        <w:rPr>
          <w:rFonts w:ascii="Times New Roman" w:hAnsi="Times New Roman" w:cs="Times New Roman" w:eastAsia="Times New Roman"/>
          <w:i/>
          <w:color w:val="222222"/>
          <w:spacing w:val="0"/>
          <w:position w:val="0"/>
          <w:sz w:val="24"/>
          <w:shd w:fill="FFFFFF" w:val="clear"/>
        </w:rPr>
        <w:t xml:space="preserve">Journal of Management Studies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55</w:t>
      </w:r>
      <w:r>
        <w:rPr>
          <w:rFonts w:ascii="Times New Roman" w:hAnsi="Times New Roman" w:cs="Times New Roman" w:eastAsia="Times New Roman"/>
          <w:color w:val="222222"/>
          <w:spacing w:val="0"/>
          <w:position w:val="0"/>
          <w:sz w:val="24"/>
          <w:shd w:fill="FFFFFF" w:val="clear"/>
        </w:rPr>
        <w:t xml:space="preserve">(7), pp.1203-1241.</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Rietveld, J. and Schilling, M.A., 2021. Platform competition: A systematic and interdisciplinary review of the literature. </w:t>
      </w:r>
      <w:r>
        <w:rPr>
          <w:rFonts w:ascii="Times New Roman" w:hAnsi="Times New Roman" w:cs="Times New Roman" w:eastAsia="Times New Roman"/>
          <w:i/>
          <w:color w:val="222222"/>
          <w:spacing w:val="0"/>
          <w:position w:val="0"/>
          <w:sz w:val="24"/>
          <w:shd w:fill="FFFFFF" w:val="clear"/>
        </w:rPr>
        <w:t xml:space="preserve">Journal of Management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47</w:t>
      </w:r>
      <w:r>
        <w:rPr>
          <w:rFonts w:ascii="Times New Roman" w:hAnsi="Times New Roman" w:cs="Times New Roman" w:eastAsia="Times New Roman"/>
          <w:color w:val="222222"/>
          <w:spacing w:val="0"/>
          <w:position w:val="0"/>
          <w:sz w:val="24"/>
          <w:shd w:fill="FFFFFF" w:val="clear"/>
        </w:rPr>
        <w:t xml:space="preserve">(6), pp.1528-1563.</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Rogers, J., Foxall, A., Henderson, M. and Armstrong, S., 2020. </w:t>
      </w:r>
      <w:r>
        <w:rPr>
          <w:rFonts w:ascii="Times New Roman" w:hAnsi="Times New Roman" w:cs="Times New Roman" w:eastAsia="Times New Roman"/>
          <w:i/>
          <w:color w:val="222222"/>
          <w:spacing w:val="0"/>
          <w:position w:val="0"/>
          <w:sz w:val="24"/>
          <w:shd w:fill="FFFFFF" w:val="clear"/>
        </w:rPr>
        <w:t xml:space="preserve">Breaking the China Supply Chain: How the" five Eyes" Can Decouple from Strategic Dependency</w:t>
      </w:r>
      <w:r>
        <w:rPr>
          <w:rFonts w:ascii="Times New Roman" w:hAnsi="Times New Roman" w:cs="Times New Roman" w:eastAsia="Times New Roman"/>
          <w:color w:val="222222"/>
          <w:spacing w:val="0"/>
          <w:position w:val="0"/>
          <w:sz w:val="24"/>
          <w:shd w:fill="FFFFFF" w:val="clear"/>
        </w:rPr>
        <w:t xml:space="preserve">. Henry Jackson Society.</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222222"/>
          <w:spacing w:val="0"/>
          <w:position w:val="0"/>
          <w:sz w:val="24"/>
          <w:shd w:fill="FFFFFF" w:val="clear"/>
        </w:rPr>
        <w:t xml:space="preserve">Smith, D.J., 2021. </w:t>
      </w:r>
      <w:r>
        <w:rPr>
          <w:rFonts w:ascii="Times New Roman" w:hAnsi="Times New Roman" w:cs="Times New Roman" w:eastAsia="Times New Roman"/>
          <w:i/>
          <w:color w:val="222222"/>
          <w:spacing w:val="0"/>
          <w:position w:val="0"/>
          <w:sz w:val="24"/>
          <w:shd w:fill="FFFFFF" w:val="clear"/>
        </w:rPr>
        <w:t xml:space="preserve">CHROME, NEON, AND CYBORGS: THE CYBERPUNK GENRE IN THE 1980’S UNITED STATES</w:t>
      </w:r>
      <w:r>
        <w:rPr>
          <w:rFonts w:ascii="Times New Roman" w:hAnsi="Times New Roman" w:cs="Times New Roman" w:eastAsia="Times New Roman"/>
          <w:color w:val="222222"/>
          <w:spacing w:val="0"/>
          <w:position w:val="0"/>
          <w:sz w:val="24"/>
          <w:shd w:fill="FFFFFF" w:val="clear"/>
        </w:rPr>
        <w:t xml:space="preserve"> (Doctoral dissertation).</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Väänänen, E., 2018. Post-acquisition performance and methods of integration in the video game industry: a case study.</w:t>
      </w:r>
    </w:p>
    <w:p>
      <w:pPr>
        <w:spacing w:before="0" w:after="0" w:line="360"/>
        <w:ind w:right="0" w:left="0" w:firstLine="0"/>
        <w:jc w:val="both"/>
        <w:rPr>
          <w:rFonts w:ascii="Times New Roman" w:hAnsi="Times New Roman" w:cs="Times New Roman" w:eastAsia="Times New Roman"/>
          <w:color w:val="000000"/>
          <w:spacing w:val="0"/>
          <w:position w:val="0"/>
          <w:sz w:val="24"/>
          <w:shd w:fill="FFFFFF" w:val="clear"/>
        </w:rPr>
      </w:pPr>
      <w:r>
        <w:rPr>
          <w:rFonts w:ascii="Times New Roman" w:hAnsi="Times New Roman" w:cs="Times New Roman" w:eastAsia="Times New Roman"/>
          <w:color w:val="000000"/>
          <w:spacing w:val="0"/>
          <w:position w:val="0"/>
          <w:sz w:val="24"/>
          <w:shd w:fill="FFFFFF" w:val="clear"/>
        </w:rPr>
        <w:t xml:space="preserve">Van de Kaa, G., 2018. Exploring necessary conditions for standard success for complex systems. In </w:t>
      </w:r>
      <w:r>
        <w:rPr>
          <w:rFonts w:ascii="Times New Roman" w:hAnsi="Times New Roman" w:cs="Times New Roman" w:eastAsia="Times New Roman"/>
          <w:i/>
          <w:color w:val="000000"/>
          <w:spacing w:val="0"/>
          <w:position w:val="0"/>
          <w:sz w:val="24"/>
          <w:shd w:fill="FFFFFF" w:val="clear"/>
        </w:rPr>
        <w:t xml:space="preserve">27th international conference on management of technology: Towards sustainable technologies and innovation</w:t>
      </w:r>
      <w:r>
        <w:rPr>
          <w:rFonts w:ascii="Times New Roman" w:hAnsi="Times New Roman" w:cs="Times New Roman" w:eastAsia="Times New Roman"/>
          <w:color w:val="000000"/>
          <w:spacing w:val="0"/>
          <w:position w:val="0"/>
          <w:sz w:val="24"/>
          <w:shd w:fill="FFFFFF" w:val="clear"/>
        </w:rPr>
        <w:t xml:space="preserve"> (pp. 1-8). International Association for Management of Technology.</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Vedanand, D., 2021. Rethinking Strategy for Global Competitiveness: The Logistics Focus.</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Ziesak, J. and Barsch, T., 2019. Analysis: How Nintendo Created a New Market through the Strategic Innovation Wii. In </w:t>
      </w:r>
      <w:r>
        <w:rPr>
          <w:rFonts w:ascii="Times New Roman" w:hAnsi="Times New Roman" w:cs="Times New Roman" w:eastAsia="Times New Roman"/>
          <w:i/>
          <w:color w:val="222222"/>
          <w:spacing w:val="0"/>
          <w:position w:val="0"/>
          <w:sz w:val="24"/>
          <w:shd w:fill="FFFFFF" w:val="clear"/>
        </w:rPr>
        <w:t xml:space="preserve">Die Blue-Ocean-Strategie in Theorie und Praxis</w:t>
      </w:r>
      <w:r>
        <w:rPr>
          <w:rFonts w:ascii="Times New Roman" w:hAnsi="Times New Roman" w:cs="Times New Roman" w:eastAsia="Times New Roman"/>
          <w:color w:val="222222"/>
          <w:spacing w:val="0"/>
          <w:position w:val="0"/>
          <w:sz w:val="24"/>
          <w:shd w:fill="FFFFFF" w:val="clear"/>
        </w:rPr>
        <w:t xml:space="preserve"> (pp. 299-326). Springer Gabler, Wiesbaden.</w:t>
      </w:r>
    </w:p>
    <w:p>
      <w:pPr>
        <w:spacing w:before="0" w:after="0" w:line="360"/>
        <w:ind w:right="0" w:left="0" w:firstLine="0"/>
        <w:jc w:val="both"/>
        <w:rPr>
          <w:rFonts w:ascii="Times New Roman" w:hAnsi="Times New Roman" w:cs="Times New Roman" w:eastAsia="Times New Roman"/>
          <w:b/>
          <w:i/>
          <w:color w:val="222222"/>
          <w:spacing w:val="0"/>
          <w:position w:val="0"/>
          <w:sz w:val="24"/>
          <w:shd w:fill="FFFFFF" w:val="clear"/>
        </w:rPr>
      </w:pPr>
      <w:r>
        <w:rPr>
          <w:rFonts w:ascii="Times New Roman" w:hAnsi="Times New Roman" w:cs="Times New Roman" w:eastAsia="Times New Roman"/>
          <w:b/>
          <w:i/>
          <w:color w:val="222222"/>
          <w:spacing w:val="0"/>
          <w:position w:val="0"/>
          <w:sz w:val="24"/>
          <w:shd w:fill="FFFFFF" w:val="clear"/>
        </w:rPr>
        <w:t xml:space="preserve">Websites</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Sony.com (2021). Sony Corporate Strategy Meeting FY2021. [Online], Available at: </w:t>
      </w:r>
      <w:hyperlink xmlns:r="http://schemas.openxmlformats.org/officeDocument/2006/relationships" r:id="docRId10">
        <w:r>
          <w:rPr>
            <w:rFonts w:ascii="Times New Roman" w:hAnsi="Times New Roman" w:cs="Times New Roman" w:eastAsia="Times New Roman"/>
            <w:color w:val="0000FF"/>
            <w:spacing w:val="0"/>
            <w:position w:val="0"/>
            <w:sz w:val="24"/>
            <w:u w:val="single"/>
            <w:shd w:fill="auto" w:val="clear"/>
          </w:rPr>
          <w:t xml:space="preserve">https://www.sony.com/en/SonyInfo/News/Press/202105/20-042E/</w:t>
        </w:r>
      </w:hyperlink>
      <w:r>
        <w:rPr>
          <w:rFonts w:ascii="Times New Roman" w:hAnsi="Times New Roman" w:cs="Times New Roman" w:eastAsia="Times New Roman"/>
          <w:color w:val="auto"/>
          <w:spacing w:val="0"/>
          <w:position w:val="0"/>
          <w:sz w:val="24"/>
          <w:shd w:fill="auto" w:val="clear"/>
        </w:rPr>
        <w:t xml:space="preserve">. [Accessed on: 27.04.2022]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Sony Corporation, 2017, Feb 28, </w:t>
      </w:r>
      <w:r>
        <w:rPr>
          <w:rFonts w:ascii="Times New Roman" w:hAnsi="Times New Roman" w:cs="Times New Roman" w:eastAsia="Times New Roman"/>
          <w:i/>
          <w:color w:val="auto"/>
          <w:spacing w:val="0"/>
          <w:position w:val="0"/>
          <w:sz w:val="24"/>
          <w:shd w:fill="auto" w:val="clear"/>
        </w:rPr>
        <w:t xml:space="preserve">Sony Corporation’s PESTEL/PESTLE Analysis &amp; Recommendations,</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11">
        <w:r>
          <w:rPr>
            <w:rFonts w:ascii="Times New Roman" w:hAnsi="Times New Roman" w:cs="Times New Roman" w:eastAsia="Times New Roman"/>
            <w:color w:val="0000FF"/>
            <w:spacing w:val="0"/>
            <w:position w:val="0"/>
            <w:sz w:val="24"/>
            <w:u w:val="single"/>
            <w:shd w:fill="auto" w:val="clear"/>
          </w:rPr>
          <w:t xml:space="preserve">http://panmore.com/sony-corporation-pestel-pestle-analysis-recommendations</w:t>
        </w:r>
      </w:hyperlink>
      <w:r>
        <w:rPr>
          <w:rFonts w:ascii="Times New Roman" w:hAnsi="Times New Roman" w:cs="Times New Roman" w:eastAsia="Times New Roman"/>
          <w:color w:val="auto"/>
          <w:spacing w:val="0"/>
          <w:position w:val="0"/>
          <w:sz w:val="24"/>
          <w:shd w:fill="auto" w:val="clear"/>
        </w:rPr>
        <w:t xml:space="preserve"> [Accessed on: 27/04/2022]</w:t>
      </w: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Notesmatic, 2021, Feb 7, </w:t>
      </w:r>
      <w:r>
        <w:rPr>
          <w:rFonts w:ascii="Times New Roman" w:hAnsi="Times New Roman" w:cs="Times New Roman" w:eastAsia="Times New Roman"/>
          <w:i/>
          <w:color w:val="auto"/>
          <w:spacing w:val="0"/>
          <w:position w:val="0"/>
          <w:sz w:val="24"/>
          <w:shd w:fill="auto" w:val="clear"/>
        </w:rPr>
        <w:t xml:space="preserve">VRIO Analysis of SONY,</w:t>
      </w:r>
      <w:r>
        <w:rPr>
          <w:rFonts w:ascii="Times New Roman" w:hAnsi="Times New Roman" w:cs="Times New Roman" w:eastAsia="Times New Roman"/>
          <w:color w:val="auto"/>
          <w:spacing w:val="0"/>
          <w:position w:val="0"/>
          <w:sz w:val="24"/>
          <w:shd w:fill="auto" w:val="clear"/>
        </w:rPr>
        <w:t xml:space="preserve"> [Online], Available at: </w:t>
      </w:r>
      <w:hyperlink xmlns:r="http://schemas.openxmlformats.org/officeDocument/2006/relationships" r:id="docRId12">
        <w:r>
          <w:rPr>
            <w:rFonts w:ascii="Times New Roman" w:hAnsi="Times New Roman" w:cs="Times New Roman" w:eastAsia="Times New Roman"/>
            <w:color w:val="0000FF"/>
            <w:spacing w:val="0"/>
            <w:position w:val="0"/>
            <w:sz w:val="24"/>
            <w:u w:val="single"/>
            <w:shd w:fill="auto" w:val="clear"/>
          </w:rPr>
          <w:t xml:space="preserve">https://notesmatic.com/vrio-analysis-of-sony/</w:t>
        </w:r>
      </w:hyperlink>
      <w:r>
        <w:rPr>
          <w:rFonts w:ascii="Times New Roman" w:hAnsi="Times New Roman" w:cs="Times New Roman" w:eastAsia="Times New Roman"/>
          <w:color w:val="auto"/>
          <w:spacing w:val="0"/>
          <w:position w:val="0"/>
          <w:sz w:val="24"/>
          <w:shd w:fill="auto" w:val="clear"/>
        </w:rPr>
        <w:t xml:space="preserve"> [Accessed on: 27/04/2022]</w:t>
      </w:r>
    </w:p>
    <w:p>
      <w:pPr>
        <w:spacing w:before="0" w:after="0" w:line="360"/>
        <w:ind w:right="0" w:left="0" w:firstLine="0"/>
        <w:jc w:val="both"/>
        <w:rPr>
          <w:rFonts w:ascii="Times New Roman" w:hAnsi="Times New Roman" w:cs="Times New Roman" w:eastAsia="Times New Roman"/>
          <w:color w:val="222222"/>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360"/>
        <w:ind w:right="0" w:left="0" w:firstLine="0"/>
        <w:jc w:val="both"/>
        <w:rPr>
          <w:rFonts w:ascii="Times New Roman" w:hAnsi="Times New Roman" w:cs="Times New Roman" w:eastAsia="Times New Roman"/>
          <w:b/>
          <w:color w:val="auto"/>
          <w:spacing w:val="0"/>
          <w:position w:val="0"/>
          <w:sz w:val="28"/>
          <w:shd w:fill="auto" w:val="clear"/>
        </w:rPr>
      </w:pPr>
    </w:p>
    <w:p>
      <w:pPr>
        <w:keepNext w:val="true"/>
        <w:keepLines w:val="true"/>
        <w:spacing w:before="0" w:after="0" w:line="36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Appendices</w:t>
      </w:r>
    </w:p>
    <w:p>
      <w:pPr>
        <w:keepNext w:val="true"/>
        <w:keepLines w:val="true"/>
        <w:spacing w:before="120" w:after="0" w:line="360"/>
        <w:ind w:right="0" w:left="0" w:firstLine="0"/>
        <w:jc w:val="both"/>
        <w:rPr>
          <w:rFonts w:ascii="Times New Roman" w:hAnsi="Times New Roman" w:cs="Times New Roman" w:eastAsia="Times New Roman"/>
          <w:b/>
          <w:color w:val="000000"/>
          <w:spacing w:val="0"/>
          <w:position w:val="0"/>
          <w:sz w:val="26"/>
          <w:shd w:fill="auto" w:val="clear"/>
        </w:rPr>
      </w:pPr>
      <w:r>
        <w:rPr>
          <w:rFonts w:ascii="Times New Roman" w:hAnsi="Times New Roman" w:cs="Times New Roman" w:eastAsia="Times New Roman"/>
          <w:b/>
          <w:color w:val="000000"/>
          <w:spacing w:val="0"/>
          <w:position w:val="0"/>
          <w:sz w:val="26"/>
          <w:shd w:fill="auto" w:val="clear"/>
        </w:rPr>
        <w:t xml:space="preserve">Appendix 1: Most popular gaming console by the end of 2021</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object w:dxaOrig="7167" w:dyaOrig="3705">
          <v:rect xmlns:o="urn:schemas-microsoft-com:office:office" xmlns:v="urn:schemas-microsoft-com:vml" id="rectole0000000005" style="width:358.350000pt;height:185.250000pt" o:preferrelative="t" o:ole="">
            <o:lock v:ext="edit"/>
            <v:imagedata xmlns:r="http://schemas.openxmlformats.org/officeDocument/2006/relationships" r:id="docRId14" o:title=""/>
          </v:rect>
          <o:OLEObject xmlns:r="http://schemas.openxmlformats.org/officeDocument/2006/relationships" xmlns:o="urn:schemas-microsoft-com:office:office" Type="Embed" ProgID="StaticMetafile" DrawAspect="Content" ObjectID="0000000005" ShapeID="rectole0000000005" r:id="docRId13"/>
        </w:objec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t>
      </w:r>
      <w:hyperlink xmlns:r="http://schemas.openxmlformats.org/officeDocument/2006/relationships" r:id="docRId15">
        <w:r>
          <w:rPr>
            <w:rFonts w:ascii="Times New Roman" w:hAnsi="Times New Roman" w:cs="Times New Roman" w:eastAsia="Times New Roman"/>
            <w:color w:val="0000FF"/>
            <w:spacing w:val="0"/>
            <w:position w:val="0"/>
            <w:sz w:val="24"/>
            <w:u w:val="single"/>
            <w:shd w:fill="auto" w:val="clear"/>
          </w:rPr>
          <w:t xml:space="preserve">https://www.inverse.com/gaming/best-game-console-2021-survey</w:t>
        </w:r>
      </w:hyperlink>
      <w:r>
        <w:rPr>
          <w:rFonts w:ascii="Times New Roman" w:hAnsi="Times New Roman" w:cs="Times New Roman" w:eastAsia="Times New Roman"/>
          <w:color w:val="auto"/>
          <w:spacing w:val="0"/>
          <w:position w:val="0"/>
          <w:sz w:val="24"/>
          <w:shd w:fill="auto" w:val="clear"/>
        </w:rPr>
        <w:t xml:space="preserve">)</w:t>
      </w:r>
    </w:p>
    <w:p>
      <w:pPr>
        <w:spacing w:before="0" w:after="0" w:line="360"/>
        <w:ind w:right="0" w:left="0" w:firstLine="0"/>
        <w:jc w:val="center"/>
        <w:rPr>
          <w:rFonts w:ascii="Times New Roman" w:hAnsi="Times New Roman" w:cs="Times New Roman" w:eastAsia="Times New Roman"/>
          <w:color w:val="auto"/>
          <w:spacing w:val="0"/>
          <w:position w:val="0"/>
          <w:sz w:val="24"/>
          <w:shd w:fill="auto" w:val="clear"/>
        </w:rPr>
      </w:pPr>
    </w:p>
    <w:p>
      <w:pPr>
        <w:keepNext w:val="true"/>
        <w:keepLines w:val="true"/>
        <w:spacing w:before="120" w:after="0" w:line="360"/>
        <w:ind w:right="0" w:left="0" w:firstLine="0"/>
        <w:jc w:val="both"/>
        <w:rPr>
          <w:rFonts w:ascii="Times New Roman" w:hAnsi="Times New Roman" w:cs="Times New Roman" w:eastAsia="Times New Roman"/>
          <w:b/>
          <w:color w:val="000000"/>
          <w:spacing w:val="0"/>
          <w:position w:val="0"/>
          <w:sz w:val="26"/>
          <w:shd w:fill="FFFFFF" w:val="clear"/>
        </w:rPr>
      </w:pPr>
      <w:r>
        <w:rPr>
          <w:rFonts w:ascii="Times New Roman" w:hAnsi="Times New Roman" w:cs="Times New Roman" w:eastAsia="Times New Roman"/>
          <w:b/>
          <w:color w:val="000000"/>
          <w:spacing w:val="0"/>
          <w:position w:val="0"/>
          <w:sz w:val="26"/>
          <w:shd w:fill="FFFFFF" w:val="clear"/>
        </w:rPr>
        <w:t xml:space="preserve">Appendix 2: Different Company in Video Game Mountain</w:t>
      </w:r>
    </w:p>
    <w:p>
      <w:pPr>
        <w:spacing w:before="0" w:after="0" w:line="360"/>
        <w:ind w:right="0" w:left="0" w:firstLine="0"/>
        <w:jc w:val="center"/>
        <w:rPr>
          <w:rFonts w:ascii="Times New Roman" w:hAnsi="Times New Roman" w:cs="Times New Roman" w:eastAsia="Times New Roman"/>
          <w:color w:val="222222"/>
          <w:spacing w:val="0"/>
          <w:position w:val="0"/>
          <w:sz w:val="24"/>
          <w:shd w:fill="FFFFFF" w:val="clear"/>
        </w:rPr>
      </w:pPr>
      <w:r>
        <w:object w:dxaOrig="9698" w:dyaOrig="5385">
          <v:rect xmlns:o="urn:schemas-microsoft-com:office:office" xmlns:v="urn:schemas-microsoft-com:vml" id="rectole0000000006" style="width:484.900000pt;height:269.250000pt" o:preferrelative="t" o:ole="">
            <o:lock v:ext="edit"/>
            <v:imagedata xmlns:r="http://schemas.openxmlformats.org/officeDocument/2006/relationships" r:id="docRId17" o:title=""/>
          </v:rect>
          <o:OLEObject xmlns:r="http://schemas.openxmlformats.org/officeDocument/2006/relationships" xmlns:o="urn:schemas-microsoft-com:office:office" Type="Embed" ProgID="StaticMetafile" DrawAspect="Content" ObjectID="0000000006" ShapeID="rectole0000000006" r:id="docRId16"/>
        </w:object>
      </w:r>
    </w:p>
    <w:p>
      <w:pPr>
        <w:spacing w:before="0" w:after="0" w:line="360"/>
        <w:ind w:right="0" w:left="0" w:firstLine="0"/>
        <w:jc w:val="center"/>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w:t>
      </w:r>
      <w:hyperlink xmlns:r="http://schemas.openxmlformats.org/officeDocument/2006/relationships" r:id="docRId18">
        <w:r>
          <w:rPr>
            <w:rFonts w:ascii="Times New Roman" w:hAnsi="Times New Roman" w:cs="Times New Roman" w:eastAsia="Times New Roman"/>
            <w:color w:val="0000FF"/>
            <w:spacing w:val="0"/>
            <w:position w:val="0"/>
            <w:sz w:val="24"/>
            <w:u w:val="single"/>
            <w:shd w:fill="FFFFFF" w:val="clear"/>
          </w:rPr>
          <w:t xml:space="preserve">https://www.statista.com/chart/2357/sony-is-king-of-the-videogame-mountain-again/</w:t>
        </w:r>
      </w:hyperlink>
      <w:r>
        <w:rPr>
          <w:rFonts w:ascii="Times New Roman" w:hAnsi="Times New Roman" w:cs="Times New Roman" w:eastAsia="Times New Roman"/>
          <w:color w:val="222222"/>
          <w:spacing w:val="0"/>
          <w:position w:val="0"/>
          <w:sz w:val="24"/>
          <w:shd w:fill="FFFFFF" w:val="clear"/>
        </w:rPr>
        <w:t xml:space="preserve">)</w:t>
      </w:r>
    </w:p>
    <w:p>
      <w:pPr>
        <w:spacing w:before="0" w:after="0" w:line="360"/>
        <w:ind w:right="0" w:left="0" w:firstLine="0"/>
        <w:jc w:val="center"/>
        <w:rPr>
          <w:rFonts w:ascii="Times New Roman" w:hAnsi="Times New Roman" w:cs="Times New Roman" w:eastAsia="Times New Roman"/>
          <w:color w:val="222222"/>
          <w:spacing w:val="0"/>
          <w:position w:val="0"/>
          <w:sz w:val="24"/>
          <w:shd w:fill="FFFFFF" w:val="clear"/>
        </w:rPr>
      </w:pPr>
    </w:p>
    <w:p>
      <w:pPr>
        <w:spacing w:before="0" w:after="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num w:numId="22">
    <w:abstractNumId w:val="48"/>
  </w:num>
  <w:num w:numId="24">
    <w:abstractNumId w:val="42"/>
  </w:num>
  <w:num w:numId="26">
    <w:abstractNumId w:val="36"/>
  </w:num>
  <w:num w:numId="37">
    <w:abstractNumId w:val="30"/>
  </w:num>
  <w:num w:numId="39">
    <w:abstractNumId w:val="24"/>
  </w:num>
  <w:num w:numId="41">
    <w:abstractNumId w:val="18"/>
  </w:num>
  <w:num w:numId="47">
    <w:abstractNumId w:val="12"/>
  </w:num>
  <w:num w:numId="69">
    <w:abstractNumId w:val="6"/>
  </w:num>
  <w:num w:numId="7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6.wmf" Id="docRId17" Type="http://schemas.openxmlformats.org/officeDocument/2006/relationships/image" /><Relationship Target="media/image3.wmf" Id="docRId7" Type="http://schemas.openxmlformats.org/officeDocument/2006/relationships/image" /><Relationship Target="media/image5.wmf" Id="docRId14" Type="http://schemas.openxmlformats.org/officeDocument/2006/relationships/image" /><Relationship Target="embeddings/oleObject3.bin" Id="docRId6" Type="http://schemas.openxmlformats.org/officeDocument/2006/relationships/oleObject" /><Relationship Target="media/image0.wmf" Id="docRId1" Type="http://schemas.openxmlformats.org/officeDocument/2006/relationships/image" /><Relationship TargetMode="External" Target="http://panmore.com/sony-corporation-pestel-pestle-analysis-recommendations" Id="docRId11" Type="http://schemas.openxmlformats.org/officeDocument/2006/relationships/hyperlink" /><Relationship TargetMode="External" Target="https://www.inverse.com/gaming/best-game-console-2021-survey" Id="docRId15" Type="http://schemas.openxmlformats.org/officeDocument/2006/relationships/hyperlink" /><Relationship Target="numbering.xml" Id="docRId19" Type="http://schemas.openxmlformats.org/officeDocument/2006/relationships/numbering" /><Relationship Target="media/image2.wmf" Id="docRId5" Type="http://schemas.openxmlformats.org/officeDocument/2006/relationships/image" /><Relationship Target="media/image4.wmf" Id="docRId9" Type="http://schemas.openxmlformats.org/officeDocument/2006/relationships/image" /><Relationship Target="embeddings/oleObject0.bin" Id="docRId0" Type="http://schemas.openxmlformats.org/officeDocument/2006/relationships/oleObject" /><Relationship TargetMode="External" Target="https://notesmatic.com/vrio-analysis-of-sony/" Id="docRId12" Type="http://schemas.openxmlformats.org/officeDocument/2006/relationships/hyperlink" /><Relationship Target="embeddings/oleObject6.bin" Id="docRId16" Type="http://schemas.openxmlformats.org/officeDocument/2006/relationships/oleObject" /><Relationship Target="embeddings/oleObject2.bin" Id="docRId4" Type="http://schemas.openxmlformats.org/officeDocument/2006/relationships/oleObject" /><Relationship Target="embeddings/oleObject4.bin" Id="docRId8" Type="http://schemas.openxmlformats.org/officeDocument/2006/relationships/oleObject" /><Relationship Target="embeddings/oleObject5.bin" Id="docRId13" Type="http://schemas.openxmlformats.org/officeDocument/2006/relationships/oleObject" /><Relationship Target="styles.xml" Id="docRId20" Type="http://schemas.openxmlformats.org/officeDocument/2006/relationships/styles" /><Relationship Target="media/image1.wmf" Id="docRId3" Type="http://schemas.openxmlformats.org/officeDocument/2006/relationships/image" /><Relationship TargetMode="External" Target="https://www.sony.com/en/SonyInfo/News/Press/202105/20-042E/" Id="docRId10" Type="http://schemas.openxmlformats.org/officeDocument/2006/relationships/hyperlink" /><Relationship TargetMode="External" Target="https://www.statista.com/chart/2357/sony-is-king-of-the-videogame-mountain-again/" Id="docRId18" Type="http://schemas.openxmlformats.org/officeDocument/2006/relationships/hyperlink" /><Relationship Target="embeddings/oleObject1.bin" Id="docRId2" Type="http://schemas.openxmlformats.org/officeDocument/2006/relationships/oleObject" /></Relationships>
</file>