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BD7AD" w14:textId="41347A85" w:rsidR="000139D3" w:rsidRDefault="00713BAD" w:rsidP="00713BAD">
      <w:pPr>
        <w:pStyle w:val="Title"/>
        <w:rPr>
          <w:rFonts w:ascii="Calibri" w:hAnsi="Calibri" w:cs="Calibri"/>
          <w:b/>
          <w:bCs/>
          <w:i/>
          <w:iCs/>
          <w:color w:val="1F3864" w:themeColor="accent1" w:themeShade="80"/>
        </w:rPr>
      </w:pPr>
      <w:r>
        <w:t xml:space="preserve">     </w:t>
      </w:r>
      <w:r w:rsidRPr="00713BAD">
        <w:rPr>
          <w:rFonts w:ascii="Calibri" w:hAnsi="Calibri" w:cs="Calibri"/>
          <w:b/>
          <w:bCs/>
          <w:i/>
          <w:iCs/>
          <w:color w:val="1F3864" w:themeColor="accent1" w:themeShade="80"/>
        </w:rPr>
        <w:t>Students’ business Pop-up Market</w:t>
      </w:r>
    </w:p>
    <w:p w14:paraId="154D0CD2" w14:textId="0E441ED2" w:rsidR="00713BAD" w:rsidRDefault="00713BAD" w:rsidP="00713BAD">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 xml:space="preserve">                                  From students to students</w:t>
      </w:r>
    </w:p>
    <w:p w14:paraId="665F143C" w14:textId="77777777" w:rsidR="00F83FF0" w:rsidRDefault="00F83FF0" w:rsidP="00713BAD">
      <w:pPr>
        <w:rPr>
          <w:rFonts w:ascii="Calibri" w:hAnsi="Calibri" w:cs="Calibri"/>
          <w:b/>
          <w:bCs/>
          <w:i/>
          <w:iCs/>
          <w:color w:val="2F5496" w:themeColor="accent1" w:themeShade="BF"/>
          <w:sz w:val="32"/>
          <w:szCs w:val="32"/>
        </w:rPr>
      </w:pPr>
    </w:p>
    <w:p w14:paraId="65F51603" w14:textId="4FD24522" w:rsidR="00713EAA" w:rsidRDefault="00F83FF0" w:rsidP="00713BAD">
      <w:pPr>
        <w:rPr>
          <w:rFonts w:ascii="Calibri" w:hAnsi="Calibri" w:cs="Calibri"/>
          <w:b/>
          <w:bCs/>
          <w:i/>
          <w:iCs/>
          <w:color w:val="2F5496" w:themeColor="accent1" w:themeShade="BF"/>
          <w:sz w:val="32"/>
          <w:szCs w:val="32"/>
        </w:rPr>
      </w:pPr>
      <w:r>
        <w:rPr>
          <w:rFonts w:ascii="Calibri" w:hAnsi="Calibri" w:cs="Calibri"/>
          <w:b/>
          <w:bCs/>
          <w:i/>
          <w:iCs/>
          <w:color w:val="2F5496" w:themeColor="accent1" w:themeShade="BF"/>
          <w:sz w:val="32"/>
          <w:szCs w:val="32"/>
        </w:rPr>
        <w:t xml:space="preserve">                                            </w:t>
      </w:r>
      <w:r w:rsidR="00713EAA">
        <w:rPr>
          <w:rFonts w:ascii="Calibri" w:hAnsi="Calibri" w:cs="Calibri"/>
          <w:b/>
          <w:bCs/>
          <w:i/>
          <w:iCs/>
          <w:color w:val="2F5496" w:themeColor="accent1" w:themeShade="BF"/>
          <w:sz w:val="32"/>
          <w:szCs w:val="32"/>
        </w:rPr>
        <w:t>Alexandra Zara</w:t>
      </w:r>
    </w:p>
    <w:p w14:paraId="7C8460F0" w14:textId="4B5F2263" w:rsidR="00F83FF0" w:rsidRDefault="00F83FF0" w:rsidP="00713BAD">
      <w:pPr>
        <w:rPr>
          <w:rFonts w:ascii="Calibri" w:hAnsi="Calibri" w:cs="Calibri"/>
          <w:b/>
          <w:bCs/>
          <w:i/>
          <w:iCs/>
          <w:color w:val="2F5496" w:themeColor="accent1" w:themeShade="BF"/>
          <w:sz w:val="32"/>
          <w:szCs w:val="32"/>
        </w:rPr>
      </w:pPr>
      <w:r>
        <w:rPr>
          <w:rFonts w:ascii="Calibri" w:hAnsi="Calibri" w:cs="Calibri"/>
          <w:b/>
          <w:bCs/>
          <w:i/>
          <w:iCs/>
          <w:color w:val="2F5496" w:themeColor="accent1" w:themeShade="BF"/>
          <w:sz w:val="32"/>
          <w:szCs w:val="32"/>
        </w:rPr>
        <w:t xml:space="preserve">                                       Student no: 2329733</w:t>
      </w:r>
    </w:p>
    <w:p w14:paraId="56296262" w14:textId="0CB0313B" w:rsidR="00713EAA" w:rsidRDefault="00713EAA" w:rsidP="00713BAD">
      <w:pPr>
        <w:rPr>
          <w:rFonts w:ascii="Calibri" w:hAnsi="Calibri" w:cs="Calibri"/>
          <w:b/>
          <w:bCs/>
          <w:i/>
          <w:iCs/>
          <w:color w:val="2F5496" w:themeColor="accent1" w:themeShade="BF"/>
          <w:sz w:val="32"/>
          <w:szCs w:val="32"/>
        </w:rPr>
      </w:pPr>
    </w:p>
    <w:p w14:paraId="4F2CB822"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Project overview, group formation and project idea</w:t>
      </w:r>
    </w:p>
    <w:p w14:paraId="01A0DFD9"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blog 1</w:t>
      </w:r>
    </w:p>
    <w:p w14:paraId="57C00FE5" w14:textId="77777777" w:rsidR="00713EAA" w:rsidRPr="00713EAA" w:rsidRDefault="00713EAA" w:rsidP="00713EAA">
      <w:pPr>
        <w:rPr>
          <w:rFonts w:cstheme="minorHAnsi"/>
          <w:sz w:val="24"/>
          <w:szCs w:val="24"/>
        </w:rPr>
      </w:pPr>
      <w:r w:rsidRPr="00713EAA">
        <w:rPr>
          <w:rFonts w:cstheme="minorHAnsi"/>
          <w:sz w:val="24"/>
          <w:szCs w:val="24"/>
        </w:rPr>
        <w:t>The Students Business Pop-Up Market is an exciting initiative created by students, for students. Developed by Alexandra Zara, Mari, Eva, Cristina, and Catalina, this project aims to provide students with a supportive environment where they can develop valuable business, communication, and entrepreneurial skills through real-world experience.</w:t>
      </w:r>
    </w:p>
    <w:p w14:paraId="7E2E98C8" w14:textId="77777777" w:rsidR="00713EAA" w:rsidRPr="00713EAA" w:rsidRDefault="00713EAA" w:rsidP="00713EAA">
      <w:pPr>
        <w:rPr>
          <w:rFonts w:cstheme="minorHAnsi"/>
          <w:sz w:val="24"/>
          <w:szCs w:val="24"/>
        </w:rPr>
      </w:pPr>
      <w:r w:rsidRPr="00713EAA">
        <w:rPr>
          <w:rFonts w:cstheme="minorHAnsi"/>
          <w:sz w:val="24"/>
          <w:szCs w:val="24"/>
        </w:rPr>
        <w:t>The idea emerged from observing that many students struggle with confidence when interacting with new people and often lack opportunities to gain practical business experience. At the same time, many students have creative business ideas, products, or services but need a safe and accessible platform to test them. The Business Pop-Up Market addresses these challenges by creating a space where students can showcase their ideas, engage with customers, and learn from direct market feedback.</w:t>
      </w:r>
    </w:p>
    <w:p w14:paraId="5CA833A1" w14:textId="77777777" w:rsidR="00713EAA" w:rsidRPr="00713EAA" w:rsidRDefault="00713EAA" w:rsidP="00713EAA">
      <w:pPr>
        <w:rPr>
          <w:rFonts w:cstheme="minorHAnsi"/>
          <w:sz w:val="24"/>
          <w:szCs w:val="24"/>
        </w:rPr>
      </w:pPr>
      <w:r w:rsidRPr="00713EAA">
        <w:rPr>
          <w:rFonts w:cstheme="minorHAnsi"/>
          <w:sz w:val="24"/>
          <w:szCs w:val="24"/>
        </w:rPr>
        <w:t>This project offers numerous benefits, including improving communication and customer service skills, building confidence, developing teamwork and leadership abilities, and gaining hands-on experience in entrepreneurship. It also allows students to network with peers, local businesses, and members of the wider community.</w:t>
      </w:r>
    </w:p>
    <w:p w14:paraId="3BD194CF" w14:textId="6847A268" w:rsidR="00713EAA" w:rsidRDefault="00713EAA" w:rsidP="00713EAA">
      <w:pPr>
        <w:rPr>
          <w:rFonts w:cstheme="minorHAnsi"/>
          <w:sz w:val="24"/>
          <w:szCs w:val="24"/>
        </w:rPr>
      </w:pPr>
      <w:r w:rsidRPr="00713EAA">
        <w:rPr>
          <w:rFonts w:cstheme="minorHAnsi"/>
          <w:sz w:val="24"/>
          <w:szCs w:val="24"/>
        </w:rPr>
        <w:t>Supported by the university, the event promotes innovation, employability, and practical learning opportunities. Through this initiative, students can transform ideas into action, gain professional experience, and prepare for future careers while contributing to a vibrant and collaborative student community.</w:t>
      </w:r>
    </w:p>
    <w:p w14:paraId="1F2E5C94" w14:textId="50A269B7" w:rsidR="00713EAA" w:rsidRDefault="00713EAA" w:rsidP="00713EAA">
      <w:pPr>
        <w:rPr>
          <w:rFonts w:cstheme="minorHAnsi"/>
          <w:sz w:val="24"/>
          <w:szCs w:val="24"/>
        </w:rPr>
      </w:pPr>
    </w:p>
    <w:p w14:paraId="01BE640E" w14:textId="00112702" w:rsidR="00713EAA" w:rsidRDefault="00713EAA" w:rsidP="00713EAA">
      <w:pPr>
        <w:rPr>
          <w:rFonts w:cstheme="minorHAnsi"/>
          <w:sz w:val="24"/>
          <w:szCs w:val="24"/>
        </w:rPr>
      </w:pPr>
    </w:p>
    <w:p w14:paraId="2D123ADE" w14:textId="2F691788" w:rsidR="00713EAA" w:rsidRDefault="00713EAA" w:rsidP="00713EAA">
      <w:pPr>
        <w:rPr>
          <w:rFonts w:cstheme="minorHAnsi"/>
          <w:sz w:val="24"/>
          <w:szCs w:val="24"/>
        </w:rPr>
      </w:pPr>
    </w:p>
    <w:p w14:paraId="6DB890CF" w14:textId="5C9859EF" w:rsidR="00713EAA" w:rsidRDefault="00713EAA" w:rsidP="00713EAA">
      <w:pPr>
        <w:rPr>
          <w:rFonts w:cstheme="minorHAnsi"/>
          <w:sz w:val="24"/>
          <w:szCs w:val="24"/>
        </w:rPr>
      </w:pPr>
    </w:p>
    <w:p w14:paraId="5BBF0A4D" w14:textId="4AFB1C11" w:rsidR="00713EAA" w:rsidRDefault="00713EAA" w:rsidP="00713EAA">
      <w:pPr>
        <w:rPr>
          <w:rFonts w:cstheme="minorHAnsi"/>
          <w:sz w:val="24"/>
          <w:szCs w:val="24"/>
        </w:rPr>
      </w:pPr>
    </w:p>
    <w:p w14:paraId="1E7087D4" w14:textId="5E1786B6" w:rsidR="00713EAA" w:rsidRDefault="00713EAA" w:rsidP="00713EAA">
      <w:pPr>
        <w:rPr>
          <w:rFonts w:cstheme="minorHAnsi"/>
          <w:sz w:val="24"/>
          <w:szCs w:val="24"/>
        </w:rPr>
      </w:pPr>
    </w:p>
    <w:p w14:paraId="4797E4E2" w14:textId="29349A1B" w:rsidR="00713EAA" w:rsidRDefault="00713EAA" w:rsidP="00713EAA">
      <w:pPr>
        <w:rPr>
          <w:rFonts w:cstheme="minorHAnsi"/>
          <w:sz w:val="24"/>
          <w:szCs w:val="24"/>
        </w:rPr>
      </w:pPr>
    </w:p>
    <w:p w14:paraId="6208B5C7" w14:textId="77777777" w:rsidR="00713EAA" w:rsidRPr="00713EAA" w:rsidRDefault="00713EAA" w:rsidP="00713EAA">
      <w:pPr>
        <w:rPr>
          <w:rFonts w:cstheme="minorHAnsi"/>
          <w:sz w:val="24"/>
          <w:szCs w:val="24"/>
        </w:rPr>
      </w:pPr>
    </w:p>
    <w:p w14:paraId="68FE8716"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Project Initiation, Scope, Aim &amp; Objectives, and Iron Triangle</w:t>
      </w:r>
    </w:p>
    <w:p w14:paraId="07914238"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Blog 2</w:t>
      </w:r>
    </w:p>
    <w:p w14:paraId="1DC528DC" w14:textId="77777777" w:rsidR="00713EAA" w:rsidRPr="00713EAA" w:rsidRDefault="00713EAA" w:rsidP="00713EAA">
      <w:pPr>
        <w:rPr>
          <w:rFonts w:cstheme="minorHAnsi"/>
          <w:sz w:val="24"/>
          <w:szCs w:val="24"/>
        </w:rPr>
      </w:pPr>
      <w:r w:rsidRPr="00713EAA">
        <w:rPr>
          <w:rFonts w:cstheme="minorHAnsi"/>
          <w:sz w:val="24"/>
          <w:szCs w:val="24"/>
        </w:rPr>
        <w:t>The project involves organising a small local pop-up market that provides students with practical business experience while supporting independent traders. Project initiation begins by identifying the opportunity, assessing feasibility, securing approval, assigning roles, and creating a launch plan. Key outputs include a project brief, stakeholder list, risk log, and approval to proceed.</w:t>
      </w:r>
    </w:p>
    <w:p w14:paraId="2FBD314D" w14:textId="77777777" w:rsidR="00713EAA" w:rsidRPr="00713EAA" w:rsidRDefault="00713EAA" w:rsidP="00713EAA">
      <w:pPr>
        <w:rPr>
          <w:rFonts w:cstheme="minorHAnsi"/>
          <w:sz w:val="24"/>
          <w:szCs w:val="24"/>
        </w:rPr>
      </w:pPr>
      <w:r w:rsidRPr="00713EAA">
        <w:rPr>
          <w:rFonts w:cstheme="minorHAnsi"/>
          <w:sz w:val="24"/>
          <w:szCs w:val="24"/>
        </w:rPr>
        <w:t>Project Scope: The project includes venue booking, vendor recruitment, event promotion, and health and safety management. It is limited to a one-day local market with approximately 15–25 stalls and a fixed budget. Activities such as long-term retail leasing, large-scale festival production, permanent staff recruitment, and ongoing stock management are excluded.</w:t>
      </w:r>
    </w:p>
    <w:p w14:paraId="0819255A" w14:textId="77777777" w:rsidR="00713EAA" w:rsidRPr="00713EAA" w:rsidRDefault="00713EAA" w:rsidP="00713EAA">
      <w:pPr>
        <w:rPr>
          <w:rFonts w:cstheme="minorHAnsi"/>
          <w:sz w:val="24"/>
          <w:szCs w:val="24"/>
        </w:rPr>
      </w:pPr>
      <w:r w:rsidRPr="00713EAA">
        <w:rPr>
          <w:rFonts w:cstheme="minorHAnsi"/>
          <w:sz w:val="24"/>
          <w:szCs w:val="24"/>
        </w:rPr>
        <w:t>Aim: To provide students with hands-on business experience that develops entrepreneurial skills through planning and delivering a successful pop-up market.</w:t>
      </w:r>
    </w:p>
    <w:p w14:paraId="47BAA105" w14:textId="77777777" w:rsidR="00713EAA" w:rsidRPr="00713EAA" w:rsidRDefault="00713EAA" w:rsidP="00713EAA">
      <w:pPr>
        <w:rPr>
          <w:rFonts w:cstheme="minorHAnsi"/>
          <w:sz w:val="24"/>
          <w:szCs w:val="24"/>
        </w:rPr>
      </w:pPr>
      <w:r w:rsidRPr="00713EAA">
        <w:rPr>
          <w:rFonts w:cstheme="minorHAnsi"/>
          <w:sz w:val="24"/>
          <w:szCs w:val="24"/>
        </w:rPr>
        <w:t>Objectives: Secure the venue and required permissions by the agreed deadline. Recruit a balanced range of vendors, including food, craft, fashion, and services.</w:t>
      </w:r>
    </w:p>
    <w:p w14:paraId="5E5D5FED" w14:textId="03328770" w:rsidR="00713EAA" w:rsidRDefault="00713EAA" w:rsidP="00713EAA">
      <w:pPr>
        <w:rPr>
          <w:rFonts w:cstheme="minorHAnsi"/>
          <w:sz w:val="24"/>
          <w:szCs w:val="24"/>
        </w:rPr>
      </w:pPr>
      <w:r w:rsidRPr="00713EAA">
        <w:rPr>
          <w:rFonts w:cstheme="minorHAnsi"/>
          <w:sz w:val="24"/>
          <w:szCs w:val="24"/>
        </w:rPr>
        <w:t>Promote the event through social media, posters, and partner networks. Deliver a safe and well-organised event with effective setup and pack-down procedures. Iron Triangle: Success depends on balancing scope, time, and cost. Maintaining a focused scope, realistic schedule, and controlled budget ensures the project remains achievable and delivers value. Iron Triangle based on Atkinson (1999) and APM (2018).</w:t>
      </w:r>
    </w:p>
    <w:p w14:paraId="448275A1" w14:textId="5BE78631" w:rsidR="00713EAA" w:rsidRDefault="00713EAA" w:rsidP="00713EAA">
      <w:pPr>
        <w:rPr>
          <w:rFonts w:cstheme="minorHAnsi"/>
          <w:sz w:val="24"/>
          <w:szCs w:val="24"/>
        </w:rPr>
      </w:pPr>
    </w:p>
    <w:p w14:paraId="5C13FB70" w14:textId="05A1D846" w:rsidR="00713EAA" w:rsidRDefault="00713EAA" w:rsidP="00713EAA">
      <w:pPr>
        <w:rPr>
          <w:rFonts w:cstheme="minorHAnsi"/>
          <w:sz w:val="24"/>
          <w:szCs w:val="24"/>
        </w:rPr>
      </w:pPr>
    </w:p>
    <w:p w14:paraId="2CF2AE14" w14:textId="750CF507" w:rsidR="00713EAA" w:rsidRDefault="00713EAA" w:rsidP="00713EAA">
      <w:pPr>
        <w:rPr>
          <w:rFonts w:cstheme="minorHAnsi"/>
          <w:sz w:val="24"/>
          <w:szCs w:val="24"/>
        </w:rPr>
      </w:pPr>
    </w:p>
    <w:p w14:paraId="0D20FD7D" w14:textId="45A96646" w:rsidR="00713EAA" w:rsidRDefault="00713EAA" w:rsidP="00713EAA">
      <w:pPr>
        <w:rPr>
          <w:rFonts w:cstheme="minorHAnsi"/>
          <w:sz w:val="24"/>
          <w:szCs w:val="24"/>
        </w:rPr>
      </w:pPr>
    </w:p>
    <w:p w14:paraId="0EC5584F" w14:textId="43D9901D" w:rsidR="00713EAA" w:rsidRDefault="00713EAA" w:rsidP="00713EAA">
      <w:pPr>
        <w:rPr>
          <w:rFonts w:cstheme="minorHAnsi"/>
          <w:sz w:val="24"/>
          <w:szCs w:val="24"/>
        </w:rPr>
      </w:pPr>
    </w:p>
    <w:p w14:paraId="0C7A71F8" w14:textId="5072EADE" w:rsidR="00713EAA" w:rsidRDefault="00713EAA" w:rsidP="00713EAA">
      <w:pPr>
        <w:rPr>
          <w:rFonts w:cstheme="minorHAnsi"/>
          <w:sz w:val="24"/>
          <w:szCs w:val="24"/>
        </w:rPr>
      </w:pPr>
    </w:p>
    <w:p w14:paraId="63A93431" w14:textId="6D442B11" w:rsidR="00713EAA" w:rsidRDefault="00713EAA" w:rsidP="00713EAA">
      <w:pPr>
        <w:rPr>
          <w:rFonts w:cstheme="minorHAnsi"/>
          <w:sz w:val="24"/>
          <w:szCs w:val="24"/>
        </w:rPr>
      </w:pPr>
    </w:p>
    <w:p w14:paraId="6B352143" w14:textId="7049EB5E" w:rsidR="00713EAA" w:rsidRDefault="00713EAA" w:rsidP="00713EAA">
      <w:pPr>
        <w:rPr>
          <w:rFonts w:cstheme="minorHAnsi"/>
          <w:sz w:val="24"/>
          <w:szCs w:val="24"/>
        </w:rPr>
      </w:pPr>
    </w:p>
    <w:p w14:paraId="5ED761DE" w14:textId="07D27112" w:rsidR="00713EAA" w:rsidRDefault="00713EAA" w:rsidP="00713EAA">
      <w:pPr>
        <w:rPr>
          <w:rFonts w:cstheme="minorHAnsi"/>
          <w:sz w:val="24"/>
          <w:szCs w:val="24"/>
        </w:rPr>
      </w:pPr>
    </w:p>
    <w:p w14:paraId="2F4876D6" w14:textId="0A03CB88" w:rsidR="00713EAA" w:rsidRDefault="00713EAA" w:rsidP="00713EAA">
      <w:pPr>
        <w:rPr>
          <w:rFonts w:cstheme="minorHAnsi"/>
          <w:sz w:val="24"/>
          <w:szCs w:val="24"/>
        </w:rPr>
      </w:pPr>
    </w:p>
    <w:p w14:paraId="4EA3E770" w14:textId="77777777" w:rsidR="00713EAA" w:rsidRDefault="00713EAA" w:rsidP="00713EAA">
      <w:pPr>
        <w:rPr>
          <w:rFonts w:cstheme="minorHAnsi"/>
          <w:sz w:val="24"/>
          <w:szCs w:val="24"/>
        </w:rPr>
      </w:pPr>
    </w:p>
    <w:p w14:paraId="16470483"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Stakeholder Analysis and Communication Plan – Student Business Pop-Up Market</w:t>
      </w:r>
    </w:p>
    <w:p w14:paraId="3D84C7F2" w14:textId="22045054" w:rsid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Blog 3</w:t>
      </w:r>
    </w:p>
    <w:p w14:paraId="5279D960" w14:textId="77777777" w:rsidR="00713EAA" w:rsidRPr="00713EAA" w:rsidRDefault="00713EAA" w:rsidP="00713EAA">
      <w:pPr>
        <w:rPr>
          <w:rFonts w:cstheme="minorHAnsi"/>
          <w:sz w:val="24"/>
          <w:szCs w:val="24"/>
        </w:rPr>
      </w:pPr>
      <w:r w:rsidRPr="00713EAA">
        <w:rPr>
          <w:rFonts w:cstheme="minorHAnsi"/>
          <w:sz w:val="24"/>
          <w:szCs w:val="24"/>
        </w:rPr>
        <w:t xml:space="preserve">Stakeholders are individuals or groups who can affect or are affected by the success of the student business pop-up market (Clegg, </w:t>
      </w:r>
      <w:proofErr w:type="spellStart"/>
      <w:r w:rsidRPr="00713EAA">
        <w:rPr>
          <w:rFonts w:cstheme="minorHAnsi"/>
          <w:sz w:val="24"/>
          <w:szCs w:val="24"/>
        </w:rPr>
        <w:t>Skyttermoen</w:t>
      </w:r>
      <w:proofErr w:type="spellEnd"/>
      <w:r w:rsidRPr="00713EAA">
        <w:rPr>
          <w:rFonts w:cstheme="minorHAnsi"/>
          <w:sz w:val="24"/>
          <w:szCs w:val="24"/>
        </w:rPr>
        <w:t xml:space="preserve"> &amp; </w:t>
      </w:r>
      <w:proofErr w:type="spellStart"/>
      <w:r w:rsidRPr="00713EAA">
        <w:rPr>
          <w:rFonts w:cstheme="minorHAnsi"/>
          <w:sz w:val="24"/>
          <w:szCs w:val="24"/>
        </w:rPr>
        <w:t>Vaagaasar</w:t>
      </w:r>
      <w:proofErr w:type="spellEnd"/>
      <w:r w:rsidRPr="00713EAA">
        <w:rPr>
          <w:rFonts w:cstheme="minorHAnsi"/>
          <w:sz w:val="24"/>
          <w:szCs w:val="24"/>
        </w:rPr>
        <w:t>, 2021). Key stakeholders include students, project team, university support team, academic staff, local council, sponsors, volunteers, community members, family and friends, social media, local media, and local employers.</w:t>
      </w:r>
    </w:p>
    <w:p w14:paraId="279526FF" w14:textId="77777777" w:rsidR="00713EAA" w:rsidRPr="00713EAA" w:rsidRDefault="00713EAA" w:rsidP="00713EAA">
      <w:pPr>
        <w:rPr>
          <w:rFonts w:cstheme="minorHAnsi"/>
          <w:sz w:val="24"/>
          <w:szCs w:val="24"/>
        </w:rPr>
      </w:pPr>
      <w:r w:rsidRPr="00713EAA">
        <w:rPr>
          <w:rFonts w:cstheme="minorHAnsi"/>
          <w:sz w:val="24"/>
          <w:szCs w:val="24"/>
        </w:rPr>
        <w:t xml:space="preserve">Using a power-interest grid, stakeholders are classified as follows: </w:t>
      </w:r>
      <w:r w:rsidRPr="00713EAA">
        <w:rPr>
          <w:rFonts w:cstheme="minorHAnsi"/>
          <w:b/>
          <w:bCs/>
          <w:sz w:val="24"/>
          <w:szCs w:val="24"/>
        </w:rPr>
        <w:t>Manage Closely</w:t>
      </w:r>
      <w:r w:rsidRPr="00713EAA">
        <w:rPr>
          <w:rFonts w:cstheme="minorHAnsi"/>
          <w:sz w:val="24"/>
          <w:szCs w:val="24"/>
        </w:rPr>
        <w:t xml:space="preserve"> – Project Team and Sponsors (high power, high interest); </w:t>
      </w:r>
      <w:r w:rsidRPr="00713EAA">
        <w:rPr>
          <w:rFonts w:cstheme="minorHAnsi"/>
          <w:b/>
          <w:bCs/>
          <w:sz w:val="24"/>
          <w:szCs w:val="24"/>
        </w:rPr>
        <w:t>Keep Satisfied</w:t>
      </w:r>
      <w:r w:rsidRPr="00713EAA">
        <w:rPr>
          <w:rFonts w:cstheme="minorHAnsi"/>
          <w:sz w:val="24"/>
          <w:szCs w:val="24"/>
        </w:rPr>
        <w:t xml:space="preserve"> – Local Council, </w:t>
      </w:r>
      <w:proofErr w:type="gramStart"/>
      <w:r w:rsidRPr="00713EAA">
        <w:rPr>
          <w:rFonts w:cstheme="minorHAnsi"/>
          <w:sz w:val="24"/>
          <w:szCs w:val="24"/>
        </w:rPr>
        <w:t>Social Media</w:t>
      </w:r>
      <w:proofErr w:type="gramEnd"/>
      <w:r w:rsidRPr="00713EAA">
        <w:rPr>
          <w:rFonts w:cstheme="minorHAnsi"/>
          <w:sz w:val="24"/>
          <w:szCs w:val="24"/>
        </w:rPr>
        <w:t xml:space="preserve">, and Local Media (high power, low interest); </w:t>
      </w:r>
      <w:r w:rsidRPr="00713EAA">
        <w:rPr>
          <w:rFonts w:cstheme="minorHAnsi"/>
          <w:b/>
          <w:bCs/>
          <w:sz w:val="24"/>
          <w:szCs w:val="24"/>
        </w:rPr>
        <w:t>Keep Informed</w:t>
      </w:r>
      <w:r w:rsidRPr="00713EAA">
        <w:rPr>
          <w:rFonts w:cstheme="minorHAnsi"/>
          <w:sz w:val="24"/>
          <w:szCs w:val="24"/>
        </w:rPr>
        <w:t xml:space="preserve"> – Students (low power, high interest); </w:t>
      </w:r>
      <w:r w:rsidRPr="00713EAA">
        <w:rPr>
          <w:rFonts w:cstheme="minorHAnsi"/>
          <w:b/>
          <w:bCs/>
          <w:sz w:val="24"/>
          <w:szCs w:val="24"/>
        </w:rPr>
        <w:t>Monitor</w:t>
      </w:r>
      <w:r w:rsidRPr="00713EAA">
        <w:rPr>
          <w:rFonts w:cstheme="minorHAnsi"/>
          <w:sz w:val="24"/>
          <w:szCs w:val="24"/>
        </w:rPr>
        <w:t xml:space="preserve"> – University Support Team, Academic Staff, Community, Family and Friends, Volunteers, and Local Employers (low power, low interest).</w:t>
      </w:r>
    </w:p>
    <w:p w14:paraId="2005C66D" w14:textId="00F29506" w:rsidR="00713EAA" w:rsidRDefault="00713EAA" w:rsidP="00713EAA">
      <w:pPr>
        <w:rPr>
          <w:rFonts w:cstheme="minorHAnsi"/>
          <w:sz w:val="24"/>
          <w:szCs w:val="24"/>
        </w:rPr>
      </w:pPr>
      <w:r w:rsidRPr="00713EAA">
        <w:rPr>
          <w:rFonts w:cstheme="minorHAnsi"/>
          <w:sz w:val="24"/>
          <w:szCs w:val="24"/>
        </w:rPr>
        <w:t>Effective communication is essential for stakeholder engagement and project success. Students require event details, schedules, and stall information through social media, emails, posters, and flyers before the event. The project team and sponsors need regular updates on tasks, budgets, and progress through meetings, calls, emails, and group chats. The local council and university support team require information on approvals, venue arrangements, and resources through formal meetings and emails. Academic staff, volunteers, local employers, media, community members, and family should receive event updates and promotional information through emails, meetings, and social media. Regular and transparent communication ensures stakeholder support and successful event delivery.</w:t>
      </w:r>
    </w:p>
    <w:p w14:paraId="754BB8C7" w14:textId="74FCB3EF" w:rsidR="00713EAA" w:rsidRDefault="00713EAA" w:rsidP="00713EAA">
      <w:pPr>
        <w:rPr>
          <w:rFonts w:cstheme="minorHAnsi"/>
          <w:sz w:val="24"/>
          <w:szCs w:val="24"/>
        </w:rPr>
      </w:pPr>
    </w:p>
    <w:p w14:paraId="1D8FD721" w14:textId="323CD7D8" w:rsidR="00713EAA" w:rsidRDefault="00713EAA" w:rsidP="00713EAA">
      <w:pPr>
        <w:rPr>
          <w:rFonts w:cstheme="minorHAnsi"/>
          <w:sz w:val="24"/>
          <w:szCs w:val="24"/>
        </w:rPr>
      </w:pPr>
    </w:p>
    <w:p w14:paraId="63313E8D" w14:textId="73399331" w:rsidR="00713EAA" w:rsidRDefault="00713EAA" w:rsidP="00713EAA">
      <w:pPr>
        <w:rPr>
          <w:rFonts w:cstheme="minorHAnsi"/>
          <w:sz w:val="24"/>
          <w:szCs w:val="24"/>
        </w:rPr>
      </w:pPr>
    </w:p>
    <w:p w14:paraId="02D0B531" w14:textId="1BC3CBFB" w:rsidR="00713EAA" w:rsidRDefault="00713EAA" w:rsidP="00713EAA">
      <w:pPr>
        <w:rPr>
          <w:rFonts w:cstheme="minorHAnsi"/>
          <w:sz w:val="24"/>
          <w:szCs w:val="24"/>
        </w:rPr>
      </w:pPr>
    </w:p>
    <w:p w14:paraId="417511FC" w14:textId="433FCB0F" w:rsidR="00713EAA" w:rsidRDefault="00713EAA" w:rsidP="00713EAA">
      <w:pPr>
        <w:rPr>
          <w:rFonts w:cstheme="minorHAnsi"/>
          <w:sz w:val="24"/>
          <w:szCs w:val="24"/>
        </w:rPr>
      </w:pPr>
    </w:p>
    <w:p w14:paraId="015DE87A" w14:textId="0AAC44A0" w:rsidR="00713EAA" w:rsidRDefault="00713EAA" w:rsidP="00713EAA">
      <w:pPr>
        <w:rPr>
          <w:rFonts w:cstheme="minorHAnsi"/>
          <w:sz w:val="24"/>
          <w:szCs w:val="24"/>
        </w:rPr>
      </w:pPr>
    </w:p>
    <w:p w14:paraId="0DD1595D" w14:textId="335DFC58" w:rsidR="00713EAA" w:rsidRDefault="00713EAA" w:rsidP="00713EAA">
      <w:pPr>
        <w:rPr>
          <w:rFonts w:cstheme="minorHAnsi"/>
          <w:sz w:val="24"/>
          <w:szCs w:val="24"/>
        </w:rPr>
      </w:pPr>
    </w:p>
    <w:p w14:paraId="37A69CF7" w14:textId="0DE07B86" w:rsidR="00713EAA" w:rsidRDefault="00713EAA" w:rsidP="00713EAA">
      <w:pPr>
        <w:rPr>
          <w:rFonts w:cstheme="minorHAnsi"/>
          <w:sz w:val="24"/>
          <w:szCs w:val="24"/>
        </w:rPr>
      </w:pPr>
    </w:p>
    <w:p w14:paraId="77EF7FEB" w14:textId="3A0B5C13" w:rsidR="00713EAA" w:rsidRDefault="00713EAA" w:rsidP="00713EAA">
      <w:pPr>
        <w:rPr>
          <w:rFonts w:cstheme="minorHAnsi"/>
          <w:sz w:val="24"/>
          <w:szCs w:val="24"/>
        </w:rPr>
      </w:pPr>
    </w:p>
    <w:p w14:paraId="60D80890" w14:textId="5ACD56F9" w:rsidR="00713EAA" w:rsidRDefault="00713EAA" w:rsidP="00713EAA">
      <w:pPr>
        <w:rPr>
          <w:rFonts w:cstheme="minorHAnsi"/>
          <w:sz w:val="24"/>
          <w:szCs w:val="24"/>
        </w:rPr>
      </w:pPr>
    </w:p>
    <w:p w14:paraId="128E866C" w14:textId="00C7894C" w:rsidR="00713EAA" w:rsidRDefault="00713EAA" w:rsidP="00713EAA">
      <w:pPr>
        <w:rPr>
          <w:rFonts w:cstheme="minorHAnsi"/>
          <w:sz w:val="24"/>
          <w:szCs w:val="24"/>
        </w:rPr>
      </w:pPr>
    </w:p>
    <w:p w14:paraId="01EAD499" w14:textId="77777777" w:rsidR="00713EAA" w:rsidRPr="00713EAA" w:rsidRDefault="00713EAA" w:rsidP="00713EAA">
      <w:pPr>
        <w:rPr>
          <w:rFonts w:cstheme="minorHAnsi"/>
          <w:sz w:val="24"/>
          <w:szCs w:val="24"/>
        </w:rPr>
      </w:pPr>
    </w:p>
    <w:p w14:paraId="7878B060"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Students Business Pop-Up Market – WBS and Gantt Chart</w:t>
      </w:r>
    </w:p>
    <w:p w14:paraId="491343B7"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Blog 4</w:t>
      </w:r>
    </w:p>
    <w:p w14:paraId="0D77C717" w14:textId="77777777" w:rsidR="00713EAA" w:rsidRPr="00713EAA" w:rsidRDefault="00713EAA" w:rsidP="00713EAA">
      <w:pPr>
        <w:rPr>
          <w:rFonts w:cstheme="minorHAnsi"/>
          <w:sz w:val="24"/>
          <w:szCs w:val="24"/>
        </w:rPr>
      </w:pPr>
      <w:r w:rsidRPr="00713EAA">
        <w:rPr>
          <w:rFonts w:cstheme="minorHAnsi"/>
          <w:sz w:val="24"/>
          <w:szCs w:val="24"/>
        </w:rPr>
        <w:t>The Work Breakdown Structure (WBS) divided the Students Business Pop-Up Market project into seven key stages: Planning, Stakeholder Management, Venue and Logistics, Marketing, Vendor Registration, Event Delivery, and Post-Event Evaluation. Each stage contained specific tasks and responsibilities. The entire team managed planning activities such as setting objectives, budgets, timelines, and risk assessments. The Project Manager was responsible for stakeholder management, while the Venue Coordinator handled venue approval, layout, equipment, signage, and health and safety arrangements. The Marketing Coordinator developed promotional materials and managed social media campaigns. The Administration Coordinator managed vendor registration, stall allocation, and communication with participants. The whole team supported event delivery, including venue setup, participant registration, and issue resolution. The Evaluation Coordinator collected feedback and prepared the final report.</w:t>
      </w:r>
    </w:p>
    <w:p w14:paraId="471D7F98" w14:textId="28EA9699" w:rsidR="00713EAA" w:rsidRDefault="00713EAA" w:rsidP="00713EAA">
      <w:pPr>
        <w:rPr>
          <w:rFonts w:cstheme="minorHAnsi"/>
          <w:sz w:val="24"/>
          <w:szCs w:val="24"/>
        </w:rPr>
      </w:pPr>
      <w:r w:rsidRPr="00713EAA">
        <w:rPr>
          <w:rFonts w:cstheme="minorHAnsi"/>
          <w:sz w:val="24"/>
          <w:szCs w:val="24"/>
        </w:rPr>
        <w:t>The Gantt Chart scheduled these activities across a 12-week timeline. Planning and venue selection were completed during the early weeks, while marketing, registration, and programme development continued throughout the project. Several activities overlapped to improve efficiency and maintain progress. The chart helped monitor milestones, track task completion, coordinate team responsibilities, and ensure all activities were completed before event day. Together, the WBS and Gantt Chart supported effective project control, communication, and successful delivery of the Pop-Up Market.</w:t>
      </w:r>
    </w:p>
    <w:p w14:paraId="4AA04694" w14:textId="01C088E7" w:rsidR="00713EAA" w:rsidRDefault="00713EAA" w:rsidP="00713EAA">
      <w:pPr>
        <w:rPr>
          <w:rFonts w:cstheme="minorHAnsi"/>
          <w:sz w:val="24"/>
          <w:szCs w:val="24"/>
        </w:rPr>
      </w:pPr>
    </w:p>
    <w:p w14:paraId="5250BBB7" w14:textId="7E3E455A" w:rsidR="00713EAA" w:rsidRDefault="00713EAA" w:rsidP="00713EAA">
      <w:pPr>
        <w:rPr>
          <w:rFonts w:cstheme="minorHAnsi"/>
          <w:sz w:val="24"/>
          <w:szCs w:val="24"/>
        </w:rPr>
      </w:pPr>
    </w:p>
    <w:p w14:paraId="35F797CA" w14:textId="7686F13A" w:rsidR="00713EAA" w:rsidRDefault="00713EAA" w:rsidP="00713EAA">
      <w:pPr>
        <w:rPr>
          <w:rFonts w:cstheme="minorHAnsi"/>
          <w:sz w:val="24"/>
          <w:szCs w:val="24"/>
        </w:rPr>
      </w:pPr>
    </w:p>
    <w:p w14:paraId="31E13DE6" w14:textId="291075E6" w:rsidR="00713EAA" w:rsidRDefault="00713EAA" w:rsidP="00713EAA">
      <w:pPr>
        <w:rPr>
          <w:rFonts w:cstheme="minorHAnsi"/>
          <w:sz w:val="24"/>
          <w:szCs w:val="24"/>
        </w:rPr>
      </w:pPr>
    </w:p>
    <w:p w14:paraId="7787CE1F" w14:textId="2FFB65BC" w:rsidR="00713EAA" w:rsidRDefault="00713EAA" w:rsidP="00713EAA">
      <w:pPr>
        <w:rPr>
          <w:rFonts w:cstheme="minorHAnsi"/>
          <w:sz w:val="24"/>
          <w:szCs w:val="24"/>
        </w:rPr>
      </w:pPr>
    </w:p>
    <w:p w14:paraId="5A7ABB7B" w14:textId="317743E3" w:rsidR="00713EAA" w:rsidRDefault="00713EAA" w:rsidP="00713EAA">
      <w:pPr>
        <w:rPr>
          <w:rFonts w:cstheme="minorHAnsi"/>
          <w:sz w:val="24"/>
          <w:szCs w:val="24"/>
        </w:rPr>
      </w:pPr>
    </w:p>
    <w:p w14:paraId="47742C03" w14:textId="4EC9530B" w:rsidR="00713EAA" w:rsidRDefault="00713EAA" w:rsidP="00713EAA">
      <w:pPr>
        <w:rPr>
          <w:rFonts w:cstheme="minorHAnsi"/>
          <w:sz w:val="24"/>
          <w:szCs w:val="24"/>
        </w:rPr>
      </w:pPr>
    </w:p>
    <w:p w14:paraId="1C83B2AD" w14:textId="036A5CFC" w:rsidR="00713EAA" w:rsidRDefault="00713EAA" w:rsidP="00713EAA">
      <w:pPr>
        <w:rPr>
          <w:rFonts w:cstheme="minorHAnsi"/>
          <w:sz w:val="24"/>
          <w:szCs w:val="24"/>
        </w:rPr>
      </w:pPr>
    </w:p>
    <w:p w14:paraId="227DE3A0" w14:textId="52922DD1" w:rsidR="00713EAA" w:rsidRDefault="00713EAA" w:rsidP="00713EAA">
      <w:pPr>
        <w:rPr>
          <w:rFonts w:cstheme="minorHAnsi"/>
          <w:sz w:val="24"/>
          <w:szCs w:val="24"/>
        </w:rPr>
      </w:pPr>
    </w:p>
    <w:p w14:paraId="4CF489B6" w14:textId="5C53DC57" w:rsidR="00713EAA" w:rsidRDefault="00713EAA" w:rsidP="00713EAA">
      <w:pPr>
        <w:rPr>
          <w:rFonts w:cstheme="minorHAnsi"/>
          <w:sz w:val="24"/>
          <w:szCs w:val="24"/>
        </w:rPr>
      </w:pPr>
    </w:p>
    <w:p w14:paraId="1838CB8D" w14:textId="55E5A0CF" w:rsidR="00713EAA" w:rsidRDefault="00713EAA" w:rsidP="00713EAA">
      <w:pPr>
        <w:rPr>
          <w:rFonts w:cstheme="minorHAnsi"/>
          <w:sz w:val="24"/>
          <w:szCs w:val="24"/>
        </w:rPr>
      </w:pPr>
    </w:p>
    <w:p w14:paraId="65571511" w14:textId="58D00E48" w:rsidR="00713EAA" w:rsidRDefault="00713EAA" w:rsidP="00713EAA">
      <w:pPr>
        <w:rPr>
          <w:rFonts w:cstheme="minorHAnsi"/>
          <w:sz w:val="24"/>
          <w:szCs w:val="24"/>
        </w:rPr>
      </w:pPr>
    </w:p>
    <w:p w14:paraId="40C0C995" w14:textId="77777777" w:rsidR="00713EAA" w:rsidRPr="00713EAA" w:rsidRDefault="00713EAA" w:rsidP="00713EAA">
      <w:pPr>
        <w:rPr>
          <w:rFonts w:cstheme="minorHAnsi"/>
          <w:sz w:val="24"/>
          <w:szCs w:val="24"/>
        </w:rPr>
      </w:pPr>
    </w:p>
    <w:p w14:paraId="60883E55"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Risk Analysis and Group Reflection</w:t>
      </w:r>
    </w:p>
    <w:p w14:paraId="65CC3F68" w14:textId="77777777" w:rsidR="00713EAA" w:rsidRPr="00713EAA" w:rsidRDefault="00713EAA" w:rsidP="00713EAA">
      <w:pPr>
        <w:rPr>
          <w:rFonts w:ascii="Calibri" w:hAnsi="Calibri" w:cs="Calibri"/>
          <w:b/>
          <w:bCs/>
          <w:i/>
          <w:iCs/>
          <w:color w:val="2F5496" w:themeColor="accent1" w:themeShade="BF"/>
          <w:sz w:val="32"/>
          <w:szCs w:val="32"/>
        </w:rPr>
      </w:pPr>
      <w:r w:rsidRPr="00713EAA">
        <w:rPr>
          <w:rFonts w:ascii="Calibri" w:hAnsi="Calibri" w:cs="Calibri"/>
          <w:b/>
          <w:bCs/>
          <w:i/>
          <w:iCs/>
          <w:color w:val="2F5496" w:themeColor="accent1" w:themeShade="BF"/>
          <w:sz w:val="32"/>
          <w:szCs w:val="32"/>
        </w:rPr>
        <w:t>Blog 5</w:t>
      </w:r>
    </w:p>
    <w:p w14:paraId="52D0744D" w14:textId="77777777" w:rsidR="00713EAA" w:rsidRPr="00713EAA" w:rsidRDefault="00713EAA" w:rsidP="00713EAA">
      <w:pPr>
        <w:rPr>
          <w:rFonts w:cstheme="minorHAnsi"/>
          <w:sz w:val="24"/>
          <w:szCs w:val="24"/>
        </w:rPr>
      </w:pPr>
      <w:r w:rsidRPr="00713EAA">
        <w:rPr>
          <w:rFonts w:cstheme="minorHAnsi"/>
          <w:sz w:val="24"/>
          <w:szCs w:val="24"/>
        </w:rPr>
        <w:t>The Cardiff city-centre outdoor event required a structured risk analysis to identify and manage factors that could affect project time, quality, and delivery. A Risk Matrix was used to prioritise risks according to their likelihood and impact. This helped the team focus on the most significant threats, although the matrix has limitations because it simplifies complex situations into only two factors.</w:t>
      </w:r>
    </w:p>
    <w:p w14:paraId="220AA0D7" w14:textId="77777777" w:rsidR="00713EAA" w:rsidRPr="00713EAA" w:rsidRDefault="00713EAA" w:rsidP="00713EAA">
      <w:pPr>
        <w:rPr>
          <w:rFonts w:cstheme="minorHAnsi"/>
          <w:sz w:val="24"/>
          <w:szCs w:val="24"/>
        </w:rPr>
      </w:pPr>
      <w:r w:rsidRPr="00713EAA">
        <w:rPr>
          <w:rFonts w:cstheme="minorHAnsi"/>
          <w:sz w:val="24"/>
          <w:szCs w:val="24"/>
        </w:rPr>
        <w:t>Key risks identified included council permission delays or refusal (high likelihood, high impact), ineffective marketing campaigns (high likelihood, medium impact), insufficient volunteer availability (medium likelihood, medium impact), supplier delays, stallholder cancellations, venue restrictions, and emergency incidents on the event day. Mitigation measures included submitting council applications early, preparing gazebos for bad weather, increasing social media and university promotions, sending reminders to stallholders, conducting health and safety risk assessments, and providing volunteer support to manage crowd congestion.</w:t>
      </w:r>
    </w:p>
    <w:p w14:paraId="0CC91D0B" w14:textId="3F022269" w:rsidR="00713EAA" w:rsidRDefault="00713EAA" w:rsidP="00713EAA">
      <w:pPr>
        <w:rPr>
          <w:rFonts w:ascii="Calibri" w:hAnsi="Calibri" w:cs="Calibri"/>
          <w:sz w:val="24"/>
          <w:szCs w:val="24"/>
        </w:rPr>
      </w:pPr>
      <w:r w:rsidRPr="00713EAA">
        <w:rPr>
          <w:rFonts w:cstheme="minorHAnsi"/>
          <w:sz w:val="24"/>
          <w:szCs w:val="24"/>
        </w:rPr>
        <w:t>The project demonstrated effective teamwork through clear task allocation and the use of project management tools such as the Work Breakdown Structure (WBS) and Gantt Chart. Challenges included the council approval process, managing external dependencies, coordinating stakeholders, and maintaining project timelines. Overall, structured planning supported successful event delivery while developing teamwork, problem-solving, and entrepreneurial skills in a real-</w:t>
      </w:r>
      <w:r w:rsidRPr="00713EAA">
        <w:rPr>
          <w:rFonts w:ascii="Calibri" w:hAnsi="Calibri" w:cs="Calibri"/>
          <w:sz w:val="24"/>
          <w:szCs w:val="24"/>
        </w:rPr>
        <w:t>world project environment.</w:t>
      </w:r>
    </w:p>
    <w:p w14:paraId="4FEEE259" w14:textId="1A6E3FC2" w:rsidR="00713EAA" w:rsidRDefault="00713EAA" w:rsidP="00713EAA">
      <w:pPr>
        <w:rPr>
          <w:rFonts w:ascii="Calibri" w:hAnsi="Calibri" w:cs="Calibri"/>
          <w:sz w:val="24"/>
          <w:szCs w:val="24"/>
        </w:rPr>
      </w:pPr>
    </w:p>
    <w:p w14:paraId="1290BDA3" w14:textId="55C7C69E" w:rsidR="00713EAA" w:rsidRDefault="00713EAA" w:rsidP="00713EAA">
      <w:pPr>
        <w:rPr>
          <w:rFonts w:ascii="Calibri" w:hAnsi="Calibri" w:cs="Calibri"/>
          <w:sz w:val="24"/>
          <w:szCs w:val="24"/>
        </w:rPr>
      </w:pPr>
    </w:p>
    <w:p w14:paraId="6C1B8246" w14:textId="7661A054" w:rsidR="00713EAA" w:rsidRDefault="00713EAA" w:rsidP="00713EAA">
      <w:pPr>
        <w:rPr>
          <w:rFonts w:ascii="Calibri" w:hAnsi="Calibri" w:cs="Calibri"/>
          <w:sz w:val="24"/>
          <w:szCs w:val="24"/>
        </w:rPr>
      </w:pPr>
    </w:p>
    <w:p w14:paraId="1A509BBF" w14:textId="2173B126" w:rsidR="00713EAA" w:rsidRDefault="00713EAA" w:rsidP="00713EAA">
      <w:pPr>
        <w:rPr>
          <w:rFonts w:ascii="Calibri" w:hAnsi="Calibri" w:cs="Calibri"/>
          <w:sz w:val="24"/>
          <w:szCs w:val="24"/>
        </w:rPr>
      </w:pPr>
    </w:p>
    <w:p w14:paraId="6E5FD292" w14:textId="6D1E2E16" w:rsidR="00713EAA" w:rsidRDefault="00713EAA" w:rsidP="00713EAA">
      <w:pPr>
        <w:rPr>
          <w:rFonts w:ascii="Calibri" w:hAnsi="Calibri" w:cs="Calibri"/>
          <w:sz w:val="24"/>
          <w:szCs w:val="24"/>
        </w:rPr>
      </w:pPr>
    </w:p>
    <w:p w14:paraId="39DAF65B" w14:textId="77777777" w:rsidR="00713EAA" w:rsidRPr="00713EAA" w:rsidRDefault="00713EAA" w:rsidP="00713EAA">
      <w:pPr>
        <w:rPr>
          <w:rFonts w:ascii="Calibri" w:hAnsi="Calibri" w:cs="Calibri"/>
          <w:sz w:val="24"/>
          <w:szCs w:val="24"/>
        </w:rPr>
      </w:pPr>
    </w:p>
    <w:p w14:paraId="1A8A7019" w14:textId="367D7086" w:rsidR="00713EAA" w:rsidRDefault="00713EAA" w:rsidP="00713EAA">
      <w:pPr>
        <w:rPr>
          <w:rFonts w:ascii="Calibri" w:hAnsi="Calibri" w:cs="Calibri"/>
          <w:b/>
          <w:bCs/>
          <w:i/>
          <w:iCs/>
          <w:color w:val="2F5496" w:themeColor="accent1" w:themeShade="BF"/>
          <w:sz w:val="32"/>
          <w:szCs w:val="32"/>
        </w:rPr>
      </w:pPr>
      <w:r>
        <w:rPr>
          <w:rFonts w:ascii="Calibri" w:hAnsi="Calibri" w:cs="Calibri"/>
          <w:b/>
          <w:bCs/>
          <w:i/>
          <w:iCs/>
          <w:color w:val="2F5496" w:themeColor="accent1" w:themeShade="BF"/>
          <w:sz w:val="32"/>
          <w:szCs w:val="32"/>
        </w:rPr>
        <w:t>References</w:t>
      </w:r>
    </w:p>
    <w:p w14:paraId="191E0038" w14:textId="77777777" w:rsidR="00713EAA" w:rsidRPr="00713EAA" w:rsidRDefault="00713EAA" w:rsidP="00713EAA">
      <w:r w:rsidRPr="00713EAA">
        <w:t xml:space="preserve">Atkinson, R. (1999) ‘Project management: cost, time and quality, two best guesses and a phenomenon, </w:t>
      </w:r>
      <w:proofErr w:type="spellStart"/>
      <w:r w:rsidRPr="00713EAA">
        <w:t>its</w:t>
      </w:r>
      <w:proofErr w:type="spellEnd"/>
      <w:r w:rsidRPr="00713EAA">
        <w:t xml:space="preserve"> time to accept other success criteria’, International Journal of Project Management, 17(6), pp. 337–342. </w:t>
      </w:r>
      <w:proofErr w:type="spellStart"/>
      <w:r w:rsidRPr="00713EAA">
        <w:t>doi</w:t>
      </w:r>
      <w:proofErr w:type="spellEnd"/>
      <w:r w:rsidRPr="00713EAA">
        <w:t>: 10.1016/S0263-7863(98)00069-6</w:t>
      </w:r>
    </w:p>
    <w:p w14:paraId="2EFB2382" w14:textId="77777777" w:rsidR="00713EAA" w:rsidRPr="00713EAA" w:rsidRDefault="00713EAA" w:rsidP="00713EAA">
      <w:r w:rsidRPr="00713EAA">
        <w:t xml:space="preserve">Clegg, S.R., </w:t>
      </w:r>
      <w:proofErr w:type="spellStart"/>
      <w:r w:rsidRPr="00713EAA">
        <w:t>Skyttermoen</w:t>
      </w:r>
      <w:proofErr w:type="spellEnd"/>
      <w:r w:rsidRPr="00713EAA">
        <w:t xml:space="preserve">, T. and </w:t>
      </w:r>
      <w:proofErr w:type="spellStart"/>
      <w:r w:rsidRPr="00713EAA">
        <w:t>Vaagaasar</w:t>
      </w:r>
      <w:proofErr w:type="spellEnd"/>
      <w:r w:rsidRPr="00713EAA">
        <w:t xml:space="preserve">, A.L. (2021) Project Management. London: SAGE Publications Ltd. Available at: </w:t>
      </w:r>
      <w:hyperlink r:id="rId6" w:history="1">
        <w:r w:rsidRPr="00713EAA">
          <w:rPr>
            <w:color w:val="0563C1" w:themeColor="hyperlink"/>
            <w:u w:val="single"/>
          </w:rPr>
          <w:t>https://doi.org/10.4135/9781036232443</w:t>
        </w:r>
      </w:hyperlink>
    </w:p>
    <w:p w14:paraId="7A9AF4FF" w14:textId="77777777" w:rsidR="00713EAA" w:rsidRPr="00713EAA" w:rsidRDefault="00713EAA" w:rsidP="00713EAA">
      <w:pPr>
        <w:rPr>
          <w:rFonts w:ascii="Calibri" w:hAnsi="Calibri" w:cs="Calibri"/>
          <w:b/>
          <w:bCs/>
          <w:i/>
          <w:iCs/>
          <w:color w:val="2F5496" w:themeColor="accent1" w:themeShade="BF"/>
          <w:sz w:val="32"/>
          <w:szCs w:val="32"/>
        </w:rPr>
      </w:pPr>
    </w:p>
    <w:sectPr w:rsidR="00713EAA" w:rsidRPr="00713E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0BB38" w14:textId="77777777" w:rsidR="00713BAD" w:rsidRDefault="00713BAD" w:rsidP="00713BAD">
      <w:pPr>
        <w:spacing w:after="0" w:line="240" w:lineRule="auto"/>
      </w:pPr>
      <w:r>
        <w:separator/>
      </w:r>
    </w:p>
  </w:endnote>
  <w:endnote w:type="continuationSeparator" w:id="0">
    <w:p w14:paraId="4791F03A" w14:textId="77777777" w:rsidR="00713BAD" w:rsidRDefault="00713BAD" w:rsidP="00713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491F6" w14:textId="77777777" w:rsidR="00713BAD" w:rsidRDefault="00713BAD" w:rsidP="00713BAD">
      <w:pPr>
        <w:spacing w:after="0" w:line="240" w:lineRule="auto"/>
      </w:pPr>
      <w:r>
        <w:separator/>
      </w:r>
    </w:p>
  </w:footnote>
  <w:footnote w:type="continuationSeparator" w:id="0">
    <w:p w14:paraId="282E5F25" w14:textId="77777777" w:rsidR="00713BAD" w:rsidRDefault="00713BAD" w:rsidP="00713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BAD"/>
    <w:rsid w:val="000139D3"/>
    <w:rsid w:val="004606BD"/>
    <w:rsid w:val="00713BAD"/>
    <w:rsid w:val="00713EAA"/>
    <w:rsid w:val="00F83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BCD63"/>
  <w15:chartTrackingRefBased/>
  <w15:docId w15:val="{9914C72F-3E6B-4AAC-9D86-9F3A7512A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BAD"/>
  </w:style>
  <w:style w:type="paragraph" w:styleId="Footer">
    <w:name w:val="footer"/>
    <w:basedOn w:val="Normal"/>
    <w:link w:val="FooterChar"/>
    <w:uiPriority w:val="99"/>
    <w:unhideWhenUsed/>
    <w:rsid w:val="00713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BAD"/>
  </w:style>
  <w:style w:type="paragraph" w:styleId="Title">
    <w:name w:val="Title"/>
    <w:basedOn w:val="Normal"/>
    <w:next w:val="Normal"/>
    <w:link w:val="TitleChar"/>
    <w:uiPriority w:val="10"/>
    <w:qFormat/>
    <w:rsid w:val="00713B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BA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135/9781036232443"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1298</Words>
  <Characters>7402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Zara</dc:creator>
  <cp:keywords/>
  <dc:description/>
  <cp:lastModifiedBy>Alexandra Zara</cp:lastModifiedBy>
  <cp:revision>2</cp:revision>
  <dcterms:created xsi:type="dcterms:W3CDTF">2026-06-17T14:36:00Z</dcterms:created>
  <dcterms:modified xsi:type="dcterms:W3CDTF">2026-06-17T14:36:00Z</dcterms:modified>
</cp:coreProperties>
</file>