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E1AC0" w14:textId="77777777" w:rsidR="008730B8" w:rsidRDefault="0096120D" w:rsidP="000F16A1">
      <w:r w:rsidRPr="0096120D">
        <w:t>Vulnerability in the cont</w:t>
      </w:r>
      <w:r w:rsidR="000F16A1" w:rsidRPr="00524600">
        <w:t>ent</w:t>
      </w:r>
      <w:r w:rsidRPr="0096120D">
        <w:t xml:space="preserve"> of policing refers to the </w:t>
      </w:r>
      <w:r w:rsidRPr="00524600">
        <w:t>likelihood</w:t>
      </w:r>
      <w:r w:rsidRPr="0096120D">
        <w:t xml:space="preserve"> of individuals or groups to harm, exploitation, or negative outcomes due to various social, economic, and environmental factors. </w:t>
      </w:r>
      <w:r w:rsidR="00D91B07" w:rsidRPr="00524600">
        <w:t xml:space="preserve">The college of policing started to </w:t>
      </w:r>
      <w:r w:rsidR="008730B8">
        <w:t>introduce the</w:t>
      </w:r>
      <w:r w:rsidR="00D91B07" w:rsidRPr="00524600">
        <w:t xml:space="preserve"> THRIVE definition </w:t>
      </w:r>
      <w:r w:rsidR="003F6261" w:rsidRPr="00524600">
        <w:t xml:space="preserve">of vulnerability in 2021. </w:t>
      </w:r>
    </w:p>
    <w:p w14:paraId="19AA424D" w14:textId="77777777" w:rsidR="008730B8" w:rsidRDefault="008730B8" w:rsidP="000F16A1"/>
    <w:p w14:paraId="40529FC4" w14:textId="77777777" w:rsidR="008730B8" w:rsidRPr="00524600" w:rsidRDefault="008730B8" w:rsidP="008730B8">
      <w:pPr>
        <w:rPr>
          <w:rFonts w:ascii="Calibri" w:hAnsi="Calibri" w:cs="Calibri"/>
          <w:color w:val="000000" w:themeColor="text1"/>
        </w:rPr>
      </w:pPr>
      <w:r w:rsidRPr="00524600">
        <w:rPr>
          <w:rFonts w:ascii="Calibri" w:hAnsi="Calibri" w:cs="Calibri"/>
          <w:color w:val="000000" w:themeColor="text1"/>
        </w:rPr>
        <w:t>According to the college of policing the definition of an individual being vulnerable is that a person is vulnerable if as the result of their situation or circumstances, they are unable to take care or protect themselves or others from harm and neglect. (College of Policing, 2021)</w:t>
      </w:r>
    </w:p>
    <w:p w14:paraId="5F3122C3" w14:textId="77777777" w:rsidR="008730B8" w:rsidRDefault="008730B8" w:rsidP="000F16A1"/>
    <w:p w14:paraId="4B966165" w14:textId="3CC7FC91" w:rsidR="003B0F1E" w:rsidRDefault="003F6261" w:rsidP="000F16A1">
      <w:r w:rsidRPr="00524600">
        <w:t>It was used to assess certain factors which determine the threat, harm, risk, investigation, vulnerability and engagement.</w:t>
      </w:r>
      <w:r w:rsidR="003B0F1E">
        <w:t xml:space="preserve"> </w:t>
      </w:r>
      <w:r w:rsidR="00B85D69">
        <w:t>By applying THRIVE</w:t>
      </w:r>
      <w:r w:rsidR="008730B8">
        <w:t xml:space="preserve"> it helps policing responders in stages to identify an individual’s vulnerability or vulnerabilities, be able to help understand how these vulnerabilities interact with the situation which create harm or risk of harm, assess the level of harm or risk of harm and allows the police to take the appropriate action if it is required, involving other partners and agencies where they have the resources to help these vulnerable individuals. </w:t>
      </w:r>
      <w:r w:rsidR="003B0F1E" w:rsidRPr="003B0F1E">
        <w:t>(College of Policing,</w:t>
      </w:r>
      <w:r w:rsidR="003B0F1E">
        <w:t xml:space="preserve"> 2021)</w:t>
      </w:r>
    </w:p>
    <w:p w14:paraId="58F88CDD" w14:textId="77777777" w:rsidR="003B0F1E" w:rsidRDefault="003B0F1E" w:rsidP="000F16A1"/>
    <w:p w14:paraId="671DE05E" w14:textId="7B0F75BE" w:rsidR="000F16A1" w:rsidRPr="008730B8" w:rsidRDefault="003F6261" w:rsidP="000F16A1">
      <w:pPr>
        <w:rPr>
          <w:rFonts w:ascii="Calibri" w:hAnsi="Calibri" w:cs="Calibri"/>
          <w:color w:val="000000" w:themeColor="text1"/>
        </w:rPr>
      </w:pPr>
      <w:r w:rsidRPr="00524600">
        <w:t xml:space="preserve"> </w:t>
      </w:r>
      <w:r w:rsidR="000F16A1" w:rsidRPr="00524600">
        <w:rPr>
          <w:rFonts w:ascii="Calibri" w:hAnsi="Calibri" w:cs="Calibri"/>
          <w:color w:val="000000" w:themeColor="text1"/>
        </w:rPr>
        <w:t>Those acknowledged as vulnerable are so because they possess an individual or social characteristic that is known to bring about disadvantage, such as the personal factor</w:t>
      </w:r>
      <w:r w:rsidRPr="00524600">
        <w:rPr>
          <w:rFonts w:ascii="Calibri" w:hAnsi="Calibri" w:cs="Calibri"/>
          <w:color w:val="000000" w:themeColor="text1"/>
        </w:rPr>
        <w:t>s</w:t>
      </w:r>
      <w:r w:rsidR="000F16A1" w:rsidRPr="00524600">
        <w:rPr>
          <w:rFonts w:ascii="Calibri" w:hAnsi="Calibri" w:cs="Calibri"/>
          <w:color w:val="000000" w:themeColor="text1"/>
        </w:rPr>
        <w:t xml:space="preserve"> of age</w:t>
      </w:r>
      <w:r w:rsidRPr="00524600">
        <w:rPr>
          <w:rFonts w:ascii="Calibri" w:hAnsi="Calibri" w:cs="Calibri"/>
          <w:color w:val="000000" w:themeColor="text1"/>
        </w:rPr>
        <w:t xml:space="preserve">, ethnicity, disability, mental health. </w:t>
      </w:r>
      <w:r w:rsidR="000F16A1" w:rsidRPr="00524600">
        <w:rPr>
          <w:rFonts w:ascii="Calibri" w:hAnsi="Calibri" w:cs="Calibri"/>
          <w:color w:val="000000" w:themeColor="text1"/>
        </w:rPr>
        <w:t xml:space="preserve">(Asquith et al., 2018) </w:t>
      </w:r>
    </w:p>
    <w:p w14:paraId="63798D37" w14:textId="003565DF" w:rsidR="000F16A1" w:rsidRPr="00524600" w:rsidRDefault="000F16A1" w:rsidP="000F16A1">
      <w:pPr>
        <w:rPr>
          <w:rFonts w:ascii="Calibri" w:hAnsi="Calibri" w:cs="Calibri"/>
          <w:color w:val="000000" w:themeColor="text1"/>
        </w:rPr>
      </w:pPr>
    </w:p>
    <w:p w14:paraId="1F35698A" w14:textId="19B2404B" w:rsidR="000F16A1" w:rsidRPr="00524600" w:rsidRDefault="000F16A1" w:rsidP="000F16A1">
      <w:r w:rsidRPr="00524600">
        <w:t>This essay aims to evaluate the primary factors that contribute to an individual’s vulnerability within the content of policing</w:t>
      </w:r>
      <w:r w:rsidR="00A74BEB" w:rsidRPr="00524600">
        <w:t xml:space="preserve"> while providing </w:t>
      </w:r>
      <w:r w:rsidR="003F6261" w:rsidRPr="00524600">
        <w:t xml:space="preserve">evidence of </w:t>
      </w:r>
      <w:r w:rsidR="00A74BEB" w:rsidRPr="00524600">
        <w:t xml:space="preserve">cases </w:t>
      </w:r>
      <w:r w:rsidR="003F6261" w:rsidRPr="00524600">
        <w:t xml:space="preserve">related </w:t>
      </w:r>
      <w:r w:rsidR="00A74BEB" w:rsidRPr="00524600">
        <w:t xml:space="preserve">to show the link in </w:t>
      </w:r>
      <w:r w:rsidR="008730B8">
        <w:t xml:space="preserve">the </w:t>
      </w:r>
      <w:r w:rsidR="00A74BEB" w:rsidRPr="00524600">
        <w:t xml:space="preserve">primary factors </w:t>
      </w:r>
      <w:r w:rsidR="005B421C">
        <w:t>which consider</w:t>
      </w:r>
      <w:r w:rsidR="00A74BEB" w:rsidRPr="00524600">
        <w:t xml:space="preserve"> </w:t>
      </w:r>
      <w:r w:rsidR="005B421C" w:rsidRPr="00524600">
        <w:t>making</w:t>
      </w:r>
      <w:r w:rsidR="00A74BEB" w:rsidRPr="00524600">
        <w:t xml:space="preserve"> an individual vulnerable.</w:t>
      </w:r>
      <w:r w:rsidRPr="00524600">
        <w:t xml:space="preserve"> </w:t>
      </w:r>
    </w:p>
    <w:p w14:paraId="1E3E7E3B" w14:textId="77777777" w:rsidR="00A74BEB" w:rsidRPr="00524600" w:rsidRDefault="00A74BEB" w:rsidP="000F16A1"/>
    <w:p w14:paraId="58EBA72F" w14:textId="77777777" w:rsidR="000F16A1" w:rsidRPr="00524600" w:rsidRDefault="000F16A1" w:rsidP="000F16A1">
      <w:pPr>
        <w:rPr>
          <w:rFonts w:ascii="Calibri" w:hAnsi="Calibri" w:cs="Calibri"/>
          <w:color w:val="000000" w:themeColor="text1"/>
        </w:rPr>
      </w:pPr>
    </w:p>
    <w:p w14:paraId="6888F3C2" w14:textId="77777777" w:rsidR="000F16A1" w:rsidRPr="00524600" w:rsidRDefault="000F16A1" w:rsidP="000F16A1">
      <w:pPr>
        <w:rPr>
          <w:rFonts w:ascii="Calibri" w:hAnsi="Calibri" w:cs="Calibri"/>
          <w:color w:val="000000" w:themeColor="text1"/>
        </w:rPr>
      </w:pPr>
    </w:p>
    <w:p w14:paraId="7CC0EBA9" w14:textId="7E9C0E5C" w:rsidR="001B616E" w:rsidRPr="00524600" w:rsidRDefault="0059745C" w:rsidP="001B616E">
      <w:r w:rsidRPr="00524600">
        <w:t xml:space="preserve">There are many personal factors when it comes to an individual’s vulnerability. Age is a </w:t>
      </w:r>
      <w:r w:rsidR="001B616E" w:rsidRPr="00524600">
        <w:rPr>
          <w:rFonts w:ascii="Calibri" w:hAnsi="Calibri" w:cs="Calibri"/>
          <w:color w:val="000000" w:themeColor="text1"/>
        </w:rPr>
        <w:t xml:space="preserve">factor contributing to a person’s vulnerability. This could be due to being of a young age such as that of a child. </w:t>
      </w:r>
      <w:r w:rsidR="005B421C">
        <w:rPr>
          <w:rFonts w:ascii="Calibri" w:hAnsi="Calibri" w:cs="Calibri"/>
          <w:color w:val="000000" w:themeColor="text1"/>
        </w:rPr>
        <w:t xml:space="preserve">There </w:t>
      </w:r>
      <w:r w:rsidR="001B616E" w:rsidRPr="00524600">
        <w:rPr>
          <w:rFonts w:ascii="Calibri" w:hAnsi="Calibri" w:cs="Calibri"/>
          <w:color w:val="000000" w:themeColor="text1"/>
        </w:rPr>
        <w:t xml:space="preserve">are many case studies into an individual being vulnerable due to their age. In the case of Peter Connelly (Baby P) he was vulnerable due to being a very young child and unable to protect themselves. He was killed due to the abuse he was subjected to by the hands of his own family. He was ultimately let down by many agencies including the police. </w:t>
      </w:r>
    </w:p>
    <w:p w14:paraId="3E8CCB7E" w14:textId="029D522C" w:rsidR="00A74BEB" w:rsidRPr="00524600" w:rsidRDefault="00A74BEB" w:rsidP="0096120D">
      <w:r w:rsidRPr="00524600">
        <w:t>In a report after the tragedy of (Baby P) Home Office data recorded that in the years of 2007/08, 55 children were killed by their parents or by someone known to the child, which shows just how vulnerable a</w:t>
      </w:r>
      <w:r w:rsidR="00C3078F">
        <w:t>nd at risk a</w:t>
      </w:r>
      <w:r w:rsidRPr="00524600">
        <w:t xml:space="preserve"> child is</w:t>
      </w:r>
      <w:r w:rsidR="00C3078F">
        <w:t xml:space="preserve"> when they have a lack of support and are in the wrong environment due to being in the care of family/friends who abuse, putting these children in harm or risk of harm.</w:t>
      </w:r>
      <w:r w:rsidR="00EC563F" w:rsidRPr="00524600">
        <w:t xml:space="preserve"> (Laming, 2009)</w:t>
      </w:r>
    </w:p>
    <w:p w14:paraId="031BE1DA" w14:textId="280B2E6D" w:rsidR="0073740F" w:rsidRDefault="0073740F" w:rsidP="0096120D"/>
    <w:p w14:paraId="546B27C0" w14:textId="1C018D7A" w:rsidR="005B421C" w:rsidRDefault="005B421C" w:rsidP="005B421C">
      <w:r>
        <w:t xml:space="preserve">Vulnerability may </w:t>
      </w:r>
      <w:r>
        <w:t xml:space="preserve">also </w:t>
      </w:r>
      <w:r>
        <w:t>be temporary or permanent</w:t>
      </w:r>
      <w:r w:rsidR="00283069">
        <w:t>. (</w:t>
      </w:r>
      <w:r w:rsidR="00283069" w:rsidRPr="00D8503C">
        <w:t>Williams, B. 2023)</w:t>
      </w:r>
      <w:r w:rsidR="00283069">
        <w:t xml:space="preserve"> W</w:t>
      </w:r>
      <w:r>
        <w:t>ith the case of (Baby P) you could argue that due to the factors of age being a vulnerability and the situational factors of having lack of support from all the police agencies involved, that with effective communication between the agencies that a tragedy like this case could’ve been avoided due to better intervention and being able to reduce the risk of harm to the child.</w:t>
      </w:r>
    </w:p>
    <w:p w14:paraId="2C58596B" w14:textId="77777777" w:rsidR="005B421C" w:rsidRDefault="005B421C" w:rsidP="0096120D"/>
    <w:p w14:paraId="1B2C0BF2" w14:textId="219BC61E" w:rsidR="0073740F" w:rsidRPr="00524600" w:rsidRDefault="0073740F" w:rsidP="0096120D">
      <w:r w:rsidRPr="00524600">
        <w:lastRenderedPageBreak/>
        <w:t>While being that of a young age could make someone vulnerable it is also possible to be vulnerable of an older age. Looking at individuals in their senior years it is known for the individual to become weaker and frail which makes them more susceptible to burglaries and being taken advantage of</w:t>
      </w:r>
      <w:r w:rsidR="004C215A" w:rsidRPr="00524600">
        <w:t>.</w:t>
      </w:r>
      <w:r w:rsidR="00E86E35">
        <w:t xml:space="preserve"> According to Age UK there was a report from the Home Office which stated that although older people are at a higher risk of offences, such as distraction burglary</w:t>
      </w:r>
      <w:r w:rsidR="00C3078F">
        <w:t>. O</w:t>
      </w:r>
      <w:r w:rsidR="00E86E35">
        <w:t xml:space="preserve">nce they become victims of crime the impact is particularly devastating with one study reporting that after a burglary older aged people were 2.4 times more likely to have died or entered residential care than others of a similar age who had not been burgled. </w:t>
      </w:r>
      <w:r w:rsidR="00994D00" w:rsidRPr="00994D00">
        <w:t>(Callanan et al., 2012)</w:t>
      </w:r>
    </w:p>
    <w:p w14:paraId="65B70DE2" w14:textId="77777777" w:rsidR="00BD635D" w:rsidRPr="00524600" w:rsidRDefault="00BD635D" w:rsidP="0096120D">
      <w:pPr>
        <w:rPr>
          <w:b/>
          <w:bCs/>
        </w:rPr>
      </w:pPr>
    </w:p>
    <w:p w14:paraId="2C8E5AF9" w14:textId="2310E24C" w:rsidR="00A13E03" w:rsidRDefault="0073740F" w:rsidP="0073740F">
      <w:r w:rsidRPr="00524600">
        <w:rPr>
          <w:rFonts w:ascii="Calibri" w:hAnsi="Calibri" w:cs="Calibri"/>
          <w:color w:val="000000" w:themeColor="text1"/>
        </w:rPr>
        <w:t>Gender is another personal factor that can make an individual vulnerable. The stereotype of women as the weaker sex not only perpetuates inequalities but also exacerbates vulnerabilities to crime. Women are seen as the weaker sex due to their size and strength in comparison to that of the male gender which puts them at a disadvantage when ultimately trying to defend themselves in the event of an assault. Women are more likely to experience emotional abuse, sexual violence which results in injury or death. A recent example of this was Sarah Everard who was kidnapped, raped and murdered at the hands of a serving male police officer</w:t>
      </w:r>
      <w:r w:rsidR="000C2E64">
        <w:rPr>
          <w:rFonts w:ascii="Calibri" w:hAnsi="Calibri" w:cs="Calibri"/>
          <w:color w:val="000000" w:themeColor="text1"/>
        </w:rPr>
        <w:t>. (</w:t>
      </w:r>
      <w:proofErr w:type="spellStart"/>
      <w:r w:rsidR="000C2E64">
        <w:t>BaMaung</w:t>
      </w:r>
      <w:proofErr w:type="spellEnd"/>
      <w:r w:rsidR="000C2E64">
        <w:t>, 2021</w:t>
      </w:r>
      <w:r w:rsidR="003B0F1E">
        <w:t>.</w:t>
      </w:r>
      <w:r w:rsidR="000C2E64">
        <w:t>)</w:t>
      </w:r>
    </w:p>
    <w:p w14:paraId="51E31818" w14:textId="77777777" w:rsidR="001A6AD8" w:rsidRDefault="001A6AD8" w:rsidP="0073740F"/>
    <w:p w14:paraId="3DD3D8B3" w14:textId="018FF52D" w:rsidR="001A6AD8" w:rsidRPr="00524600" w:rsidRDefault="001A6AD8" w:rsidP="0073740F">
      <w:pPr>
        <w:rPr>
          <w:rFonts w:ascii="Calibri" w:hAnsi="Calibri" w:cs="Calibri"/>
          <w:color w:val="000000" w:themeColor="text1"/>
        </w:rPr>
      </w:pPr>
      <w:r>
        <w:t>While gender can make an individual vulnerable it is harder to eliminate the risk or risk of harm due to the example that you can’t control what the attacker chooses to do</w:t>
      </w:r>
      <w:r w:rsidR="00BF4926">
        <w:t xml:space="preserve"> to put the individual at risk and make them vulnerable, as</w:t>
      </w:r>
      <w:r>
        <w:t xml:space="preserve"> sometimes like in the case of Sarah Everard the attacker was meant to be a respected police officer but abused his power to not help the vulnerable woman walking home but kidnap, rape and murder her.  </w:t>
      </w:r>
    </w:p>
    <w:p w14:paraId="6C3B7B53" w14:textId="77777777" w:rsidR="00951CAB" w:rsidRPr="00524600" w:rsidRDefault="00951CAB" w:rsidP="0073740F">
      <w:pPr>
        <w:rPr>
          <w:rFonts w:ascii="Calibri" w:hAnsi="Calibri" w:cs="Calibri"/>
          <w:color w:val="000000" w:themeColor="text1"/>
        </w:rPr>
      </w:pPr>
    </w:p>
    <w:p w14:paraId="2475716D" w14:textId="498260FC" w:rsidR="009933C4" w:rsidRPr="00524600" w:rsidRDefault="009933C4" w:rsidP="0073740F">
      <w:pPr>
        <w:rPr>
          <w:rFonts w:ascii="Calibri" w:hAnsi="Calibri" w:cs="Calibri"/>
          <w:color w:val="000000" w:themeColor="text1"/>
        </w:rPr>
      </w:pPr>
      <w:r w:rsidRPr="00524600">
        <w:rPr>
          <w:rFonts w:ascii="Calibri" w:hAnsi="Calibri" w:cs="Calibri"/>
          <w:color w:val="000000" w:themeColor="text1"/>
        </w:rPr>
        <w:t xml:space="preserve">Mental </w:t>
      </w:r>
      <w:r w:rsidR="00A13E03" w:rsidRPr="00524600">
        <w:rPr>
          <w:rFonts w:ascii="Calibri" w:hAnsi="Calibri" w:cs="Calibri"/>
          <w:color w:val="000000" w:themeColor="text1"/>
        </w:rPr>
        <w:t xml:space="preserve">ill </w:t>
      </w:r>
      <w:r w:rsidRPr="00524600">
        <w:rPr>
          <w:rFonts w:ascii="Calibri" w:hAnsi="Calibri" w:cs="Calibri"/>
          <w:color w:val="000000" w:themeColor="text1"/>
        </w:rPr>
        <w:t xml:space="preserve">health is </w:t>
      </w:r>
      <w:r w:rsidR="00951CAB" w:rsidRPr="00524600">
        <w:rPr>
          <w:rFonts w:ascii="Calibri" w:hAnsi="Calibri" w:cs="Calibri"/>
          <w:color w:val="000000" w:themeColor="text1"/>
        </w:rPr>
        <w:t xml:space="preserve">a factor in an individual </w:t>
      </w:r>
      <w:r w:rsidR="000907E2" w:rsidRPr="00524600">
        <w:rPr>
          <w:rFonts w:ascii="Calibri" w:hAnsi="Calibri" w:cs="Calibri"/>
          <w:color w:val="000000" w:themeColor="text1"/>
        </w:rPr>
        <w:t>being vulnerable. O</w:t>
      </w:r>
      <w:r w:rsidRPr="00524600">
        <w:rPr>
          <w:rFonts w:ascii="Calibri" w:hAnsi="Calibri" w:cs="Calibri"/>
          <w:color w:val="000000" w:themeColor="text1"/>
        </w:rPr>
        <w:t>ne of the most significant issues affecting policing in England and Wales</w:t>
      </w:r>
      <w:r w:rsidR="000907E2" w:rsidRPr="00524600">
        <w:rPr>
          <w:rFonts w:ascii="Calibri" w:hAnsi="Calibri" w:cs="Calibri"/>
          <w:color w:val="000000" w:themeColor="text1"/>
        </w:rPr>
        <w:t xml:space="preserve"> is mental ill health</w:t>
      </w:r>
      <w:r w:rsidRPr="00524600">
        <w:rPr>
          <w:rFonts w:ascii="Calibri" w:hAnsi="Calibri" w:cs="Calibri"/>
          <w:color w:val="000000" w:themeColor="text1"/>
        </w:rPr>
        <w:t xml:space="preserve">. One in four people experienced mental health each year and more than </w:t>
      </w:r>
      <w:r w:rsidR="00A13E03" w:rsidRPr="00524600">
        <w:rPr>
          <w:rFonts w:ascii="Calibri" w:hAnsi="Calibri" w:cs="Calibri"/>
          <w:color w:val="000000" w:themeColor="text1"/>
        </w:rPr>
        <w:t>40% of people in the criminal justice system have mental ill health. According to the IOPC of the 23 people who have died in police custody in the years 2022/23, 13 had experienced mental ill health. (IOPC, 2024.)</w:t>
      </w:r>
    </w:p>
    <w:p w14:paraId="63E01113" w14:textId="77777777" w:rsidR="009933C4" w:rsidRPr="00524600" w:rsidRDefault="009933C4" w:rsidP="0073740F">
      <w:pPr>
        <w:rPr>
          <w:rFonts w:ascii="Calibri" w:hAnsi="Calibri" w:cs="Calibri"/>
          <w:color w:val="000000" w:themeColor="text1"/>
        </w:rPr>
      </w:pPr>
    </w:p>
    <w:p w14:paraId="6FD279E7" w14:textId="43211DF2" w:rsidR="001445C3" w:rsidRPr="00524600" w:rsidRDefault="00A13E03" w:rsidP="0073740F">
      <w:pPr>
        <w:rPr>
          <w:rFonts w:ascii="Calibri" w:hAnsi="Calibri" w:cs="Calibri"/>
          <w:color w:val="000000" w:themeColor="text1"/>
        </w:rPr>
      </w:pPr>
      <w:r w:rsidRPr="00524600">
        <w:rPr>
          <w:rFonts w:ascii="Calibri" w:hAnsi="Calibri" w:cs="Calibri"/>
          <w:color w:val="000000" w:themeColor="text1"/>
        </w:rPr>
        <w:t xml:space="preserve">There are many challenges that police officers have engaging with vulnerable individuals who may exhibit behaviours stemming from having a mental health condition which can lead to a higher likelihood of restraint with the outcome of being arrested or remanded in detention in inappropriate surroundings such as police cells rather than that of the most necessary such as health care facilities. Evidence of this is reported from the </w:t>
      </w:r>
      <w:r w:rsidR="001445C3" w:rsidRPr="00524600">
        <w:rPr>
          <w:rFonts w:ascii="Calibri" w:hAnsi="Calibri" w:cs="Calibri"/>
          <w:color w:val="000000" w:themeColor="text1"/>
        </w:rPr>
        <w:t>Independent Office for Police Conduct,</w:t>
      </w:r>
      <w:r w:rsidRPr="00524600">
        <w:rPr>
          <w:rFonts w:ascii="Calibri" w:hAnsi="Calibri" w:cs="Calibri"/>
          <w:color w:val="000000" w:themeColor="text1"/>
        </w:rPr>
        <w:t xml:space="preserve"> in the case of James Herbert who had been suffering from mental health. </w:t>
      </w:r>
      <w:r w:rsidR="001445C3" w:rsidRPr="00524600">
        <w:rPr>
          <w:rFonts w:ascii="Calibri" w:hAnsi="Calibri" w:cs="Calibri"/>
          <w:color w:val="000000" w:themeColor="text1"/>
        </w:rPr>
        <w:t xml:space="preserve">James was restrained and transported to Yeovil police station in a caged vehicle. </w:t>
      </w:r>
      <w:r w:rsidR="0059745C" w:rsidRPr="00524600">
        <w:rPr>
          <w:rFonts w:ascii="Calibri" w:hAnsi="Calibri" w:cs="Calibri"/>
          <w:color w:val="000000" w:themeColor="text1"/>
        </w:rPr>
        <w:t xml:space="preserve">He was carried into the cells and stopped breathing. He was pronounced dead shortly after 9pm. A coroner’s inquest concluded that the cause of Jame’s death was </w:t>
      </w:r>
      <w:r w:rsidR="0059745C" w:rsidRPr="001445C3">
        <w:rPr>
          <w:rFonts w:ascii="Calibri" w:hAnsi="Calibri" w:cs="Calibri"/>
          <w:color w:val="000000" w:themeColor="text1"/>
        </w:rPr>
        <w:t xml:space="preserve">“Cardiorespiratory arrest in a man intoxicated by synthetic cathinones with an </w:t>
      </w:r>
      <w:r w:rsidR="0059745C" w:rsidRPr="00524600">
        <w:rPr>
          <w:rFonts w:ascii="Calibri" w:hAnsi="Calibri" w:cs="Calibri"/>
          <w:color w:val="000000" w:themeColor="text1"/>
        </w:rPr>
        <w:t>acute</w:t>
      </w:r>
      <w:r w:rsidR="0059745C" w:rsidRPr="001445C3">
        <w:rPr>
          <w:rFonts w:ascii="Calibri" w:hAnsi="Calibri" w:cs="Calibri"/>
          <w:color w:val="000000" w:themeColor="text1"/>
        </w:rPr>
        <w:t xml:space="preserve"> </w:t>
      </w:r>
      <w:r w:rsidR="0059745C" w:rsidRPr="00524600">
        <w:rPr>
          <w:rFonts w:ascii="Calibri" w:hAnsi="Calibri" w:cs="Calibri"/>
          <w:color w:val="000000" w:themeColor="text1"/>
        </w:rPr>
        <w:t xml:space="preserve">disturbance following restraint and struggle against restraint”. </w:t>
      </w:r>
      <w:r w:rsidR="001445C3" w:rsidRPr="00524600">
        <w:rPr>
          <w:rFonts w:ascii="Calibri" w:hAnsi="Calibri" w:cs="Calibri"/>
          <w:color w:val="000000" w:themeColor="text1"/>
        </w:rPr>
        <w:t>As a police officer it is a fundamental duty to protect life, the statistics alone indicate that the use of force and restraint when dealing with an individual with mental ill health is always potentially dangerous and often life-threatening. (IOPC, 2017.)</w:t>
      </w:r>
    </w:p>
    <w:p w14:paraId="15E0AD48" w14:textId="77777777" w:rsidR="00951CAB" w:rsidRPr="00524600" w:rsidRDefault="00951CAB" w:rsidP="0073740F">
      <w:pPr>
        <w:rPr>
          <w:rFonts w:ascii="Calibri" w:hAnsi="Calibri" w:cs="Calibri"/>
          <w:color w:val="000000" w:themeColor="text1"/>
        </w:rPr>
      </w:pPr>
    </w:p>
    <w:p w14:paraId="1A7F4F10" w14:textId="5F8C5A3E" w:rsidR="00951CAB" w:rsidRPr="00524600" w:rsidRDefault="00951CAB" w:rsidP="00951CAB">
      <w:pPr>
        <w:rPr>
          <w:rFonts w:ascii="Calibri" w:hAnsi="Calibri" w:cs="Calibri"/>
          <w:color w:val="000000" w:themeColor="text1"/>
        </w:rPr>
      </w:pPr>
      <w:r w:rsidRPr="00524600">
        <w:rPr>
          <w:rFonts w:ascii="Calibri" w:hAnsi="Calibri" w:cs="Calibri"/>
          <w:color w:val="000000" w:themeColor="text1"/>
        </w:rPr>
        <w:t xml:space="preserve">A report sharing its data on individuals with mental ill health problems released their findings that these individuals are very vulnerable and are likely to become repeat victims of different types of crime with 43% of individuals experiencing more than one type of crime. Individuals with mental ill health are three times more likely to be a victim of any crime. </w:t>
      </w:r>
      <w:r w:rsidR="000907E2" w:rsidRPr="00524600">
        <w:rPr>
          <w:rFonts w:ascii="Calibri" w:hAnsi="Calibri" w:cs="Calibri"/>
          <w:color w:val="000000" w:themeColor="text1"/>
        </w:rPr>
        <w:t xml:space="preserve">Victims with mental health problems face considerable barriers to getting help, with less than half reporting to the police due to their fear of not being believed or even being dismissed or sectioned by police. </w:t>
      </w:r>
      <w:r w:rsidRPr="00524600">
        <w:rPr>
          <w:rFonts w:ascii="Calibri" w:hAnsi="Calibri" w:cs="Calibri"/>
          <w:color w:val="000000" w:themeColor="text1"/>
        </w:rPr>
        <w:t>(Pettitt et al., 2013)</w:t>
      </w:r>
    </w:p>
    <w:p w14:paraId="213F752F" w14:textId="77777777" w:rsidR="00951CAB" w:rsidRPr="00524600" w:rsidRDefault="00951CAB" w:rsidP="0073740F">
      <w:pPr>
        <w:rPr>
          <w:rFonts w:ascii="Calibri" w:hAnsi="Calibri" w:cs="Calibri"/>
          <w:color w:val="000000" w:themeColor="text1"/>
        </w:rPr>
      </w:pPr>
    </w:p>
    <w:p w14:paraId="3DEEB912" w14:textId="1143706A" w:rsidR="0073740F" w:rsidRPr="00524600" w:rsidRDefault="0059745C" w:rsidP="0073740F">
      <w:pPr>
        <w:rPr>
          <w:rFonts w:ascii="Calibri" w:hAnsi="Calibri" w:cs="Calibri"/>
          <w:color w:val="000000" w:themeColor="text1"/>
        </w:rPr>
      </w:pPr>
      <w:r w:rsidRPr="00524600">
        <w:rPr>
          <w:rFonts w:ascii="Calibri" w:hAnsi="Calibri" w:cs="Calibri"/>
          <w:color w:val="000000" w:themeColor="text1"/>
        </w:rPr>
        <w:t>L</w:t>
      </w:r>
      <w:r w:rsidR="00B05AFB" w:rsidRPr="00524600">
        <w:rPr>
          <w:rFonts w:ascii="Calibri" w:hAnsi="Calibri" w:cs="Calibri"/>
          <w:color w:val="000000" w:themeColor="text1"/>
        </w:rPr>
        <w:t>earning disabilities being a personal factor</w:t>
      </w:r>
      <w:r w:rsidR="0073740F" w:rsidRPr="00524600">
        <w:rPr>
          <w:rFonts w:ascii="Calibri" w:hAnsi="Calibri" w:cs="Calibri"/>
          <w:color w:val="000000" w:themeColor="text1"/>
        </w:rPr>
        <w:t xml:space="preserve"> is with the case of Fiona Pilkington and her daughter Francesca Hardwick who had suffered from years of abuse from </w:t>
      </w:r>
    </w:p>
    <w:p w14:paraId="0A3EAAAE" w14:textId="568169E7" w:rsidR="0073740F" w:rsidRPr="00524600" w:rsidRDefault="0073740F" w:rsidP="0073740F">
      <w:pPr>
        <w:rPr>
          <w:rFonts w:ascii="Calibri" w:hAnsi="Calibri" w:cs="Calibri"/>
          <w:color w:val="000000" w:themeColor="text1"/>
        </w:rPr>
      </w:pPr>
      <w:r w:rsidRPr="00524600">
        <w:rPr>
          <w:rFonts w:ascii="Calibri" w:hAnsi="Calibri" w:cs="Calibri"/>
          <w:color w:val="000000" w:themeColor="text1"/>
        </w:rPr>
        <w:t>local youths in the area. The main factor is that Francesca Hardwick had severe learning disabilities. It was only after their deaths that policing and other agencies looked at their responsibilities towards vulnerable members of society.</w:t>
      </w:r>
      <w:r w:rsidR="00277A3A">
        <w:rPr>
          <w:rFonts w:ascii="Calibri" w:hAnsi="Calibri" w:cs="Calibri"/>
          <w:color w:val="000000" w:themeColor="text1"/>
        </w:rPr>
        <w:t xml:space="preserve"> </w:t>
      </w:r>
      <w:r w:rsidR="00277A3A" w:rsidRPr="00277A3A">
        <w:rPr>
          <w:rFonts w:ascii="Calibri" w:hAnsi="Calibri" w:cs="Calibri"/>
          <w:color w:val="000000" w:themeColor="text1"/>
        </w:rPr>
        <w:t>(Dryden, 2017)</w:t>
      </w:r>
    </w:p>
    <w:p w14:paraId="3550E0F5" w14:textId="77777777" w:rsidR="00FD15C3" w:rsidRPr="00524600" w:rsidRDefault="00FD15C3" w:rsidP="0073740F">
      <w:pPr>
        <w:rPr>
          <w:rFonts w:ascii="Calibri" w:hAnsi="Calibri" w:cs="Calibri"/>
          <w:color w:val="000000" w:themeColor="text1"/>
        </w:rPr>
      </w:pPr>
    </w:p>
    <w:p w14:paraId="32F241CB" w14:textId="266EED5E" w:rsidR="00FD15C3" w:rsidRPr="00524600" w:rsidRDefault="00FD15C3" w:rsidP="00FD15C3">
      <w:pPr>
        <w:rPr>
          <w:rFonts w:ascii="Calibri" w:hAnsi="Calibri" w:cs="Calibri"/>
          <w:color w:val="000000" w:themeColor="text1"/>
        </w:rPr>
      </w:pPr>
      <w:r w:rsidRPr="00524600">
        <w:rPr>
          <w:rFonts w:ascii="Calibri" w:hAnsi="Calibri" w:cs="Calibri"/>
          <w:color w:val="000000" w:themeColor="text1"/>
        </w:rPr>
        <w:t xml:space="preserve">As we are all different and have our own unique style and lifestyle, another factor which attributes to an individual being vulnerable is by being different. This relates to the case of Sophie Lancaster where her lifestyle choice was different to others in the community. Sophie embraced dressing in clothing which society labels as gothic and due to her choice, this made her a target to hateful comments, abuse and a tragic attack which led to her death for daring to be different than others in society. </w:t>
      </w:r>
      <w:r w:rsidR="00020281" w:rsidRPr="00020281">
        <w:rPr>
          <w:rFonts w:ascii="Calibri" w:hAnsi="Calibri" w:cs="Calibri"/>
          <w:color w:val="000000" w:themeColor="text1"/>
        </w:rPr>
        <w:t>(The Sophie Lancaster Foundation, 2013)</w:t>
      </w:r>
    </w:p>
    <w:p w14:paraId="353E5C37" w14:textId="12D2E4D6" w:rsidR="00FD15C3" w:rsidRPr="00524600" w:rsidRDefault="00FD15C3" w:rsidP="00FD15C3">
      <w:pPr>
        <w:rPr>
          <w:rFonts w:ascii="Calibri" w:hAnsi="Calibri" w:cs="Calibri"/>
          <w:color w:val="000000" w:themeColor="text1"/>
        </w:rPr>
      </w:pPr>
    </w:p>
    <w:p w14:paraId="2FF5FFC7" w14:textId="77777777" w:rsidR="000C51EC" w:rsidRPr="00524600" w:rsidRDefault="0073740F" w:rsidP="0073740F">
      <w:pPr>
        <w:rPr>
          <w:rFonts w:ascii="Calibri" w:hAnsi="Calibri" w:cs="Calibri"/>
          <w:color w:val="000000" w:themeColor="text1"/>
        </w:rPr>
      </w:pPr>
      <w:r w:rsidRPr="00524600">
        <w:rPr>
          <w:rFonts w:ascii="Calibri" w:hAnsi="Calibri" w:cs="Calibri"/>
          <w:color w:val="000000" w:themeColor="text1"/>
        </w:rPr>
        <w:t>Due to an individual’s religious beliefs</w:t>
      </w:r>
      <w:r w:rsidR="000C51EC" w:rsidRPr="00524600">
        <w:rPr>
          <w:rFonts w:ascii="Calibri" w:hAnsi="Calibri" w:cs="Calibri"/>
          <w:color w:val="000000" w:themeColor="text1"/>
        </w:rPr>
        <w:t xml:space="preserve">, religion </w:t>
      </w:r>
      <w:r w:rsidRPr="00524600">
        <w:rPr>
          <w:rFonts w:ascii="Calibri" w:hAnsi="Calibri" w:cs="Calibri"/>
          <w:color w:val="000000" w:themeColor="text1"/>
        </w:rPr>
        <w:t xml:space="preserve">is a factor which can make </w:t>
      </w:r>
      <w:r w:rsidR="000C51EC" w:rsidRPr="00524600">
        <w:rPr>
          <w:rFonts w:ascii="Calibri" w:hAnsi="Calibri" w:cs="Calibri"/>
          <w:color w:val="000000" w:themeColor="text1"/>
        </w:rPr>
        <w:t>a person</w:t>
      </w:r>
      <w:r w:rsidRPr="00524600">
        <w:rPr>
          <w:rFonts w:ascii="Calibri" w:hAnsi="Calibri" w:cs="Calibri"/>
          <w:color w:val="000000" w:themeColor="text1"/>
        </w:rPr>
        <w:t xml:space="preserve"> vulnerable. According to the United Kingdom government data between 2018 – 2019 the police recorded in total 8566 hate crime offences relating to religion.</w:t>
      </w:r>
      <w:r w:rsidR="00047F18" w:rsidRPr="00524600">
        <w:rPr>
          <w:rFonts w:ascii="Calibri" w:hAnsi="Calibri" w:cs="Calibri"/>
          <w:color w:val="000000" w:themeColor="text1"/>
        </w:rPr>
        <w:t xml:space="preserve"> </w:t>
      </w:r>
    </w:p>
    <w:p w14:paraId="560F76AF" w14:textId="77777777" w:rsidR="000C51EC" w:rsidRPr="00524600" w:rsidRDefault="000C51EC" w:rsidP="0073740F">
      <w:pPr>
        <w:rPr>
          <w:rFonts w:ascii="Calibri" w:hAnsi="Calibri" w:cs="Calibri"/>
          <w:color w:val="000000" w:themeColor="text1"/>
        </w:rPr>
      </w:pPr>
    </w:p>
    <w:p w14:paraId="64C155D5" w14:textId="0E997B07" w:rsidR="0073740F" w:rsidRPr="00524600" w:rsidRDefault="00047F18" w:rsidP="0073740F">
      <w:pPr>
        <w:rPr>
          <w:rFonts w:ascii="Calibri" w:hAnsi="Calibri" w:cs="Calibri"/>
          <w:color w:val="000000" w:themeColor="text1"/>
        </w:rPr>
      </w:pPr>
      <w:r w:rsidRPr="00524600">
        <w:rPr>
          <w:rFonts w:ascii="Calibri" w:hAnsi="Calibri" w:cs="Calibri"/>
          <w:color w:val="000000" w:themeColor="text1"/>
        </w:rPr>
        <w:t xml:space="preserve">In the case of Bijan Ebrahimi who was murdered in Bristol 2013 in terms of primary factors there was three </w:t>
      </w:r>
      <w:r w:rsidR="00AE4CC5" w:rsidRPr="00524600">
        <w:rPr>
          <w:rFonts w:ascii="Calibri" w:hAnsi="Calibri" w:cs="Calibri"/>
          <w:color w:val="000000" w:themeColor="text1"/>
        </w:rPr>
        <w:t xml:space="preserve">combined </w:t>
      </w:r>
      <w:r w:rsidRPr="00524600">
        <w:rPr>
          <w:rFonts w:ascii="Calibri" w:hAnsi="Calibri" w:cs="Calibri"/>
          <w:color w:val="000000" w:themeColor="text1"/>
        </w:rPr>
        <w:t xml:space="preserve">which made him vulnerable. Not only was </w:t>
      </w:r>
      <w:r w:rsidR="00AE4CC5" w:rsidRPr="00524600">
        <w:rPr>
          <w:rFonts w:ascii="Calibri" w:hAnsi="Calibri" w:cs="Calibri"/>
          <w:color w:val="000000" w:themeColor="text1"/>
        </w:rPr>
        <w:t xml:space="preserve">his </w:t>
      </w:r>
      <w:r w:rsidRPr="00524600">
        <w:rPr>
          <w:rFonts w:ascii="Calibri" w:hAnsi="Calibri" w:cs="Calibri"/>
          <w:color w:val="000000" w:themeColor="text1"/>
        </w:rPr>
        <w:t xml:space="preserve">religion a factor </w:t>
      </w:r>
      <w:r w:rsidR="00AE4CC5" w:rsidRPr="00524600">
        <w:rPr>
          <w:rFonts w:ascii="Calibri" w:hAnsi="Calibri" w:cs="Calibri"/>
          <w:color w:val="000000" w:themeColor="text1"/>
        </w:rPr>
        <w:t xml:space="preserve">as he was a non-Christian believer, </w:t>
      </w:r>
      <w:r w:rsidRPr="00524600">
        <w:rPr>
          <w:rFonts w:ascii="Calibri" w:hAnsi="Calibri" w:cs="Calibri"/>
          <w:color w:val="000000" w:themeColor="text1"/>
        </w:rPr>
        <w:t xml:space="preserve">but also his ethnicity being Iranian and </w:t>
      </w:r>
      <w:r w:rsidR="00AE4CC5" w:rsidRPr="00524600">
        <w:rPr>
          <w:rFonts w:ascii="Calibri" w:hAnsi="Calibri" w:cs="Calibri"/>
          <w:color w:val="000000" w:themeColor="text1"/>
        </w:rPr>
        <w:t xml:space="preserve">an </w:t>
      </w:r>
      <w:r w:rsidRPr="00524600">
        <w:rPr>
          <w:rFonts w:ascii="Calibri" w:hAnsi="Calibri" w:cs="Calibri"/>
          <w:color w:val="000000" w:themeColor="text1"/>
        </w:rPr>
        <w:t xml:space="preserve">immigrant, he was also physically disabled. </w:t>
      </w:r>
      <w:r w:rsidR="00FD15C3" w:rsidRPr="00524600">
        <w:rPr>
          <w:rFonts w:ascii="Calibri" w:hAnsi="Calibri" w:cs="Calibri"/>
          <w:color w:val="000000" w:themeColor="text1"/>
        </w:rPr>
        <w:t xml:space="preserve">(IPCC, 2014.) </w:t>
      </w:r>
      <w:r w:rsidR="000C51EC" w:rsidRPr="00524600">
        <w:rPr>
          <w:rFonts w:ascii="Calibri" w:hAnsi="Calibri" w:cs="Calibri"/>
          <w:color w:val="000000" w:themeColor="text1"/>
        </w:rPr>
        <w:t>He was persecuted by his neighbours as being a suspected paedophile. Over the period of three years, Bijan was subjected to racial abuse, criminal damage and threats to kill. He made 73 calls to the police reporting the crimes but became considered a nuisance to the police and wasn’t taken seriously. Bijan was beaten to death by a neighbour and his body set on fire. The police had systematically failed Bijan and there was a finding by the IOPC that there were 40 failures to record a crime. There was no consideration that Bijan may have been vulnerable and that the IOPC had found evidence that officers saw Bijan’s victimisation negatively and considered him to be a nuisance, liar or attention seeker.</w:t>
      </w:r>
      <w:r w:rsidR="00AE4CC5" w:rsidRPr="00524600">
        <w:rPr>
          <w:rFonts w:ascii="Calibri" w:hAnsi="Calibri" w:cs="Calibri"/>
          <w:color w:val="000000" w:themeColor="text1"/>
        </w:rPr>
        <w:t xml:space="preserve"> (Williams, 2023.)</w:t>
      </w:r>
    </w:p>
    <w:p w14:paraId="342F49B4" w14:textId="77777777" w:rsidR="00047F18" w:rsidRPr="00524600" w:rsidRDefault="00047F18" w:rsidP="0073740F">
      <w:pPr>
        <w:rPr>
          <w:rFonts w:ascii="Calibri" w:hAnsi="Calibri" w:cs="Calibri"/>
          <w:color w:val="000000" w:themeColor="text1"/>
        </w:rPr>
      </w:pPr>
    </w:p>
    <w:p w14:paraId="678745F0" w14:textId="735522B1" w:rsidR="0073740F" w:rsidRPr="00524600" w:rsidRDefault="0073740F" w:rsidP="0073740F">
      <w:pPr>
        <w:rPr>
          <w:rFonts w:ascii="Calibri" w:hAnsi="Calibri" w:cs="Calibri"/>
          <w:color w:val="000000" w:themeColor="text1"/>
        </w:rPr>
      </w:pPr>
      <w:r w:rsidRPr="00524600">
        <w:rPr>
          <w:rFonts w:ascii="Calibri" w:hAnsi="Calibri" w:cs="Calibri"/>
          <w:color w:val="000000" w:themeColor="text1"/>
        </w:rPr>
        <w:t xml:space="preserve">Sexual Orientation can make an individual vulnerable. </w:t>
      </w:r>
      <w:r w:rsidR="00B05AFB" w:rsidRPr="00524600">
        <w:rPr>
          <w:rFonts w:ascii="Calibri" w:hAnsi="Calibri" w:cs="Calibri"/>
          <w:color w:val="000000" w:themeColor="text1"/>
        </w:rPr>
        <w:t xml:space="preserve">According to </w:t>
      </w:r>
      <w:r w:rsidRPr="00524600">
        <w:rPr>
          <w:rFonts w:ascii="Calibri" w:hAnsi="Calibri" w:cs="Calibri"/>
          <w:color w:val="000000" w:themeColor="text1"/>
        </w:rPr>
        <w:t>Stop Hate UK</w:t>
      </w:r>
      <w:r w:rsidR="00B05AFB" w:rsidRPr="00524600">
        <w:rPr>
          <w:rFonts w:ascii="Calibri" w:hAnsi="Calibri" w:cs="Calibri"/>
          <w:color w:val="000000" w:themeColor="text1"/>
        </w:rPr>
        <w:t xml:space="preserve">, they </w:t>
      </w:r>
      <w:r w:rsidRPr="00524600">
        <w:rPr>
          <w:rFonts w:ascii="Calibri" w:hAnsi="Calibri" w:cs="Calibri"/>
          <w:color w:val="000000" w:themeColor="text1"/>
        </w:rPr>
        <w:t>recorded that in the year 2022/2023 there was a 93% increase in sexual orientation incident reports.</w:t>
      </w:r>
    </w:p>
    <w:p w14:paraId="4B92F25C" w14:textId="77777777" w:rsidR="0073740F" w:rsidRPr="00524600" w:rsidRDefault="0073740F" w:rsidP="0073740F">
      <w:pPr>
        <w:rPr>
          <w:rFonts w:ascii="Calibri" w:hAnsi="Calibri" w:cs="Calibri"/>
          <w:color w:val="000000" w:themeColor="text1"/>
        </w:rPr>
      </w:pPr>
      <w:r w:rsidRPr="00524600">
        <w:rPr>
          <w:rFonts w:ascii="Calibri" w:hAnsi="Calibri" w:cs="Calibri"/>
          <w:color w:val="000000" w:themeColor="text1"/>
        </w:rPr>
        <w:t xml:space="preserve">Morgan Fevre was on a night out with friends in Manchester when he was subjected to homophobic abuse and negative comments due to the items of clothing he was wearing. Later, he was attacked and due to the injuries, he received in the unprovoked attack he needed an </w:t>
      </w:r>
      <w:r w:rsidRPr="00524600">
        <w:rPr>
          <w:rFonts w:ascii="Calibri" w:hAnsi="Calibri" w:cs="Calibri"/>
          <w:color w:val="000000" w:themeColor="text1"/>
        </w:rPr>
        <w:lastRenderedPageBreak/>
        <w:t>operation. According to the newspaper article he had moved to Manchester because of the city’s inclusiveness and he himself felt the city would have no issues with his sexuality. (Pilling, 2022)</w:t>
      </w:r>
    </w:p>
    <w:p w14:paraId="68E93732" w14:textId="77777777" w:rsidR="00047F18" w:rsidRPr="00524600" w:rsidRDefault="00047F18" w:rsidP="0073740F"/>
    <w:p w14:paraId="3D0421DF" w14:textId="77777777" w:rsidR="004C215A" w:rsidRPr="00524600" w:rsidRDefault="004C215A" w:rsidP="0073740F"/>
    <w:p w14:paraId="6D80F06D" w14:textId="77777777" w:rsidR="004C215A" w:rsidRPr="00524600" w:rsidRDefault="004C215A" w:rsidP="0073740F"/>
    <w:p w14:paraId="6685EB1E" w14:textId="7EF6022C" w:rsidR="004C215A" w:rsidRPr="00524600" w:rsidRDefault="0073740F" w:rsidP="0073740F">
      <w:r w:rsidRPr="00524600">
        <w:t xml:space="preserve">In conclusion, </w:t>
      </w:r>
      <w:r w:rsidR="000907E2" w:rsidRPr="00524600">
        <w:rPr>
          <w:rFonts w:ascii="Calibri" w:hAnsi="Calibri" w:cs="Calibri"/>
          <w:color w:val="000000" w:themeColor="text1"/>
        </w:rPr>
        <w:t xml:space="preserve">vulnerability is often hard to define, which means that many people in society could be considered as being vulnerable. There are many personal and situational factors that can attribute to an individual being vulnerable. </w:t>
      </w:r>
      <w:r w:rsidR="004C215A" w:rsidRPr="00524600">
        <w:rPr>
          <w:rFonts w:ascii="Calibri" w:hAnsi="Calibri" w:cs="Calibri"/>
          <w:color w:val="000000" w:themeColor="text1"/>
        </w:rPr>
        <w:t xml:space="preserve">Tragically with the cases discussed </w:t>
      </w:r>
      <w:r w:rsidR="00277A3A">
        <w:rPr>
          <w:rFonts w:ascii="Calibri" w:hAnsi="Calibri" w:cs="Calibri"/>
          <w:color w:val="000000" w:themeColor="text1"/>
        </w:rPr>
        <w:t xml:space="preserve">in this essay </w:t>
      </w:r>
      <w:r w:rsidR="004C215A" w:rsidRPr="00524600">
        <w:rPr>
          <w:rFonts w:ascii="Calibri" w:hAnsi="Calibri" w:cs="Calibri"/>
          <w:color w:val="000000" w:themeColor="text1"/>
        </w:rPr>
        <w:t xml:space="preserve">there are many individuals who have lost their lives </w:t>
      </w:r>
      <w:r w:rsidR="00277A3A">
        <w:rPr>
          <w:rFonts w:ascii="Calibri" w:hAnsi="Calibri" w:cs="Calibri"/>
          <w:color w:val="000000" w:themeColor="text1"/>
        </w:rPr>
        <w:t xml:space="preserve">from </w:t>
      </w:r>
      <w:r w:rsidR="004C215A" w:rsidRPr="00524600">
        <w:rPr>
          <w:rFonts w:ascii="Calibri" w:hAnsi="Calibri" w:cs="Calibri"/>
          <w:color w:val="000000" w:themeColor="text1"/>
        </w:rPr>
        <w:t xml:space="preserve">being vulnerable </w:t>
      </w:r>
      <w:r w:rsidR="00277A3A">
        <w:rPr>
          <w:rFonts w:ascii="Calibri" w:hAnsi="Calibri" w:cs="Calibri"/>
          <w:color w:val="000000" w:themeColor="text1"/>
        </w:rPr>
        <w:t xml:space="preserve">and </w:t>
      </w:r>
      <w:r w:rsidR="004C215A" w:rsidRPr="00524600">
        <w:rPr>
          <w:rFonts w:ascii="Calibri" w:hAnsi="Calibri" w:cs="Calibri"/>
          <w:color w:val="000000" w:themeColor="text1"/>
        </w:rPr>
        <w:t>due to poor decisions from not only the police, but also other agencies involved letting them down</w:t>
      </w:r>
      <w:r w:rsidR="00277A3A">
        <w:rPr>
          <w:rFonts w:ascii="Calibri" w:hAnsi="Calibri" w:cs="Calibri"/>
          <w:color w:val="000000" w:themeColor="text1"/>
        </w:rPr>
        <w:t xml:space="preserve"> by not intervening and taking them out of a situation that is contributing to their vulnerability </w:t>
      </w:r>
      <w:r w:rsidR="004C215A" w:rsidRPr="00524600">
        <w:rPr>
          <w:rFonts w:ascii="Calibri" w:hAnsi="Calibri" w:cs="Calibri"/>
          <w:color w:val="000000" w:themeColor="text1"/>
        </w:rPr>
        <w:t xml:space="preserve">such as </w:t>
      </w:r>
      <w:r w:rsidR="00277A3A">
        <w:rPr>
          <w:rFonts w:ascii="Calibri" w:hAnsi="Calibri" w:cs="Calibri"/>
          <w:color w:val="000000" w:themeColor="text1"/>
        </w:rPr>
        <w:t xml:space="preserve">evidenced in the case with (Baby P). </w:t>
      </w:r>
      <w:r w:rsidR="004C215A" w:rsidRPr="00524600">
        <w:rPr>
          <w:rFonts w:ascii="Calibri" w:hAnsi="Calibri" w:cs="Calibri"/>
          <w:color w:val="000000" w:themeColor="text1"/>
        </w:rPr>
        <w:t xml:space="preserve">With </w:t>
      </w:r>
      <w:r w:rsidR="000907E2" w:rsidRPr="00524600">
        <w:t>Being able to u</w:t>
      </w:r>
      <w:r w:rsidRPr="00524600">
        <w:t>nderstand</w:t>
      </w:r>
      <w:r w:rsidR="000907E2" w:rsidRPr="00524600">
        <w:t xml:space="preserve"> </w:t>
      </w:r>
      <w:r w:rsidRPr="00524600">
        <w:t xml:space="preserve">the different factors </w:t>
      </w:r>
      <w:r w:rsidR="004C215A" w:rsidRPr="00524600">
        <w:t xml:space="preserve">it is </w:t>
      </w:r>
      <w:r w:rsidRPr="00524600">
        <w:t xml:space="preserve">essential in </w:t>
      </w:r>
      <w:r w:rsidR="000907E2" w:rsidRPr="00524600">
        <w:t xml:space="preserve">not only for </w:t>
      </w:r>
      <w:r w:rsidR="004C215A" w:rsidRPr="00524600">
        <w:t xml:space="preserve">just </w:t>
      </w:r>
      <w:r w:rsidR="000907E2" w:rsidRPr="00524600">
        <w:t xml:space="preserve">policing but for other agencies to develop effective strategies that identify the issues at an early stage which with early intervention can </w:t>
      </w:r>
      <w:r w:rsidR="00A46CAC">
        <w:t xml:space="preserve">help </w:t>
      </w:r>
      <w:r w:rsidR="000907E2" w:rsidRPr="00524600">
        <w:t>reduc</w:t>
      </w:r>
      <w:r w:rsidR="00A46CAC">
        <w:t>ing</w:t>
      </w:r>
      <w:r w:rsidR="000907E2" w:rsidRPr="00524600">
        <w:t xml:space="preserve"> the risk of harm to the individual in the hope of preventing them being a victim. </w:t>
      </w:r>
    </w:p>
    <w:p w14:paraId="39DC54C9" w14:textId="77777777" w:rsidR="004C215A" w:rsidRPr="00524600" w:rsidRDefault="004C215A" w:rsidP="0073740F"/>
    <w:p w14:paraId="0F5F7CDD" w14:textId="1F9D6FF6" w:rsidR="000907E2" w:rsidRPr="00524600" w:rsidRDefault="000907E2" w:rsidP="0073740F">
      <w:r w:rsidRPr="00524600">
        <w:t xml:space="preserve">By understanding the factors which can contribute to vulnerability </w:t>
      </w:r>
      <w:r w:rsidR="004C215A" w:rsidRPr="00524600">
        <w:t xml:space="preserve">policing teams can </w:t>
      </w:r>
      <w:r w:rsidRPr="00524600">
        <w:t xml:space="preserve">ensure fair and impartial protection and support for all community members </w:t>
      </w:r>
      <w:r w:rsidR="00666877">
        <w:t>which can in turn make</w:t>
      </w:r>
      <w:r w:rsidRPr="00524600">
        <w:t xml:space="preserve"> a safe</w:t>
      </w:r>
      <w:r w:rsidR="00666877">
        <w:t>r</w:t>
      </w:r>
      <w:r w:rsidRPr="00524600">
        <w:t xml:space="preserve"> environment for everyone.</w:t>
      </w:r>
    </w:p>
    <w:p w14:paraId="3C421FFD" w14:textId="77777777" w:rsidR="004C215A" w:rsidRPr="00524600" w:rsidRDefault="004C215A" w:rsidP="0073740F"/>
    <w:p w14:paraId="473A26D8" w14:textId="77777777" w:rsidR="004C215A" w:rsidRDefault="004C215A" w:rsidP="0073740F"/>
    <w:p w14:paraId="5A76693D" w14:textId="77777777" w:rsidR="000907E2" w:rsidRDefault="000907E2" w:rsidP="0073740F"/>
    <w:p w14:paraId="2029ADC4" w14:textId="77777777" w:rsidR="00BD635D" w:rsidRDefault="00BD635D" w:rsidP="0096120D">
      <w:pPr>
        <w:rPr>
          <w:b/>
          <w:bCs/>
        </w:rPr>
      </w:pPr>
    </w:p>
    <w:p w14:paraId="19B05100" w14:textId="77777777" w:rsidR="00BD635D" w:rsidRDefault="00BD635D" w:rsidP="0096120D">
      <w:pPr>
        <w:rPr>
          <w:b/>
          <w:bCs/>
        </w:rPr>
      </w:pPr>
    </w:p>
    <w:p w14:paraId="04EA0BF1" w14:textId="4667069C" w:rsidR="00B05AFB" w:rsidRDefault="00B05AFB" w:rsidP="0096120D"/>
    <w:p w14:paraId="2DED35B3" w14:textId="77777777" w:rsidR="003B0F1E" w:rsidRDefault="003B0F1E" w:rsidP="0096120D"/>
    <w:p w14:paraId="281019D7" w14:textId="77777777" w:rsidR="00A46CAC" w:rsidRDefault="00A46CAC" w:rsidP="0096120D"/>
    <w:p w14:paraId="291504C0" w14:textId="77777777" w:rsidR="00A46CAC" w:rsidRDefault="00A46CAC" w:rsidP="0096120D"/>
    <w:p w14:paraId="680E3C80" w14:textId="77777777" w:rsidR="00A46CAC" w:rsidRDefault="00A46CAC" w:rsidP="0096120D"/>
    <w:p w14:paraId="330960E3" w14:textId="77777777" w:rsidR="00A46CAC" w:rsidRDefault="00A46CAC" w:rsidP="0096120D"/>
    <w:p w14:paraId="0CD6F8F4" w14:textId="77777777" w:rsidR="00A46CAC" w:rsidRDefault="00A46CAC" w:rsidP="0096120D"/>
    <w:p w14:paraId="1E48D890" w14:textId="77777777" w:rsidR="00A46CAC" w:rsidRDefault="00A46CAC" w:rsidP="0096120D"/>
    <w:p w14:paraId="479B2E79" w14:textId="77777777" w:rsidR="00A46CAC" w:rsidRDefault="00A46CAC" w:rsidP="0096120D"/>
    <w:p w14:paraId="29453EC0" w14:textId="77777777" w:rsidR="00A46CAC" w:rsidRDefault="00A46CAC" w:rsidP="0096120D"/>
    <w:p w14:paraId="6CA43EAF" w14:textId="77777777" w:rsidR="00A46CAC" w:rsidRDefault="00A46CAC" w:rsidP="0096120D"/>
    <w:p w14:paraId="1900250C" w14:textId="77777777" w:rsidR="00A46CAC" w:rsidRDefault="00A46CAC" w:rsidP="0096120D"/>
    <w:p w14:paraId="6E430D34" w14:textId="77777777" w:rsidR="00A46CAC" w:rsidRDefault="00A46CAC" w:rsidP="0096120D"/>
    <w:p w14:paraId="4D072996" w14:textId="77777777" w:rsidR="00A46CAC" w:rsidRDefault="00A46CAC" w:rsidP="0096120D"/>
    <w:p w14:paraId="12A40886" w14:textId="77777777" w:rsidR="00A46CAC" w:rsidRDefault="00A46CAC" w:rsidP="0096120D"/>
    <w:p w14:paraId="0B743CA4" w14:textId="77777777" w:rsidR="00A46CAC" w:rsidRDefault="00A46CAC" w:rsidP="0096120D"/>
    <w:p w14:paraId="15451425" w14:textId="77777777" w:rsidR="00A46CAC" w:rsidRDefault="00A46CAC" w:rsidP="0096120D"/>
    <w:p w14:paraId="21ABBEF2" w14:textId="77777777" w:rsidR="00A46CAC" w:rsidRDefault="00A46CAC" w:rsidP="0096120D"/>
    <w:p w14:paraId="42DADB62" w14:textId="77777777" w:rsidR="00A46CAC" w:rsidRDefault="00A46CAC" w:rsidP="0096120D"/>
    <w:p w14:paraId="7DE8BC06" w14:textId="1A8A4C46" w:rsidR="00A46CAC" w:rsidRDefault="00D8503C" w:rsidP="0096120D">
      <w:r>
        <w:lastRenderedPageBreak/>
        <w:t>References</w:t>
      </w:r>
    </w:p>
    <w:p w14:paraId="4255F19C" w14:textId="77777777" w:rsidR="00DB71A9" w:rsidRDefault="00DB71A9" w:rsidP="00D8503C"/>
    <w:p w14:paraId="45F4DF89" w14:textId="263FA42B" w:rsidR="00DB71A9" w:rsidRDefault="00DB71A9" w:rsidP="00D8503C">
      <w:r>
        <w:t>A</w:t>
      </w:r>
      <w:r w:rsidRPr="00D8503C">
        <w:t>brahams, C. (2008). </w:t>
      </w:r>
      <w:r w:rsidRPr="00D8503C">
        <w:rPr>
          <w:i/>
          <w:iCs/>
        </w:rPr>
        <w:t>News from Partners -Age UK Part of the exclusive bulletin from the LGA for prospective police and crime commissioners</w:t>
      </w:r>
      <w:r w:rsidRPr="00D8503C">
        <w:t xml:space="preserve">. </w:t>
      </w:r>
      <w:hyperlink r:id="rId5" w:history="1">
        <w:r w:rsidR="0042144C" w:rsidRPr="00D8503C">
          <w:rPr>
            <w:rStyle w:val="Hyperlink"/>
          </w:rPr>
          <w:t>https://www.local.gov.uk/sites/default/files/documents/news-partners-age-uk-597.pdf</w:t>
        </w:r>
      </w:hyperlink>
      <w:r w:rsidR="0042144C">
        <w:t xml:space="preserve"> (Accessed 28/10/2024)</w:t>
      </w:r>
    </w:p>
    <w:p w14:paraId="30FECABC" w14:textId="77777777" w:rsidR="00DB71A9" w:rsidRDefault="00DB71A9" w:rsidP="00D8503C"/>
    <w:p w14:paraId="5E3067C1" w14:textId="77777777" w:rsidR="00DB71A9" w:rsidRDefault="00DB71A9" w:rsidP="00D8503C">
      <w:r w:rsidRPr="00D8503C">
        <w:t xml:space="preserve">Asquith, N.L., </w:t>
      </w:r>
      <w:proofErr w:type="spellStart"/>
      <w:r w:rsidRPr="00D8503C">
        <w:t>Bartkowiak-ThéronI</w:t>
      </w:r>
      <w:proofErr w:type="spellEnd"/>
      <w:r w:rsidRPr="00D8503C">
        <w:t>., Roberts, K.A. and Springer International Publishing Ag (2018). </w:t>
      </w:r>
      <w:r w:rsidRPr="00D8503C">
        <w:rPr>
          <w:i/>
          <w:iCs/>
        </w:rPr>
        <w:t>Policing Encounters with Vulnerability.</w:t>
      </w:r>
      <w:r w:rsidRPr="00D8503C">
        <w:t> Cham Springer International Publishing Palgrave Macmillan, pp.1–5.</w:t>
      </w:r>
    </w:p>
    <w:p w14:paraId="57B8A7A5" w14:textId="77777777" w:rsidR="00DB71A9" w:rsidRDefault="00DB71A9" w:rsidP="00D8503C"/>
    <w:p w14:paraId="020940EB" w14:textId="4D81C177" w:rsidR="00DB71A9" w:rsidRDefault="00DB71A9" w:rsidP="00D8503C">
      <w:r w:rsidRPr="00D8503C">
        <w:t>Callanan, M., Brown, A., Turley, C., Kenny, T. and Roberts, J. (2012). </w:t>
      </w:r>
      <w:r w:rsidRPr="00D8503C">
        <w:rPr>
          <w:i/>
          <w:iCs/>
        </w:rPr>
        <w:t>Evidence and Practice Review of support for victims and outcome measurement</w:t>
      </w:r>
      <w:r w:rsidRPr="00D8503C">
        <w:t xml:space="preserve">. </w:t>
      </w:r>
      <w:hyperlink r:id="rId6" w:history="1">
        <w:r w:rsidR="0042144C" w:rsidRPr="00D8503C">
          <w:rPr>
            <w:rStyle w:val="Hyperlink"/>
          </w:rPr>
          <w:t>https://assets.publishing.service.gov.uk/media/5a7c6e9ded915d6969f44d12/evidence-practice-review-support-for-victims-outcome-measurement.pdf</w:t>
        </w:r>
      </w:hyperlink>
      <w:r w:rsidR="0042144C">
        <w:t xml:space="preserve"> (Accessed 31/10/2024)</w:t>
      </w:r>
    </w:p>
    <w:p w14:paraId="5BBAA45B" w14:textId="77777777" w:rsidR="00DB71A9" w:rsidRDefault="00DB71A9" w:rsidP="00D8503C"/>
    <w:p w14:paraId="380C16C4" w14:textId="267827E3" w:rsidR="00DB71A9" w:rsidRDefault="00DB71A9" w:rsidP="00D8503C">
      <w:r w:rsidRPr="00D8503C">
        <w:t>College of Policing (2021). </w:t>
      </w:r>
      <w:r w:rsidRPr="00D8503C">
        <w:rPr>
          <w:i/>
          <w:iCs/>
        </w:rPr>
        <w:t>Introduction to Vulnerability-Related Risk</w:t>
      </w:r>
      <w:r w:rsidRPr="00D8503C">
        <w:t xml:space="preserve">. College of Policing. </w:t>
      </w:r>
      <w:hyperlink r:id="rId7" w:history="1">
        <w:r w:rsidR="0042144C" w:rsidRPr="00D8503C">
          <w:rPr>
            <w:rStyle w:val="Hyperlink"/>
          </w:rPr>
          <w:t>https://www.college.police.uk/guidance/vulnerability-related-risks/introduction-vulnerability-related-risk</w:t>
        </w:r>
      </w:hyperlink>
      <w:r w:rsidR="0042144C">
        <w:t xml:space="preserve"> (Accessed 28/10/2024)</w:t>
      </w:r>
    </w:p>
    <w:p w14:paraId="11813A73" w14:textId="77777777" w:rsidR="00DB71A9" w:rsidRDefault="00DB71A9" w:rsidP="00D8503C"/>
    <w:p w14:paraId="42D23B2A" w14:textId="4651A96E" w:rsidR="00DB71A9" w:rsidRDefault="00DB71A9" w:rsidP="00D8503C">
      <w:r w:rsidRPr="00D8503C">
        <w:t>Department for Education (2010). </w:t>
      </w:r>
      <w:r w:rsidRPr="00D8503C">
        <w:rPr>
          <w:i/>
          <w:iCs/>
        </w:rPr>
        <w:t>Peter Connelly Serious Case Review reports published</w:t>
      </w:r>
      <w:r w:rsidRPr="00D8503C">
        <w:t xml:space="preserve">. [online] GOV.UK. </w:t>
      </w:r>
      <w:hyperlink r:id="rId8" w:history="1">
        <w:r w:rsidRPr="00D8503C">
          <w:rPr>
            <w:rStyle w:val="Hyperlink"/>
          </w:rPr>
          <w:t>https://www.gov.uk/government/news/peter-connelly-serious-case-review-reports-published</w:t>
        </w:r>
      </w:hyperlink>
      <w:r w:rsidRPr="00D8503C">
        <w:t>.</w:t>
      </w:r>
      <w:r w:rsidR="0042144C">
        <w:t xml:space="preserve"> (Accessed 31/10/2028)</w:t>
      </w:r>
    </w:p>
    <w:p w14:paraId="5525D05A" w14:textId="77777777" w:rsidR="00DB71A9" w:rsidRDefault="00DB71A9" w:rsidP="00D8503C"/>
    <w:p w14:paraId="1634A290" w14:textId="45DDC331" w:rsidR="00DB71A9" w:rsidRDefault="00DB71A9" w:rsidP="00D8503C">
      <w:r w:rsidRPr="00D8503C">
        <w:t>Dryden, F. (2017). </w:t>
      </w:r>
      <w:r w:rsidRPr="00D8503C">
        <w:rPr>
          <w:i/>
          <w:iCs/>
        </w:rPr>
        <w:t>Councils claim changes have been made since tragic deaths</w:t>
      </w:r>
      <w:r w:rsidRPr="00D8503C">
        <w:t xml:space="preserve">. Leicestershire Live. </w:t>
      </w:r>
      <w:hyperlink r:id="rId9" w:history="1">
        <w:r w:rsidR="00E6502C" w:rsidRPr="00D8503C">
          <w:rPr>
            <w:rStyle w:val="Hyperlink"/>
          </w:rPr>
          <w:t>https://www.leicestermercury.co.uk/news/local-news/improvements-been-made-tragic-deaths-669970</w:t>
        </w:r>
      </w:hyperlink>
      <w:r w:rsidR="00E6502C">
        <w:t xml:space="preserve"> (Accessed 31/10/2024)</w:t>
      </w:r>
    </w:p>
    <w:p w14:paraId="507AB5AB" w14:textId="77777777" w:rsidR="00DB71A9" w:rsidRPr="00D8503C" w:rsidRDefault="00DB71A9" w:rsidP="00D8503C"/>
    <w:p w14:paraId="7C4D1BCA" w14:textId="51141CA5" w:rsidR="00DB71A9" w:rsidRDefault="00DB71A9" w:rsidP="00D8503C">
      <w:r w:rsidRPr="00D8503C">
        <w:t>Home Office (2022). </w:t>
      </w:r>
      <w:r w:rsidRPr="00D8503C">
        <w:rPr>
          <w:i/>
          <w:iCs/>
        </w:rPr>
        <w:t>Vulnerabilities: Applying All Our Health</w:t>
      </w:r>
      <w:r w:rsidRPr="00D8503C">
        <w:t xml:space="preserve">. Gov.uk. </w:t>
      </w:r>
      <w:hyperlink r:id="rId10" w:history="1">
        <w:r w:rsidR="00E6502C" w:rsidRPr="00D8503C">
          <w:rPr>
            <w:rStyle w:val="Hyperlink"/>
          </w:rPr>
          <w:t>https://www.gov.uk/government/publications/vulnerabilities-applying-all-our-health/vulnerabilities-applying-all-our-health</w:t>
        </w:r>
      </w:hyperlink>
      <w:r w:rsidR="00E6502C">
        <w:t xml:space="preserve"> (Accessed 28/10/2024)</w:t>
      </w:r>
    </w:p>
    <w:p w14:paraId="7FFB4DF8" w14:textId="77777777" w:rsidR="00DB71A9" w:rsidRPr="00D8503C" w:rsidRDefault="00DB71A9" w:rsidP="00D8503C"/>
    <w:p w14:paraId="35301E67" w14:textId="0B9BBB5D" w:rsidR="00DB71A9" w:rsidRDefault="00DB71A9" w:rsidP="00D8503C">
      <w:r w:rsidRPr="00D8503C">
        <w:t>Home Office (2023). </w:t>
      </w:r>
      <w:r w:rsidRPr="00D8503C">
        <w:rPr>
          <w:i/>
          <w:iCs/>
        </w:rPr>
        <w:t>New strategy to tackle organised crime</w:t>
      </w:r>
      <w:r w:rsidRPr="00D8503C">
        <w:t xml:space="preserve">. GOV.UK. </w:t>
      </w:r>
      <w:hyperlink r:id="rId11" w:history="1">
        <w:r w:rsidRPr="00D8503C">
          <w:rPr>
            <w:rStyle w:val="Hyperlink"/>
          </w:rPr>
          <w:t>https://www.gov.uk/government/news/new-strategy-to-tackle-organised-crime</w:t>
        </w:r>
      </w:hyperlink>
      <w:r w:rsidRPr="00D8503C">
        <w:t>.</w:t>
      </w:r>
    </w:p>
    <w:p w14:paraId="64293E34" w14:textId="77777777" w:rsidR="00DB71A9" w:rsidRDefault="00DB71A9" w:rsidP="00D8503C"/>
    <w:p w14:paraId="120B1F3A" w14:textId="3F044A5C" w:rsidR="00DB71A9" w:rsidRDefault="00DB71A9" w:rsidP="00D8503C">
      <w:r w:rsidRPr="00D8503C">
        <w:t>IOPC (2017). </w:t>
      </w:r>
      <w:r w:rsidRPr="00D8503C">
        <w:rPr>
          <w:i/>
          <w:iCs/>
        </w:rPr>
        <w:t>IPCC ‘Six missed chances’ report | Independent Office for Police Conduct (IOPC)</w:t>
      </w:r>
      <w:r w:rsidRPr="00D8503C">
        <w:t xml:space="preserve">. </w:t>
      </w:r>
      <w:hyperlink r:id="rId12" w:history="1">
        <w:r w:rsidR="00E6502C" w:rsidRPr="00D8503C">
          <w:rPr>
            <w:rStyle w:val="Hyperlink"/>
          </w:rPr>
          <w:t>www.policeconduct.gov.uk</w:t>
        </w:r>
      </w:hyperlink>
      <w:r w:rsidR="00E6502C">
        <w:t xml:space="preserve"> </w:t>
      </w:r>
      <w:hyperlink r:id="rId13" w:history="1">
        <w:r w:rsidR="004D44E2" w:rsidRPr="00D8503C">
          <w:rPr>
            <w:rStyle w:val="Hyperlink"/>
          </w:rPr>
          <w:t>https://www.policeconduct.gov.uk/publications/ipcc-six-missed-chances-report</w:t>
        </w:r>
      </w:hyperlink>
      <w:r w:rsidR="004D44E2">
        <w:t xml:space="preserve"> (</w:t>
      </w:r>
      <w:r w:rsidRPr="00D8503C">
        <w:t xml:space="preserve">Accessed </w:t>
      </w:r>
      <w:r w:rsidR="004D44E2">
        <w:t>30/10/2024)</w:t>
      </w:r>
    </w:p>
    <w:p w14:paraId="5B1F79FE" w14:textId="77777777" w:rsidR="00DB71A9" w:rsidRDefault="00DB71A9" w:rsidP="00D8503C"/>
    <w:p w14:paraId="4FB9A453" w14:textId="7949A046" w:rsidR="00DB71A9" w:rsidRDefault="00DB71A9" w:rsidP="00D8503C">
      <w:r w:rsidRPr="00D8503C">
        <w:t>IOPC (2024). </w:t>
      </w:r>
      <w:r w:rsidRPr="00D8503C">
        <w:rPr>
          <w:i/>
          <w:iCs/>
        </w:rPr>
        <w:t>Learning the Lessons issue 43 - mental health | Independent Office for Police Conduct (IOPC)</w:t>
      </w:r>
      <w:r w:rsidRPr="00D8503C">
        <w:t xml:space="preserve">. www.policeconduct.gov.uk. </w:t>
      </w:r>
      <w:hyperlink r:id="rId14" w:history="1">
        <w:r w:rsidR="004D44E2" w:rsidRPr="00D8503C">
          <w:rPr>
            <w:rStyle w:val="Hyperlink"/>
          </w:rPr>
          <w:t>https://www.policeconduct.gov.uk/publications/learning-lessons-issue-43-mental-health</w:t>
        </w:r>
      </w:hyperlink>
      <w:r w:rsidR="004D44E2">
        <w:t xml:space="preserve"> (Accessed 28/10/2024)</w:t>
      </w:r>
    </w:p>
    <w:p w14:paraId="1FE1DD18" w14:textId="5C7CA129" w:rsidR="00DB71A9" w:rsidRDefault="00DB71A9" w:rsidP="00D8503C">
      <w:r w:rsidRPr="00D8503C">
        <w:lastRenderedPageBreak/>
        <w:t>IPCC (2014). </w:t>
      </w:r>
      <w:r w:rsidRPr="00D8503C">
        <w:rPr>
          <w:i/>
          <w:iCs/>
        </w:rPr>
        <w:t>Investigation into police contact and response to calls for assistance by Mr Bijan Ebrahimi between Thursday 11 July 2013 and Sunday 14 July 2013.</w:t>
      </w:r>
      <w:r w:rsidRPr="00D8503C">
        <w:t xml:space="preserve">  webarchive.nationalarchives.gov.uk. </w:t>
      </w:r>
      <w:hyperlink r:id="rId15" w:history="1">
        <w:r w:rsidR="004D44E2" w:rsidRPr="00D8503C">
          <w:rPr>
            <w:rStyle w:val="Hyperlink"/>
          </w:rPr>
          <w:t>https://webarchive.nationalarchives.gov.uk/ukgwa/20180301161130/https:/www.ipcc.gov.uk/cy/node/22127</w:t>
        </w:r>
      </w:hyperlink>
      <w:r w:rsidR="004D44E2">
        <w:t xml:space="preserve"> (Accessed 21/10/2024)</w:t>
      </w:r>
    </w:p>
    <w:p w14:paraId="1C2038A6" w14:textId="77777777" w:rsidR="00DB71A9" w:rsidRDefault="00DB71A9" w:rsidP="00D8503C"/>
    <w:p w14:paraId="36EBAC80" w14:textId="13CA931B" w:rsidR="00DB71A9" w:rsidRDefault="00DB71A9" w:rsidP="00D8503C">
      <w:r w:rsidRPr="00D8503C">
        <w:t>Laming, L. (2009). </w:t>
      </w:r>
      <w:r w:rsidRPr="00D8503C">
        <w:rPr>
          <w:i/>
          <w:iCs/>
        </w:rPr>
        <w:t xml:space="preserve">The Protection of Children in England: A Progress Report </w:t>
      </w:r>
      <w:proofErr w:type="gramStart"/>
      <w:r w:rsidRPr="00D8503C">
        <w:rPr>
          <w:i/>
          <w:iCs/>
        </w:rPr>
        <w:t>The</w:t>
      </w:r>
      <w:proofErr w:type="gramEnd"/>
      <w:r w:rsidRPr="00D8503C">
        <w:rPr>
          <w:i/>
          <w:iCs/>
        </w:rPr>
        <w:t xml:space="preserve"> Lord Laming</w:t>
      </w:r>
      <w:r w:rsidRPr="00D8503C">
        <w:t>.</w:t>
      </w:r>
      <w:r w:rsidR="004D44E2">
        <w:t xml:space="preserve"> </w:t>
      </w:r>
      <w:hyperlink r:id="rId16" w:history="1">
        <w:r w:rsidRPr="00D8503C">
          <w:rPr>
            <w:rStyle w:val="Hyperlink"/>
          </w:rPr>
          <w:t>https://assets.publishing.service.gov.uk/media/5a7eb005e5274a2e8ab478fb/The_Protection_of_Children_in_England.pdf</w:t>
        </w:r>
      </w:hyperlink>
      <w:r w:rsidRPr="00D8503C">
        <w:t>.</w:t>
      </w:r>
      <w:r w:rsidR="004D44E2">
        <w:t xml:space="preserve"> (Accessed 21/10/2024)</w:t>
      </w:r>
    </w:p>
    <w:p w14:paraId="31C00F68" w14:textId="77777777" w:rsidR="00DB71A9" w:rsidRDefault="00DB71A9" w:rsidP="00D8503C"/>
    <w:p w14:paraId="0A45689F" w14:textId="160B3C80" w:rsidR="00DB71A9" w:rsidRDefault="00DB71A9" w:rsidP="00BC47E2">
      <w:r w:rsidRPr="00BC47E2">
        <w:t>Morabito, M.S. (2014). </w:t>
      </w:r>
      <w:r w:rsidRPr="00BC47E2">
        <w:rPr>
          <w:i/>
          <w:iCs/>
        </w:rPr>
        <w:t>Policing Vulnerable Populations</w:t>
      </w:r>
      <w:r w:rsidRPr="00BC47E2">
        <w:t>. </w:t>
      </w:r>
      <w:r w:rsidRPr="00BC47E2">
        <w:rPr>
          <w:i/>
          <w:iCs/>
        </w:rPr>
        <w:t>Oxford Handbooks Online</w:t>
      </w:r>
      <w:r w:rsidRPr="00BC47E2">
        <w:t xml:space="preserve">. Oxford University Press. </w:t>
      </w:r>
      <w:proofErr w:type="spellStart"/>
      <w:proofErr w:type="gramStart"/>
      <w:r w:rsidRPr="00BC47E2">
        <w:t>doi:https</w:t>
      </w:r>
      <w:proofErr w:type="spellEnd"/>
      <w:r w:rsidRPr="00BC47E2">
        <w:t>://doi.org/10.1093/</w:t>
      </w:r>
      <w:proofErr w:type="spellStart"/>
      <w:r w:rsidRPr="00BC47E2">
        <w:t>oxfordhb</w:t>
      </w:r>
      <w:proofErr w:type="spellEnd"/>
      <w:r w:rsidRPr="00BC47E2">
        <w:t>/9780199843886.013.022</w:t>
      </w:r>
      <w:proofErr w:type="gramEnd"/>
      <w:r w:rsidRPr="00BC47E2">
        <w:t>.</w:t>
      </w:r>
      <w:r>
        <w:t xml:space="preserve"> </w:t>
      </w:r>
      <w:r w:rsidR="000908F9">
        <w:t>(Accessed 21/10/2024)</w:t>
      </w:r>
    </w:p>
    <w:p w14:paraId="39085CFA" w14:textId="77777777" w:rsidR="00DB71A9" w:rsidRDefault="00DB71A9" w:rsidP="00BC47E2"/>
    <w:p w14:paraId="4741A4A3" w14:textId="1F9E02F9" w:rsidR="00DB71A9" w:rsidRDefault="00DB71A9" w:rsidP="00BC47E2">
      <w:r w:rsidRPr="00BC47E2">
        <w:t xml:space="preserve">Pettitt, B., Greenhead, S., Drennan, V., Hart, T., Hogg, J., </w:t>
      </w:r>
      <w:proofErr w:type="spellStart"/>
      <w:r w:rsidRPr="00BC47E2">
        <w:t>Borschmann</w:t>
      </w:r>
      <w:proofErr w:type="spellEnd"/>
      <w:r w:rsidRPr="00BC47E2">
        <w:t>, R., Mamo, E. and Moran, P. (2013). </w:t>
      </w:r>
      <w:r w:rsidRPr="00BC47E2">
        <w:rPr>
          <w:i/>
          <w:iCs/>
        </w:rPr>
        <w:t xml:space="preserve">The criminal victimisation of people with mental health problems At </w:t>
      </w:r>
      <w:proofErr w:type="gramStart"/>
      <w:r w:rsidRPr="00BC47E2">
        <w:rPr>
          <w:i/>
          <w:iCs/>
        </w:rPr>
        <w:t>risk, yet</w:t>
      </w:r>
      <w:proofErr w:type="gramEnd"/>
      <w:r w:rsidRPr="00BC47E2">
        <w:rPr>
          <w:i/>
          <w:iCs/>
        </w:rPr>
        <w:t xml:space="preserve"> dismissed</w:t>
      </w:r>
      <w:r w:rsidRPr="00BC47E2">
        <w:t xml:space="preserve">. </w:t>
      </w:r>
      <w:r w:rsidRPr="00BC47E2">
        <w:rPr>
          <w:i/>
          <w:iCs/>
        </w:rPr>
        <w:t>mind.org.uk</w:t>
      </w:r>
      <w:r w:rsidRPr="00BC47E2">
        <w:t xml:space="preserve">. </w:t>
      </w:r>
      <w:hyperlink r:id="rId17" w:history="1">
        <w:r w:rsidRPr="00BC47E2">
          <w:rPr>
            <w:rStyle w:val="Hyperlink"/>
          </w:rPr>
          <w:t>https://www.mind.org.uk/media-a/4121/at-risk-yet-dismissed-report.pdf</w:t>
        </w:r>
      </w:hyperlink>
      <w:r w:rsidR="000908F9">
        <w:rPr>
          <w:rStyle w:val="Hyperlink"/>
        </w:rPr>
        <w:t xml:space="preserve"> (A</w:t>
      </w:r>
      <w:r w:rsidRPr="00BC47E2">
        <w:t xml:space="preserve">ccessed </w:t>
      </w:r>
      <w:r>
        <w:t>28/10/</w:t>
      </w:r>
      <w:r w:rsidRPr="00BC47E2">
        <w:t>2024</w:t>
      </w:r>
      <w:r w:rsidR="000908F9">
        <w:t>)</w:t>
      </w:r>
    </w:p>
    <w:p w14:paraId="0B7BD490" w14:textId="77777777" w:rsidR="00DB71A9" w:rsidRDefault="00DB71A9" w:rsidP="00BC47E2"/>
    <w:p w14:paraId="5958EB97" w14:textId="02BCCA00" w:rsidR="00DB71A9" w:rsidRDefault="00DB71A9" w:rsidP="00D8503C">
      <w:r w:rsidRPr="00D8503C">
        <w:t>Stop Hate UK (2023). </w:t>
      </w:r>
      <w:r w:rsidRPr="00D8503C">
        <w:rPr>
          <w:i/>
          <w:iCs/>
        </w:rPr>
        <w:t>Stop Hate UK Statistical Review 2022-23</w:t>
      </w:r>
      <w:r w:rsidRPr="00D8503C">
        <w:t xml:space="preserve">. </w:t>
      </w:r>
      <w:hyperlink r:id="rId18" w:history="1">
        <w:r w:rsidR="000908F9" w:rsidRPr="00D8503C">
          <w:rPr>
            <w:rStyle w:val="Hyperlink"/>
          </w:rPr>
          <w:t>https://www.stophateuk.org/wp-content/uploads/2023/11/Annual-report-22-23.pdf</w:t>
        </w:r>
      </w:hyperlink>
      <w:r w:rsidR="000908F9">
        <w:t xml:space="preserve"> (</w:t>
      </w:r>
      <w:r w:rsidRPr="00D8503C">
        <w:t xml:space="preserve">Accessed </w:t>
      </w:r>
      <w:r w:rsidR="000908F9">
        <w:t>21/10/2024)</w:t>
      </w:r>
    </w:p>
    <w:p w14:paraId="7EAF9158" w14:textId="77777777" w:rsidR="00DB71A9" w:rsidRDefault="00DB71A9" w:rsidP="00D8503C"/>
    <w:p w14:paraId="3D6CA36E" w14:textId="73ED0C5C" w:rsidR="00D8503C" w:rsidRPr="00D8503C" w:rsidRDefault="00D8503C" w:rsidP="00D8503C">
      <w:r w:rsidRPr="00D8503C">
        <w:t>The Sophie Lancaster Foundation (2013). </w:t>
      </w:r>
      <w:r w:rsidRPr="00D8503C">
        <w:rPr>
          <w:i/>
          <w:iCs/>
        </w:rPr>
        <w:t>The Sophie Lancaster Foundation</w:t>
      </w:r>
      <w:r w:rsidRPr="00D8503C">
        <w:t xml:space="preserve">. Sophielancasterfoundation.com. </w:t>
      </w:r>
      <w:hyperlink r:id="rId19" w:history="1">
        <w:r w:rsidR="000908F9" w:rsidRPr="00D8503C">
          <w:rPr>
            <w:rStyle w:val="Hyperlink"/>
          </w:rPr>
          <w:t>https://www.sophielancasterfoundation.com</w:t>
        </w:r>
      </w:hyperlink>
      <w:r w:rsidR="000908F9">
        <w:t xml:space="preserve"> (</w:t>
      </w:r>
      <w:r w:rsidRPr="00D8503C">
        <w:t xml:space="preserve">Accessed </w:t>
      </w:r>
      <w:r w:rsidR="000908F9">
        <w:t>28/10/2024)</w:t>
      </w:r>
    </w:p>
    <w:p w14:paraId="6C67B22D" w14:textId="77777777" w:rsidR="00D8503C" w:rsidRDefault="00D8503C" w:rsidP="00D8503C"/>
    <w:p w14:paraId="0BC68CBB" w14:textId="2EBB8EF2" w:rsidR="00D8503C" w:rsidRPr="00D8503C" w:rsidRDefault="00D8503C" w:rsidP="00D8503C">
      <w:r w:rsidRPr="00D8503C">
        <w:t>Williams, B. (2023). </w:t>
      </w:r>
      <w:r w:rsidRPr="00D8503C">
        <w:rPr>
          <w:i/>
          <w:iCs/>
        </w:rPr>
        <w:t>Policing Mental Health, Vulnerability and Risk</w:t>
      </w:r>
      <w:r w:rsidRPr="00D8503C">
        <w:t>. Critical Publishing, pp.44–55.</w:t>
      </w:r>
    </w:p>
    <w:p w14:paraId="3FD11FF2" w14:textId="77777777" w:rsidR="00D8503C" w:rsidRDefault="00D8503C" w:rsidP="00BC47E2"/>
    <w:sectPr w:rsidR="00D8503C" w:rsidSect="0096120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B2C33D1"/>
    <w:multiLevelType w:val="multilevel"/>
    <w:tmpl w:val="1FA42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D453E9"/>
    <w:multiLevelType w:val="multilevel"/>
    <w:tmpl w:val="D04CA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3D6E0A"/>
    <w:multiLevelType w:val="multilevel"/>
    <w:tmpl w:val="94446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70185917">
    <w:abstractNumId w:val="0"/>
  </w:num>
  <w:num w:numId="2" w16cid:durableId="283537621">
    <w:abstractNumId w:val="3"/>
  </w:num>
  <w:num w:numId="3" w16cid:durableId="1237130254">
    <w:abstractNumId w:val="2"/>
  </w:num>
  <w:num w:numId="4" w16cid:durableId="10914372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20D"/>
    <w:rsid w:val="00020281"/>
    <w:rsid w:val="00047F18"/>
    <w:rsid w:val="000907E2"/>
    <w:rsid w:val="000908F9"/>
    <w:rsid w:val="000C2E64"/>
    <w:rsid w:val="000C51EC"/>
    <w:rsid w:val="000F16A1"/>
    <w:rsid w:val="001445C3"/>
    <w:rsid w:val="001A6AD8"/>
    <w:rsid w:val="001B616E"/>
    <w:rsid w:val="00277A3A"/>
    <w:rsid w:val="00283069"/>
    <w:rsid w:val="003B0F1E"/>
    <w:rsid w:val="003F6261"/>
    <w:rsid w:val="0042144C"/>
    <w:rsid w:val="004C215A"/>
    <w:rsid w:val="004D44E2"/>
    <w:rsid w:val="00524600"/>
    <w:rsid w:val="0059745C"/>
    <w:rsid w:val="005B421C"/>
    <w:rsid w:val="00666877"/>
    <w:rsid w:val="0073740F"/>
    <w:rsid w:val="00755570"/>
    <w:rsid w:val="00816EA0"/>
    <w:rsid w:val="008730B8"/>
    <w:rsid w:val="008F1985"/>
    <w:rsid w:val="008F695C"/>
    <w:rsid w:val="0094208C"/>
    <w:rsid w:val="00951CAB"/>
    <w:rsid w:val="0096120D"/>
    <w:rsid w:val="009933C4"/>
    <w:rsid w:val="00994D00"/>
    <w:rsid w:val="00A13E03"/>
    <w:rsid w:val="00A46CAC"/>
    <w:rsid w:val="00A74BEB"/>
    <w:rsid w:val="00A91356"/>
    <w:rsid w:val="00AE4CC5"/>
    <w:rsid w:val="00B05AFB"/>
    <w:rsid w:val="00B13887"/>
    <w:rsid w:val="00B85D69"/>
    <w:rsid w:val="00BB5F3A"/>
    <w:rsid w:val="00BC47E2"/>
    <w:rsid w:val="00BD635D"/>
    <w:rsid w:val="00BF4926"/>
    <w:rsid w:val="00C3078F"/>
    <w:rsid w:val="00C340D2"/>
    <w:rsid w:val="00CD0F77"/>
    <w:rsid w:val="00CF5AC5"/>
    <w:rsid w:val="00D54313"/>
    <w:rsid w:val="00D8503C"/>
    <w:rsid w:val="00D91B07"/>
    <w:rsid w:val="00DB71A9"/>
    <w:rsid w:val="00E6502C"/>
    <w:rsid w:val="00E86E35"/>
    <w:rsid w:val="00EC563F"/>
    <w:rsid w:val="00F12077"/>
    <w:rsid w:val="00F55B17"/>
    <w:rsid w:val="00FD15C3"/>
    <w:rsid w:val="00FF7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211E2C"/>
  <w15:chartTrackingRefBased/>
  <w15:docId w15:val="{D975EA7E-5111-DC45-8032-B05F7F4F7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2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12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12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12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12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12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2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2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2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2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12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12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12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12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12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2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2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20D"/>
    <w:rPr>
      <w:rFonts w:eastAsiaTheme="majorEastAsia" w:cstheme="majorBidi"/>
      <w:color w:val="272727" w:themeColor="text1" w:themeTint="D8"/>
    </w:rPr>
  </w:style>
  <w:style w:type="paragraph" w:styleId="Title">
    <w:name w:val="Title"/>
    <w:basedOn w:val="Normal"/>
    <w:next w:val="Normal"/>
    <w:link w:val="TitleChar"/>
    <w:uiPriority w:val="10"/>
    <w:qFormat/>
    <w:rsid w:val="009612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2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20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2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2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120D"/>
    <w:rPr>
      <w:i/>
      <w:iCs/>
      <w:color w:val="404040" w:themeColor="text1" w:themeTint="BF"/>
    </w:rPr>
  </w:style>
  <w:style w:type="paragraph" w:styleId="ListParagraph">
    <w:name w:val="List Paragraph"/>
    <w:basedOn w:val="Normal"/>
    <w:uiPriority w:val="34"/>
    <w:qFormat/>
    <w:rsid w:val="0096120D"/>
    <w:pPr>
      <w:ind w:left="720"/>
      <w:contextualSpacing/>
    </w:pPr>
  </w:style>
  <w:style w:type="character" w:styleId="IntenseEmphasis">
    <w:name w:val="Intense Emphasis"/>
    <w:basedOn w:val="DefaultParagraphFont"/>
    <w:uiPriority w:val="21"/>
    <w:qFormat/>
    <w:rsid w:val="0096120D"/>
    <w:rPr>
      <w:i/>
      <w:iCs/>
      <w:color w:val="2F5496" w:themeColor="accent1" w:themeShade="BF"/>
    </w:rPr>
  </w:style>
  <w:style w:type="paragraph" w:styleId="IntenseQuote">
    <w:name w:val="Intense Quote"/>
    <w:basedOn w:val="Normal"/>
    <w:next w:val="Normal"/>
    <w:link w:val="IntenseQuoteChar"/>
    <w:uiPriority w:val="30"/>
    <w:qFormat/>
    <w:rsid w:val="009612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120D"/>
    <w:rPr>
      <w:i/>
      <w:iCs/>
      <w:color w:val="2F5496" w:themeColor="accent1" w:themeShade="BF"/>
    </w:rPr>
  </w:style>
  <w:style w:type="character" w:styleId="IntenseReference">
    <w:name w:val="Intense Reference"/>
    <w:basedOn w:val="DefaultParagraphFont"/>
    <w:uiPriority w:val="32"/>
    <w:qFormat/>
    <w:rsid w:val="0096120D"/>
    <w:rPr>
      <w:b/>
      <w:bCs/>
      <w:smallCaps/>
      <w:color w:val="2F5496" w:themeColor="accent1" w:themeShade="BF"/>
      <w:spacing w:val="5"/>
    </w:rPr>
  </w:style>
  <w:style w:type="paragraph" w:styleId="NormalWeb">
    <w:name w:val="Normal (Web)"/>
    <w:basedOn w:val="Normal"/>
    <w:uiPriority w:val="99"/>
    <w:semiHidden/>
    <w:unhideWhenUsed/>
    <w:rsid w:val="00951CA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C47E2"/>
    <w:rPr>
      <w:color w:val="0563C1" w:themeColor="hyperlink"/>
      <w:u w:val="single"/>
    </w:rPr>
  </w:style>
  <w:style w:type="character" w:styleId="UnresolvedMention">
    <w:name w:val="Unresolved Mention"/>
    <w:basedOn w:val="DefaultParagraphFont"/>
    <w:uiPriority w:val="99"/>
    <w:semiHidden/>
    <w:unhideWhenUsed/>
    <w:rsid w:val="00BC47E2"/>
    <w:rPr>
      <w:color w:val="605E5C"/>
      <w:shd w:val="clear" w:color="auto" w:fill="E1DFDD"/>
    </w:rPr>
  </w:style>
  <w:style w:type="character" w:styleId="FollowedHyperlink">
    <w:name w:val="FollowedHyperlink"/>
    <w:basedOn w:val="DefaultParagraphFont"/>
    <w:uiPriority w:val="99"/>
    <w:semiHidden/>
    <w:unhideWhenUsed/>
    <w:rsid w:val="00EC563F"/>
    <w:rPr>
      <w:color w:val="954F72" w:themeColor="followedHyperlink"/>
      <w:u w:val="single"/>
    </w:rPr>
  </w:style>
  <w:style w:type="character" w:customStyle="1" w:styleId="apple-converted-space">
    <w:name w:val="apple-converted-space"/>
    <w:basedOn w:val="DefaultParagraphFont"/>
    <w:rsid w:val="000C2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130378">
      <w:bodyDiv w:val="1"/>
      <w:marLeft w:val="0"/>
      <w:marRight w:val="0"/>
      <w:marTop w:val="0"/>
      <w:marBottom w:val="0"/>
      <w:divBdr>
        <w:top w:val="none" w:sz="0" w:space="0" w:color="auto"/>
        <w:left w:val="none" w:sz="0" w:space="0" w:color="auto"/>
        <w:bottom w:val="none" w:sz="0" w:space="0" w:color="auto"/>
        <w:right w:val="none" w:sz="0" w:space="0" w:color="auto"/>
      </w:divBdr>
      <w:divsChild>
        <w:div w:id="1524518851">
          <w:marLeft w:val="0"/>
          <w:marRight w:val="0"/>
          <w:marTop w:val="0"/>
          <w:marBottom w:val="0"/>
          <w:divBdr>
            <w:top w:val="none" w:sz="0" w:space="0" w:color="auto"/>
            <w:left w:val="none" w:sz="0" w:space="0" w:color="auto"/>
            <w:bottom w:val="none" w:sz="0" w:space="0" w:color="auto"/>
            <w:right w:val="none" w:sz="0" w:space="0" w:color="auto"/>
          </w:divBdr>
        </w:div>
      </w:divsChild>
    </w:div>
    <w:div w:id="192503776">
      <w:bodyDiv w:val="1"/>
      <w:marLeft w:val="0"/>
      <w:marRight w:val="0"/>
      <w:marTop w:val="0"/>
      <w:marBottom w:val="0"/>
      <w:divBdr>
        <w:top w:val="none" w:sz="0" w:space="0" w:color="auto"/>
        <w:left w:val="none" w:sz="0" w:space="0" w:color="auto"/>
        <w:bottom w:val="none" w:sz="0" w:space="0" w:color="auto"/>
        <w:right w:val="none" w:sz="0" w:space="0" w:color="auto"/>
      </w:divBdr>
      <w:divsChild>
        <w:div w:id="1829666038">
          <w:marLeft w:val="0"/>
          <w:marRight w:val="0"/>
          <w:marTop w:val="0"/>
          <w:marBottom w:val="0"/>
          <w:divBdr>
            <w:top w:val="none" w:sz="0" w:space="0" w:color="auto"/>
            <w:left w:val="none" w:sz="0" w:space="0" w:color="auto"/>
            <w:bottom w:val="none" w:sz="0" w:space="0" w:color="auto"/>
            <w:right w:val="none" w:sz="0" w:space="0" w:color="auto"/>
          </w:divBdr>
        </w:div>
      </w:divsChild>
    </w:div>
    <w:div w:id="363480382">
      <w:bodyDiv w:val="1"/>
      <w:marLeft w:val="0"/>
      <w:marRight w:val="0"/>
      <w:marTop w:val="0"/>
      <w:marBottom w:val="0"/>
      <w:divBdr>
        <w:top w:val="none" w:sz="0" w:space="0" w:color="auto"/>
        <w:left w:val="none" w:sz="0" w:space="0" w:color="auto"/>
        <w:bottom w:val="none" w:sz="0" w:space="0" w:color="auto"/>
        <w:right w:val="none" w:sz="0" w:space="0" w:color="auto"/>
      </w:divBdr>
    </w:div>
    <w:div w:id="472333308">
      <w:bodyDiv w:val="1"/>
      <w:marLeft w:val="0"/>
      <w:marRight w:val="0"/>
      <w:marTop w:val="0"/>
      <w:marBottom w:val="0"/>
      <w:divBdr>
        <w:top w:val="none" w:sz="0" w:space="0" w:color="auto"/>
        <w:left w:val="none" w:sz="0" w:space="0" w:color="auto"/>
        <w:bottom w:val="none" w:sz="0" w:space="0" w:color="auto"/>
        <w:right w:val="none" w:sz="0" w:space="0" w:color="auto"/>
      </w:divBdr>
      <w:divsChild>
        <w:div w:id="1511523866">
          <w:marLeft w:val="0"/>
          <w:marRight w:val="0"/>
          <w:marTop w:val="0"/>
          <w:marBottom w:val="0"/>
          <w:divBdr>
            <w:top w:val="none" w:sz="0" w:space="0" w:color="auto"/>
            <w:left w:val="none" w:sz="0" w:space="0" w:color="auto"/>
            <w:bottom w:val="none" w:sz="0" w:space="0" w:color="auto"/>
            <w:right w:val="none" w:sz="0" w:space="0" w:color="auto"/>
          </w:divBdr>
          <w:divsChild>
            <w:div w:id="2050572668">
              <w:marLeft w:val="0"/>
              <w:marRight w:val="0"/>
              <w:marTop w:val="0"/>
              <w:marBottom w:val="0"/>
              <w:divBdr>
                <w:top w:val="none" w:sz="0" w:space="0" w:color="auto"/>
                <w:left w:val="none" w:sz="0" w:space="0" w:color="auto"/>
                <w:bottom w:val="none" w:sz="0" w:space="0" w:color="auto"/>
                <w:right w:val="none" w:sz="0" w:space="0" w:color="auto"/>
              </w:divBdr>
              <w:divsChild>
                <w:div w:id="70748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668402">
      <w:bodyDiv w:val="1"/>
      <w:marLeft w:val="0"/>
      <w:marRight w:val="0"/>
      <w:marTop w:val="0"/>
      <w:marBottom w:val="0"/>
      <w:divBdr>
        <w:top w:val="none" w:sz="0" w:space="0" w:color="auto"/>
        <w:left w:val="none" w:sz="0" w:space="0" w:color="auto"/>
        <w:bottom w:val="none" w:sz="0" w:space="0" w:color="auto"/>
        <w:right w:val="none" w:sz="0" w:space="0" w:color="auto"/>
      </w:divBdr>
      <w:divsChild>
        <w:div w:id="326783226">
          <w:marLeft w:val="0"/>
          <w:marRight w:val="0"/>
          <w:marTop w:val="0"/>
          <w:marBottom w:val="0"/>
          <w:divBdr>
            <w:top w:val="none" w:sz="0" w:space="0" w:color="auto"/>
            <w:left w:val="none" w:sz="0" w:space="0" w:color="auto"/>
            <w:bottom w:val="none" w:sz="0" w:space="0" w:color="auto"/>
            <w:right w:val="none" w:sz="0" w:space="0" w:color="auto"/>
          </w:divBdr>
          <w:divsChild>
            <w:div w:id="2009358393">
              <w:marLeft w:val="0"/>
              <w:marRight w:val="0"/>
              <w:marTop w:val="0"/>
              <w:marBottom w:val="0"/>
              <w:divBdr>
                <w:top w:val="none" w:sz="0" w:space="0" w:color="auto"/>
                <w:left w:val="none" w:sz="0" w:space="0" w:color="auto"/>
                <w:bottom w:val="none" w:sz="0" w:space="0" w:color="auto"/>
                <w:right w:val="none" w:sz="0" w:space="0" w:color="auto"/>
              </w:divBdr>
              <w:divsChild>
                <w:div w:id="189388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53099">
      <w:bodyDiv w:val="1"/>
      <w:marLeft w:val="0"/>
      <w:marRight w:val="0"/>
      <w:marTop w:val="0"/>
      <w:marBottom w:val="0"/>
      <w:divBdr>
        <w:top w:val="none" w:sz="0" w:space="0" w:color="auto"/>
        <w:left w:val="none" w:sz="0" w:space="0" w:color="auto"/>
        <w:bottom w:val="none" w:sz="0" w:space="0" w:color="auto"/>
        <w:right w:val="none" w:sz="0" w:space="0" w:color="auto"/>
      </w:divBdr>
      <w:divsChild>
        <w:div w:id="1807237619">
          <w:marLeft w:val="0"/>
          <w:marRight w:val="0"/>
          <w:marTop w:val="0"/>
          <w:marBottom w:val="0"/>
          <w:divBdr>
            <w:top w:val="none" w:sz="0" w:space="0" w:color="auto"/>
            <w:left w:val="none" w:sz="0" w:space="0" w:color="auto"/>
            <w:bottom w:val="none" w:sz="0" w:space="0" w:color="auto"/>
            <w:right w:val="none" w:sz="0" w:space="0" w:color="auto"/>
          </w:divBdr>
        </w:div>
      </w:divsChild>
    </w:div>
    <w:div w:id="692804485">
      <w:bodyDiv w:val="1"/>
      <w:marLeft w:val="0"/>
      <w:marRight w:val="0"/>
      <w:marTop w:val="0"/>
      <w:marBottom w:val="0"/>
      <w:divBdr>
        <w:top w:val="none" w:sz="0" w:space="0" w:color="auto"/>
        <w:left w:val="none" w:sz="0" w:space="0" w:color="auto"/>
        <w:bottom w:val="none" w:sz="0" w:space="0" w:color="auto"/>
        <w:right w:val="none" w:sz="0" w:space="0" w:color="auto"/>
      </w:divBdr>
      <w:divsChild>
        <w:div w:id="32199073">
          <w:marLeft w:val="0"/>
          <w:marRight w:val="0"/>
          <w:marTop w:val="0"/>
          <w:marBottom w:val="0"/>
          <w:divBdr>
            <w:top w:val="none" w:sz="0" w:space="0" w:color="auto"/>
            <w:left w:val="none" w:sz="0" w:space="0" w:color="auto"/>
            <w:bottom w:val="none" w:sz="0" w:space="0" w:color="auto"/>
            <w:right w:val="none" w:sz="0" w:space="0" w:color="auto"/>
          </w:divBdr>
          <w:divsChild>
            <w:div w:id="461729833">
              <w:marLeft w:val="0"/>
              <w:marRight w:val="0"/>
              <w:marTop w:val="0"/>
              <w:marBottom w:val="0"/>
              <w:divBdr>
                <w:top w:val="none" w:sz="0" w:space="0" w:color="auto"/>
                <w:left w:val="none" w:sz="0" w:space="0" w:color="auto"/>
                <w:bottom w:val="none" w:sz="0" w:space="0" w:color="auto"/>
                <w:right w:val="none" w:sz="0" w:space="0" w:color="auto"/>
              </w:divBdr>
              <w:divsChild>
                <w:div w:id="128203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460390">
      <w:bodyDiv w:val="1"/>
      <w:marLeft w:val="0"/>
      <w:marRight w:val="0"/>
      <w:marTop w:val="0"/>
      <w:marBottom w:val="0"/>
      <w:divBdr>
        <w:top w:val="none" w:sz="0" w:space="0" w:color="auto"/>
        <w:left w:val="none" w:sz="0" w:space="0" w:color="auto"/>
        <w:bottom w:val="none" w:sz="0" w:space="0" w:color="auto"/>
        <w:right w:val="none" w:sz="0" w:space="0" w:color="auto"/>
      </w:divBdr>
    </w:div>
    <w:div w:id="775951777">
      <w:bodyDiv w:val="1"/>
      <w:marLeft w:val="0"/>
      <w:marRight w:val="0"/>
      <w:marTop w:val="0"/>
      <w:marBottom w:val="0"/>
      <w:divBdr>
        <w:top w:val="none" w:sz="0" w:space="0" w:color="auto"/>
        <w:left w:val="none" w:sz="0" w:space="0" w:color="auto"/>
        <w:bottom w:val="none" w:sz="0" w:space="0" w:color="auto"/>
        <w:right w:val="none" w:sz="0" w:space="0" w:color="auto"/>
      </w:divBdr>
      <w:divsChild>
        <w:div w:id="254870783">
          <w:marLeft w:val="0"/>
          <w:marRight w:val="0"/>
          <w:marTop w:val="0"/>
          <w:marBottom w:val="0"/>
          <w:divBdr>
            <w:top w:val="none" w:sz="0" w:space="0" w:color="auto"/>
            <w:left w:val="none" w:sz="0" w:space="0" w:color="auto"/>
            <w:bottom w:val="none" w:sz="0" w:space="0" w:color="auto"/>
            <w:right w:val="none" w:sz="0" w:space="0" w:color="auto"/>
          </w:divBdr>
        </w:div>
      </w:divsChild>
    </w:div>
    <w:div w:id="813764808">
      <w:bodyDiv w:val="1"/>
      <w:marLeft w:val="0"/>
      <w:marRight w:val="0"/>
      <w:marTop w:val="0"/>
      <w:marBottom w:val="0"/>
      <w:divBdr>
        <w:top w:val="none" w:sz="0" w:space="0" w:color="auto"/>
        <w:left w:val="none" w:sz="0" w:space="0" w:color="auto"/>
        <w:bottom w:val="none" w:sz="0" w:space="0" w:color="auto"/>
        <w:right w:val="none" w:sz="0" w:space="0" w:color="auto"/>
      </w:divBdr>
      <w:divsChild>
        <w:div w:id="743068475">
          <w:marLeft w:val="0"/>
          <w:marRight w:val="0"/>
          <w:marTop w:val="0"/>
          <w:marBottom w:val="0"/>
          <w:divBdr>
            <w:top w:val="none" w:sz="0" w:space="0" w:color="auto"/>
            <w:left w:val="none" w:sz="0" w:space="0" w:color="auto"/>
            <w:bottom w:val="none" w:sz="0" w:space="0" w:color="auto"/>
            <w:right w:val="none" w:sz="0" w:space="0" w:color="auto"/>
          </w:divBdr>
          <w:divsChild>
            <w:div w:id="3627355">
              <w:marLeft w:val="0"/>
              <w:marRight w:val="0"/>
              <w:marTop w:val="0"/>
              <w:marBottom w:val="0"/>
              <w:divBdr>
                <w:top w:val="none" w:sz="0" w:space="0" w:color="auto"/>
                <w:left w:val="none" w:sz="0" w:space="0" w:color="auto"/>
                <w:bottom w:val="none" w:sz="0" w:space="0" w:color="auto"/>
                <w:right w:val="none" w:sz="0" w:space="0" w:color="auto"/>
              </w:divBdr>
              <w:divsChild>
                <w:div w:id="5743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197363">
      <w:bodyDiv w:val="1"/>
      <w:marLeft w:val="0"/>
      <w:marRight w:val="0"/>
      <w:marTop w:val="0"/>
      <w:marBottom w:val="0"/>
      <w:divBdr>
        <w:top w:val="none" w:sz="0" w:space="0" w:color="auto"/>
        <w:left w:val="none" w:sz="0" w:space="0" w:color="auto"/>
        <w:bottom w:val="none" w:sz="0" w:space="0" w:color="auto"/>
        <w:right w:val="none" w:sz="0" w:space="0" w:color="auto"/>
      </w:divBdr>
      <w:divsChild>
        <w:div w:id="1982612146">
          <w:marLeft w:val="0"/>
          <w:marRight w:val="0"/>
          <w:marTop w:val="0"/>
          <w:marBottom w:val="0"/>
          <w:divBdr>
            <w:top w:val="none" w:sz="0" w:space="0" w:color="auto"/>
            <w:left w:val="none" w:sz="0" w:space="0" w:color="auto"/>
            <w:bottom w:val="none" w:sz="0" w:space="0" w:color="auto"/>
            <w:right w:val="none" w:sz="0" w:space="0" w:color="auto"/>
          </w:divBdr>
        </w:div>
      </w:divsChild>
    </w:div>
    <w:div w:id="1949044745">
      <w:bodyDiv w:val="1"/>
      <w:marLeft w:val="0"/>
      <w:marRight w:val="0"/>
      <w:marTop w:val="0"/>
      <w:marBottom w:val="0"/>
      <w:divBdr>
        <w:top w:val="none" w:sz="0" w:space="0" w:color="auto"/>
        <w:left w:val="none" w:sz="0" w:space="0" w:color="auto"/>
        <w:bottom w:val="none" w:sz="0" w:space="0" w:color="auto"/>
        <w:right w:val="none" w:sz="0" w:space="0" w:color="auto"/>
      </w:divBdr>
      <w:divsChild>
        <w:div w:id="16610777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peter-connelly-serious-case-review-reports-published" TargetMode="External"/><Relationship Id="rId13" Type="http://schemas.openxmlformats.org/officeDocument/2006/relationships/hyperlink" Target="https://www.policeconduct.gov.uk/publications/ipcc-six-missed-chances-report" TargetMode="External"/><Relationship Id="rId18" Type="http://schemas.openxmlformats.org/officeDocument/2006/relationships/hyperlink" Target="https://www.stophateuk.org/wp-content/uploads/2023/11/Annual-report-22-23.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llege.police.uk/guidance/vulnerability-related-risks/introduction-vulnerability-related-risk" TargetMode="External"/><Relationship Id="rId12" Type="http://schemas.openxmlformats.org/officeDocument/2006/relationships/hyperlink" Target="http://www.policeconduct.gov.uk" TargetMode="External"/><Relationship Id="rId17" Type="http://schemas.openxmlformats.org/officeDocument/2006/relationships/hyperlink" Target="https://www.mind.org.uk/media-a/4121/at-risk-yet-dismissed-report.pdf" TargetMode="External"/><Relationship Id="rId2" Type="http://schemas.openxmlformats.org/officeDocument/2006/relationships/styles" Target="styles.xml"/><Relationship Id="rId16" Type="http://schemas.openxmlformats.org/officeDocument/2006/relationships/hyperlink" Target="https://assets.publishing.service.gov.uk/media/5a7eb005e5274a2e8ab478fb/The_Protection_of_Children_in_England.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sets.publishing.service.gov.uk/media/5a7c6e9ded915d6969f44d12/evidence-practice-review-support-for-victims-outcome-measurement.pdf" TargetMode="External"/><Relationship Id="rId11" Type="http://schemas.openxmlformats.org/officeDocument/2006/relationships/hyperlink" Target="https://www.gov.uk/government/news/new-strategy-to-tackle-organised-crime" TargetMode="External"/><Relationship Id="rId5" Type="http://schemas.openxmlformats.org/officeDocument/2006/relationships/hyperlink" Target="https://www.local.gov.uk/sites/default/files/documents/news-partners-age-uk-597.pdf" TargetMode="External"/><Relationship Id="rId15" Type="http://schemas.openxmlformats.org/officeDocument/2006/relationships/hyperlink" Target="https://webarchive.nationalarchives.gov.uk/ukgwa/20180301161130/https:/www.ipcc.gov.uk/cy/node/22127" TargetMode="External"/><Relationship Id="rId10" Type="http://schemas.openxmlformats.org/officeDocument/2006/relationships/hyperlink" Target="https://www.gov.uk/government/publications/vulnerabilities-applying-all-our-health/vulnerabilities-applying-all-our-health" TargetMode="External"/><Relationship Id="rId19" Type="http://schemas.openxmlformats.org/officeDocument/2006/relationships/hyperlink" Target="https://www.sophielancasterfoundation.com" TargetMode="External"/><Relationship Id="rId4" Type="http://schemas.openxmlformats.org/officeDocument/2006/relationships/webSettings" Target="webSettings.xml"/><Relationship Id="rId9" Type="http://schemas.openxmlformats.org/officeDocument/2006/relationships/hyperlink" Target="https://www.leicestermercury.co.uk/news/local-news/improvements-been-made-tragic-deaths-669970" TargetMode="External"/><Relationship Id="rId14" Type="http://schemas.openxmlformats.org/officeDocument/2006/relationships/hyperlink" Target="https://www.policeconduct.gov.uk/publications/learning-lessons-issue-43-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2466</Words>
  <Characters>14061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O'Neill</dc:creator>
  <cp:keywords/>
  <dc:description/>
  <cp:lastModifiedBy>Louisa O'Neill</cp:lastModifiedBy>
  <cp:revision>2</cp:revision>
  <dcterms:created xsi:type="dcterms:W3CDTF">2024-11-08T12:50:00Z</dcterms:created>
  <dcterms:modified xsi:type="dcterms:W3CDTF">2024-11-08T12:50:00Z</dcterms:modified>
</cp:coreProperties>
</file>