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CE1ED7F">
      <w:pPr>
        <w:keepNext w:val="0"/>
        <w:keepLines w:val="0"/>
        <w:pageBreakBefore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jc w:val="center"/>
        <w:textAlignment w:val="auto"/>
        <w:rPr>
          <w:rFonts w:hint="default"/>
          <w:b/>
          <w:bCs/>
          <w:sz w:val="30"/>
          <w:szCs w:val="30"/>
          <w:lang w:val="en-US" w:eastAsia="zh-CN"/>
        </w:rPr>
      </w:pPr>
      <w:r>
        <w:rPr>
          <w:rFonts w:hint="eastAsia"/>
          <w:b/>
          <w:bCs/>
          <w:sz w:val="30"/>
          <w:szCs w:val="30"/>
          <w:lang w:val="en-US" w:eastAsia="zh-CN"/>
        </w:rPr>
        <w:t>7020 Co</w:t>
      </w:r>
      <w:r>
        <w:rPr>
          <w:rFonts w:hint="default"/>
          <w:b/>
          <w:bCs/>
          <w:sz w:val="30"/>
          <w:szCs w:val="30"/>
          <w:lang w:val="en-US" w:eastAsia="zh-CN"/>
        </w:rPr>
        <w:t xml:space="preserve">mponent </w:t>
      </w:r>
      <w:r>
        <w:rPr>
          <w:rFonts w:hint="eastAsia"/>
          <w:b/>
          <w:bCs/>
          <w:sz w:val="30"/>
          <w:szCs w:val="30"/>
          <w:lang w:val="en-US" w:eastAsia="zh-CN"/>
        </w:rPr>
        <w:t>2</w:t>
      </w:r>
      <w:bookmarkStart w:id="0" w:name="_GoBack"/>
      <w:bookmarkEnd w:id="0"/>
    </w:p>
    <w:p w14:paraId="174DD2C1">
      <w:pPr>
        <w:keepNext w:val="0"/>
        <w:keepLines w:val="0"/>
        <w:pageBreakBefore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jc w:val="center"/>
        <w:textAlignment w:val="auto"/>
        <w:rPr>
          <w:rFonts w:hint="default"/>
          <w:sz w:val="28"/>
          <w:szCs w:val="36"/>
          <w:lang w:val="en-US" w:eastAsia="zh-CN"/>
        </w:rPr>
      </w:pPr>
    </w:p>
    <w:p w14:paraId="15774AF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i w:val="0"/>
          <w:iCs w:val="0"/>
          <w:caps w:val="0"/>
          <w:color w:val="000000"/>
          <w:spacing w:val="0"/>
          <w:sz w:val="28"/>
          <w:szCs w:val="28"/>
          <w:u w:val="none"/>
        </w:rPr>
      </w:pPr>
      <w:r>
        <w:rPr>
          <w:rStyle w:val="6"/>
          <w:i w:val="0"/>
          <w:iCs w:val="0"/>
          <w:caps w:val="0"/>
          <w:color w:val="000000"/>
          <w:spacing w:val="0"/>
          <w:sz w:val="28"/>
          <w:szCs w:val="28"/>
          <w:u w:val="none"/>
        </w:rPr>
        <w:t>Introduction</w:t>
      </w:r>
    </w:p>
    <w:p w14:paraId="4D1E126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i w:val="0"/>
          <w:iCs w:val="0"/>
          <w:caps w:val="0"/>
          <w:color w:val="000000"/>
          <w:spacing w:val="0"/>
          <w:u w:val="none"/>
        </w:rPr>
      </w:pPr>
      <w:r>
        <w:rPr>
          <w:i w:val="0"/>
          <w:iCs w:val="0"/>
          <w:caps w:val="0"/>
          <w:color w:val="000000"/>
          <w:spacing w:val="0"/>
          <w:u w:val="none"/>
        </w:rPr>
        <w:t>The flipped classroom has emerged as a transformative pedagogical model in higher education, particularly in English language learning contexts. By shifting the delivery of instructional content to pre-class materials and using in-class time for active learning, the flipped model aims to foster deeper student engagement. However, despite its potential benefits, students often face challenges during the pre-class section, especially in terms of emotional and cognitive engagement. This research explores these challenges specifically among English-majored university students in China, whose academic success heavily relies on their engagement with English-language content and learning strategies.</w:t>
      </w:r>
    </w:p>
    <w:p w14:paraId="1F9A594B">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i w:val="0"/>
          <w:iCs w:val="0"/>
          <w:caps w:val="0"/>
          <w:color w:val="000000"/>
          <w:spacing w:val="0"/>
          <w:u w:val="none"/>
        </w:rPr>
      </w:pPr>
    </w:p>
    <w:p w14:paraId="66E83E7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i w:val="0"/>
          <w:iCs w:val="0"/>
          <w:caps w:val="0"/>
          <w:color w:val="000000"/>
          <w:spacing w:val="0"/>
          <w:u w:val="none"/>
        </w:rPr>
      </w:pPr>
      <w:r>
        <w:rPr>
          <w:i w:val="0"/>
          <w:iCs w:val="0"/>
          <w:caps w:val="0"/>
          <w:color w:val="000000"/>
          <w:spacing w:val="0"/>
          <w:u w:val="none"/>
        </w:rPr>
        <w:t>The primary aim of this study is to investigate the specific difficulties students encounter when engaging with flipped classroom pre-class materials and how these challenges affect their emotional and cognitive engagement.</w:t>
      </w:r>
      <w:r>
        <w:rPr>
          <w:rFonts w:hint="default"/>
          <w:i w:val="0"/>
          <w:iCs w:val="0"/>
          <w:caps w:val="0"/>
          <w:color w:val="000000"/>
          <w:spacing w:val="0"/>
          <w:u w:val="none"/>
          <w:lang w:val="en-US"/>
        </w:rPr>
        <w:t xml:space="preserve"> </w:t>
      </w:r>
      <w:r>
        <w:rPr>
          <w:i w:val="0"/>
          <w:iCs w:val="0"/>
          <w:caps w:val="0"/>
          <w:color w:val="000000"/>
          <w:spacing w:val="0"/>
          <w:u w:val="none"/>
        </w:rPr>
        <w:t>Furthermore, the study seeks to understand students' perceptions of how the flipped classroom impacts their active participation and learning during in-class activities. By focusing exclusively on students’ perspectives, this study aims to contribute to the existing literature on learner engagement in flipped learning environments and inform future instructional design. The findings of this study may help educators develop more supportive pre-class materials and strategies to enhance engagement and overall learning outcomes in flipped classroom settings.</w:t>
      </w:r>
    </w:p>
    <w:p w14:paraId="2473E8E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b/>
          <w:bCs/>
          <w:i w:val="0"/>
          <w:iCs w:val="0"/>
          <w:caps w:val="0"/>
          <w:color w:val="000000"/>
          <w:spacing w:val="0"/>
          <w:u w:val="none"/>
        </w:rPr>
      </w:pPr>
    </w:p>
    <w:p w14:paraId="0088016B">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i w:val="0"/>
          <w:iCs w:val="0"/>
          <w:caps w:val="0"/>
          <w:color w:val="000000"/>
          <w:spacing w:val="0"/>
          <w:sz w:val="28"/>
          <w:szCs w:val="28"/>
          <w:u w:val="none"/>
        </w:rPr>
      </w:pPr>
      <w:r>
        <w:rPr>
          <w:rFonts w:hint="eastAsia"/>
          <w:b/>
          <w:bCs/>
          <w:i w:val="0"/>
          <w:iCs w:val="0"/>
          <w:caps w:val="0"/>
          <w:color w:val="000000"/>
          <w:spacing w:val="0"/>
          <w:sz w:val="28"/>
          <w:szCs w:val="28"/>
          <w:u w:val="none"/>
        </w:rPr>
        <w:t>Chosen Method</w:t>
      </w:r>
    </w:p>
    <w:p w14:paraId="65C4ADFB">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This study adopts a </w:t>
      </w:r>
      <w:r>
        <w:rPr>
          <w:rFonts w:hint="eastAsia"/>
          <w:b/>
          <w:bCs/>
          <w:i w:val="0"/>
          <w:iCs w:val="0"/>
          <w:caps w:val="0"/>
          <w:color w:val="000000"/>
          <w:spacing w:val="0"/>
          <w:u w:val="none"/>
        </w:rPr>
        <w:t>qualitative research approach</w:t>
      </w:r>
      <w:r>
        <w:rPr>
          <w:rFonts w:hint="eastAsia"/>
          <w:i w:val="0"/>
          <w:iCs w:val="0"/>
          <w:caps w:val="0"/>
          <w:color w:val="000000"/>
          <w:spacing w:val="0"/>
          <w:u w:val="none"/>
        </w:rPr>
        <w:t xml:space="preserve"> to explore Chinese English-majored students’ engagement with pre-class materials in a flipped classroom and the challenges they face, especially in terms of emotional and cognitive engagement. The rationale for selecting a qualitative methodology lies in its suitability for exploring perceptions, experiences, and meanings that participants ascribe to specific educational practices (Dörnyei, 2007). Since the current research aims to understand students’ lived experiences and personal views on flipped classroom learning, qualitative methods provide the necessary depth and flexibility.</w:t>
      </w:r>
    </w:p>
    <w:p w14:paraId="3F4CF1CF">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p>
    <w:p w14:paraId="6DAFA9FE">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Qualitative research enables a nuanced understanding of complex social phenomena by focusing on participants’ perspectives in natural settings (Creswell, 2014). This is particularly important in educational research, where student engagement is influenced by diverse cognitive, emotional, and contextual factors. Unlike quantitative approaches that emphasize numerical measurement and generalization, qualitative inquiry allows the researcher to explore how and why certain experiences occur (Braun &amp; Clarke, 2013).</w:t>
      </w:r>
    </w:p>
    <w:p w14:paraId="2DE3959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i w:val="0"/>
          <w:iCs w:val="0"/>
          <w:caps w:val="0"/>
          <w:color w:val="000000"/>
          <w:spacing w:val="0"/>
          <w:u w:val="none"/>
        </w:rPr>
      </w:pPr>
    </w:p>
    <w:p w14:paraId="590341E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In the context of flipped classrooms, where learning occurs both asynchronously (pre-class) and synchronously (in-class), emotional and cognitive engagement is often shaped by students’ attitudes, motivation, prior knowledge, and interaction with learning materials (Bergmann &amp; Sams, 2012). These factors are deeply personal and subjective, and thus best explored through open-ended, narrative-based methods rather than closed survey instruments.</w:t>
      </w:r>
    </w:p>
    <w:p w14:paraId="35A3ED7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Moreover, recent studies in flipped learning highlight the need for learner-centered evaluations that go beyond performance metrics to include perceptions, preferences, and challenges (Lo &amp; Hew, 2017). By focusing exclusively on students’ voices, the current research aligns with this learner-centered orientation and contributes to a more comprehensive understanding of the flipped learning experience in Chinese higher education.</w:t>
      </w:r>
    </w:p>
    <w:p w14:paraId="34432E0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i w:val="0"/>
          <w:iCs w:val="0"/>
          <w:caps w:val="0"/>
          <w:color w:val="000000"/>
          <w:spacing w:val="0"/>
          <w:u w:val="none"/>
        </w:rPr>
      </w:pPr>
    </w:p>
    <w:p w14:paraId="7718CD4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The research is grounded in an </w:t>
      </w:r>
      <w:r>
        <w:rPr>
          <w:rFonts w:hint="eastAsia"/>
          <w:b/>
          <w:bCs/>
          <w:i w:val="0"/>
          <w:iCs w:val="0"/>
          <w:caps w:val="0"/>
          <w:color w:val="000000"/>
          <w:spacing w:val="0"/>
          <w:u w:val="none"/>
        </w:rPr>
        <w:t>interpretivist paradigm</w:t>
      </w:r>
      <w:r>
        <w:rPr>
          <w:rFonts w:hint="eastAsia"/>
          <w:i w:val="0"/>
          <w:iCs w:val="0"/>
          <w:caps w:val="0"/>
          <w:color w:val="000000"/>
          <w:spacing w:val="0"/>
          <w:u w:val="none"/>
        </w:rPr>
        <w:t>, which emphasizes the importance of understanding the social world from the point of view of those who live in it (Schwandt, 2015). In line with this paradigm, the researcher acknowledges that knowledge is socially constructed and that meaning is co-produced through interaction between the researcher and participants. The interpretivist stance is particularly appropriate for exploring individual perceptions of engagement and the perceived effectiveness of flipped classrooms.</w:t>
      </w:r>
      <w:r>
        <w:rPr>
          <w:rFonts w:hint="default"/>
          <w:i w:val="0"/>
          <w:iCs w:val="0"/>
          <w:caps w:val="0"/>
          <w:color w:val="000000"/>
          <w:spacing w:val="0"/>
          <w:u w:val="none"/>
          <w:lang w:val="en-US"/>
        </w:rPr>
        <w:t xml:space="preserve"> </w:t>
      </w:r>
      <w:r>
        <w:rPr>
          <w:rFonts w:hint="eastAsia"/>
          <w:i w:val="0"/>
          <w:iCs w:val="0"/>
          <w:caps w:val="0"/>
          <w:color w:val="000000"/>
          <w:spacing w:val="0"/>
          <w:u w:val="none"/>
        </w:rPr>
        <w:t xml:space="preserve">In addition, this research takes a </w:t>
      </w:r>
      <w:r>
        <w:rPr>
          <w:rFonts w:hint="eastAsia"/>
          <w:b/>
          <w:bCs/>
          <w:i w:val="0"/>
          <w:iCs w:val="0"/>
          <w:caps w:val="0"/>
          <w:color w:val="000000"/>
          <w:spacing w:val="0"/>
          <w:u w:val="none"/>
        </w:rPr>
        <w:t>constructivist epistemological stance</w:t>
      </w:r>
      <w:r>
        <w:rPr>
          <w:rFonts w:hint="eastAsia"/>
          <w:i w:val="0"/>
          <w:iCs w:val="0"/>
          <w:caps w:val="0"/>
          <w:color w:val="000000"/>
          <w:spacing w:val="0"/>
          <w:u w:val="none"/>
        </w:rPr>
        <w:t>, assuming that learners actively construct knowledge based on their interactions with content and context (Vygotsky, 1978). This is especially relevant when investigating flipped learning environments, where students are expected to engage with content independently before class. Understanding how they make sense of these experiences, and the cognitive or emotional barriers they face, necessitates a constructivist inquiry.</w:t>
      </w:r>
    </w:p>
    <w:p w14:paraId="7636137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p>
    <w:p w14:paraId="336BB55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To operationalize the qualitative research approach, this study will employ </w:t>
      </w:r>
      <w:r>
        <w:rPr>
          <w:rFonts w:hint="eastAsia"/>
          <w:b/>
          <w:bCs/>
          <w:i w:val="0"/>
          <w:iCs w:val="0"/>
          <w:caps w:val="0"/>
          <w:color w:val="000000"/>
          <w:spacing w:val="0"/>
          <w:u w:val="none"/>
        </w:rPr>
        <w:t>semi-structured interviews</w:t>
      </w:r>
      <w:r>
        <w:rPr>
          <w:rFonts w:hint="eastAsia"/>
          <w:i w:val="0"/>
          <w:iCs w:val="0"/>
          <w:caps w:val="0"/>
          <w:color w:val="000000"/>
          <w:spacing w:val="0"/>
          <w:u w:val="none"/>
        </w:rPr>
        <w:t xml:space="preserve"> and </w:t>
      </w:r>
      <w:r>
        <w:rPr>
          <w:rFonts w:hint="eastAsia"/>
          <w:b/>
          <w:bCs/>
          <w:i w:val="0"/>
          <w:iCs w:val="0"/>
          <w:caps w:val="0"/>
          <w:color w:val="000000"/>
          <w:spacing w:val="0"/>
          <w:u w:val="none"/>
        </w:rPr>
        <w:t>open-ended questionnaires</w:t>
      </w:r>
      <w:r>
        <w:rPr>
          <w:rFonts w:hint="eastAsia"/>
          <w:i w:val="0"/>
          <w:iCs w:val="0"/>
          <w:caps w:val="0"/>
          <w:color w:val="000000"/>
          <w:spacing w:val="0"/>
          <w:u w:val="none"/>
        </w:rPr>
        <w:t xml:space="preserve"> as primary data collection tools. These tools are designed to elicit in-depth insights into students’ emotional and cognitive engagement with pre-class learning materials and their in-class participation experiences.</w:t>
      </w:r>
      <w:r>
        <w:rPr>
          <w:rFonts w:hint="default"/>
          <w:i w:val="0"/>
          <w:iCs w:val="0"/>
          <w:caps w:val="0"/>
          <w:color w:val="000000"/>
          <w:spacing w:val="0"/>
          <w:u w:val="none"/>
          <w:lang w:val="en-US"/>
        </w:rPr>
        <w:t xml:space="preserve"> </w:t>
      </w:r>
      <w:r>
        <w:rPr>
          <w:rFonts w:hint="eastAsia"/>
          <w:i w:val="0"/>
          <w:iCs w:val="0"/>
          <w:caps w:val="0"/>
          <w:color w:val="000000"/>
          <w:spacing w:val="0"/>
          <w:u w:val="none"/>
        </w:rPr>
        <w:t>Semi-structured interviews allow for the exploration of key themes while also providing flexibility for participants to elaborate on their responses (Kvale &amp; Brinkmann, 2009). This balance between structure and openness makes them ideal for investigating both expected and emergent issues related to flipped classroom engagement.</w:t>
      </w:r>
      <w:r>
        <w:rPr>
          <w:rFonts w:hint="default"/>
          <w:i w:val="0"/>
          <w:iCs w:val="0"/>
          <w:caps w:val="0"/>
          <w:color w:val="000000"/>
          <w:spacing w:val="0"/>
          <w:u w:val="none"/>
          <w:lang w:val="en-US"/>
        </w:rPr>
        <w:t xml:space="preserve"> </w:t>
      </w:r>
      <w:r>
        <w:rPr>
          <w:rFonts w:hint="eastAsia"/>
          <w:i w:val="0"/>
          <w:iCs w:val="0"/>
          <w:caps w:val="0"/>
          <w:color w:val="000000"/>
          <w:spacing w:val="0"/>
          <w:u w:val="none"/>
        </w:rPr>
        <w:t>Open-ended questionnaires, meanwhile, offer an efficient way to collect qualitative data from a broader sample of students. They enable participants to reflect on their experiences in their own words, without the constraints of fixed response options. When used in combination, these tools provide both depth and breadth of insight, which enhances the richness and trustworthiness of the findings (Patton, 2015).</w:t>
      </w:r>
    </w:p>
    <w:p w14:paraId="6248D051">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p>
    <w:p w14:paraId="20BDF46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default"/>
          <w:i w:val="0"/>
          <w:iCs w:val="0"/>
          <w:caps w:val="0"/>
          <w:color w:val="000000"/>
          <w:spacing w:val="0"/>
          <w:u w:val="none"/>
          <w:lang w:val="en-US"/>
        </w:rPr>
        <w:t>My</w:t>
      </w:r>
      <w:r>
        <w:rPr>
          <w:rFonts w:hint="eastAsia"/>
          <w:i w:val="0"/>
          <w:iCs w:val="0"/>
          <w:caps w:val="0"/>
          <w:color w:val="000000"/>
          <w:spacing w:val="0"/>
          <w:u w:val="none"/>
        </w:rPr>
        <w:t xml:space="preserve"> first research question—</w:t>
      </w:r>
      <w:r>
        <w:rPr>
          <w:rFonts w:hint="eastAsia"/>
          <w:b/>
          <w:bCs/>
          <w:i w:val="0"/>
          <w:iCs w:val="0"/>
          <w:caps w:val="0"/>
          <w:color w:val="000000"/>
          <w:spacing w:val="0"/>
          <w:u w:val="none"/>
        </w:rPr>
        <w:t>What specific challenges do students encounter when engaging with pre-class materials in a flipped classroom setting, particularly in terms of emotional and cognitive engagement?</w:t>
      </w:r>
      <w:r>
        <w:rPr>
          <w:rFonts w:hint="eastAsia"/>
          <w:i w:val="0"/>
          <w:iCs w:val="0"/>
          <w:caps w:val="0"/>
          <w:color w:val="000000"/>
          <w:spacing w:val="0"/>
          <w:u w:val="none"/>
        </w:rPr>
        <w:t>—requires an exploration of students' internal states, study habits, and emotional responses to self-directed learning. Semi-structured interviews are particularly effective for this purpose, as they allow students to articulate their frustrations, motivations, or disengagement in their own words.</w:t>
      </w:r>
      <w:r>
        <w:rPr>
          <w:rFonts w:hint="default"/>
          <w:i w:val="0"/>
          <w:iCs w:val="0"/>
          <w:caps w:val="0"/>
          <w:color w:val="000000"/>
          <w:spacing w:val="0"/>
          <w:u w:val="none"/>
          <w:lang w:val="en-US"/>
        </w:rPr>
        <w:t xml:space="preserve"> </w:t>
      </w:r>
      <w:r>
        <w:rPr>
          <w:rFonts w:hint="eastAsia"/>
          <w:i w:val="0"/>
          <w:iCs w:val="0"/>
          <w:caps w:val="0"/>
          <w:color w:val="000000"/>
          <w:spacing w:val="0"/>
          <w:u w:val="none"/>
        </w:rPr>
        <w:t>The second question—</w:t>
      </w:r>
      <w:r>
        <w:rPr>
          <w:rFonts w:hint="eastAsia"/>
          <w:b/>
          <w:bCs/>
          <w:i w:val="0"/>
          <w:iCs w:val="0"/>
          <w:caps w:val="0"/>
          <w:color w:val="000000"/>
          <w:spacing w:val="0"/>
          <w:u w:val="none"/>
        </w:rPr>
        <w:t>How does the flipped classroom model improve students' active learning and participation during class time?</w:t>
      </w:r>
      <w:r>
        <w:rPr>
          <w:rFonts w:hint="eastAsia"/>
          <w:i w:val="0"/>
          <w:iCs w:val="0"/>
          <w:caps w:val="0"/>
          <w:color w:val="000000"/>
          <w:spacing w:val="0"/>
          <w:u w:val="none"/>
        </w:rPr>
        <w:t>—focuses on perceived benefits. By exploring students’ narratives about their classroom participation, collaborative learning, and sense of agency, the study can uncover the mechanisms through which flipped learning influences engagement.</w:t>
      </w:r>
    </w:p>
    <w:p w14:paraId="479F196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i w:val="0"/>
          <w:iCs w:val="0"/>
          <w:caps w:val="0"/>
          <w:color w:val="000000"/>
          <w:spacing w:val="0"/>
          <w:u w:val="none"/>
        </w:rPr>
      </w:pPr>
    </w:p>
    <w:p w14:paraId="38C806A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This approach aligns with findings from existing research. Hao (2016) found that students in flipped classrooms experienced both increased engagement and considerable emotional stress related to the preparation workload. Similarly, Abeysekera and Dawson (2015) argue that student engagement in flipped classrooms must be understood holistically, accounting for motivation, autonomy, and emotional responses—all of which are best accessed through qualitative inquiry.</w:t>
      </w:r>
    </w:p>
    <w:p w14:paraId="58275750">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i w:val="0"/>
          <w:iCs w:val="0"/>
          <w:caps w:val="0"/>
          <w:color w:val="000000"/>
          <w:spacing w:val="0"/>
          <w:u w:val="none"/>
        </w:rPr>
      </w:pPr>
    </w:p>
    <w:p w14:paraId="043B89C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highlight w:val="none"/>
          <w:u w:val="none"/>
        </w:rPr>
      </w:pPr>
      <w:r>
        <w:rPr>
          <w:rFonts w:hint="eastAsia"/>
          <w:i w:val="0"/>
          <w:iCs w:val="0"/>
          <w:caps w:val="0"/>
          <w:color w:val="000000"/>
          <w:spacing w:val="0"/>
          <w:u w:val="none"/>
        </w:rPr>
        <w:t xml:space="preserve">While qualitative methods offer rich, contextual insights, they are not without limitations. One major concern is </w:t>
      </w:r>
      <w:r>
        <w:rPr>
          <w:rFonts w:hint="eastAsia"/>
          <w:b/>
          <w:bCs/>
          <w:i w:val="0"/>
          <w:iCs w:val="0"/>
          <w:caps w:val="0"/>
          <w:color w:val="000000"/>
          <w:spacing w:val="0"/>
          <w:u w:val="none"/>
        </w:rPr>
        <w:t>generalizability</w:t>
      </w:r>
      <w:r>
        <w:rPr>
          <w:rFonts w:hint="eastAsia"/>
          <w:i w:val="0"/>
          <w:iCs w:val="0"/>
          <w:caps w:val="0"/>
          <w:color w:val="000000"/>
          <w:spacing w:val="0"/>
          <w:u w:val="none"/>
        </w:rPr>
        <w:t>. Since qualitative research typically involves small, purposively selected samples, the findings may not be representative of all English majors or all Chinese universities (Silverman, 2013). However, the goal of this research is not to generalize but to</w:t>
      </w:r>
      <w:r>
        <w:rPr>
          <w:rFonts w:hint="default"/>
          <w:b/>
          <w:bCs/>
          <w:i w:val="0"/>
          <w:iCs w:val="0"/>
          <w:caps w:val="0"/>
          <w:color w:val="000000"/>
          <w:spacing w:val="0"/>
          <w:u w:val="none"/>
          <w:lang w:val="en-US"/>
        </w:rPr>
        <w:t xml:space="preserve"> </w:t>
      </w:r>
      <w:r>
        <w:rPr>
          <w:rFonts w:hint="eastAsia"/>
          <w:b/>
          <w:bCs/>
          <w:i w:val="0"/>
          <w:iCs w:val="0"/>
          <w:caps w:val="0"/>
          <w:color w:val="000000"/>
          <w:spacing w:val="0"/>
          <w:u w:val="none"/>
        </w:rPr>
        <w:t>illuminate</w:t>
      </w:r>
      <w:r>
        <w:rPr>
          <w:rFonts w:hint="eastAsia"/>
          <w:i w:val="0"/>
          <w:iCs w:val="0"/>
          <w:caps w:val="0"/>
          <w:color w:val="000000"/>
          <w:spacing w:val="0"/>
          <w:u w:val="none"/>
        </w:rPr>
        <w:t xml:space="preserve"> student experiences and generate insights that can inform practice.</w:t>
      </w:r>
      <w:r>
        <w:rPr>
          <w:rFonts w:hint="default"/>
          <w:i w:val="0"/>
          <w:iCs w:val="0"/>
          <w:caps w:val="0"/>
          <w:color w:val="000000"/>
          <w:spacing w:val="0"/>
          <w:u w:val="none"/>
          <w:lang w:val="en-US"/>
        </w:rPr>
        <w:t xml:space="preserve"> Besides, t</w:t>
      </w:r>
      <w:r>
        <w:rPr>
          <w:rFonts w:hint="eastAsia"/>
          <w:i w:val="0"/>
          <w:iCs w:val="0"/>
          <w:caps w:val="0"/>
          <w:color w:val="000000"/>
          <w:spacing w:val="0"/>
          <w:highlight w:val="none"/>
          <w:u w:val="none"/>
        </w:rPr>
        <w:t>ime and resource constraints may also impact the depth of data collection. Conducting and analyzing interviews is time-consuming, particularly when dealing with multiple participants. The researcher must balance the desire for depth with practical considerations of scope and feasibility.</w:t>
      </w:r>
    </w:p>
    <w:p w14:paraId="129480D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eastAsia"/>
          <w:i w:val="0"/>
          <w:iCs w:val="0"/>
          <w:caps w:val="0"/>
          <w:color w:val="000000"/>
          <w:spacing w:val="0"/>
          <w:u w:val="none"/>
        </w:rPr>
      </w:pPr>
    </w:p>
    <w:p w14:paraId="75FCD05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eastAsia"/>
          <w:i w:val="0"/>
          <w:iCs w:val="0"/>
          <w:caps w:val="0"/>
          <w:color w:val="000000"/>
          <w:spacing w:val="0"/>
          <w:u w:val="none"/>
        </w:rPr>
      </w:pPr>
      <w:r>
        <w:rPr>
          <w:rFonts w:hint="eastAsia"/>
          <w:i w:val="0"/>
          <w:iCs w:val="0"/>
          <w:caps w:val="0"/>
          <w:color w:val="000000"/>
          <w:spacing w:val="0"/>
          <w:u w:val="none"/>
        </w:rPr>
        <w:t xml:space="preserve">Despite these limitations, the qualitative approach offers several strengths. It allows for </w:t>
      </w:r>
      <w:r>
        <w:rPr>
          <w:rFonts w:hint="eastAsia"/>
          <w:b/>
          <w:bCs/>
          <w:i w:val="0"/>
          <w:iCs w:val="0"/>
          <w:caps w:val="0"/>
          <w:color w:val="000000"/>
          <w:spacing w:val="0"/>
          <w:u w:val="none"/>
        </w:rPr>
        <w:t>contextual richness</w:t>
      </w:r>
      <w:r>
        <w:rPr>
          <w:rFonts w:hint="eastAsia"/>
          <w:i w:val="0"/>
          <w:iCs w:val="0"/>
          <w:caps w:val="0"/>
          <w:color w:val="000000"/>
          <w:spacing w:val="0"/>
          <w:u w:val="none"/>
        </w:rPr>
        <w:t xml:space="preserve">, </w:t>
      </w:r>
      <w:r>
        <w:rPr>
          <w:rFonts w:hint="eastAsia"/>
          <w:b/>
          <w:bCs/>
          <w:i w:val="0"/>
          <w:iCs w:val="0"/>
          <w:caps w:val="0"/>
          <w:color w:val="000000"/>
          <w:spacing w:val="0"/>
          <w:u w:val="none"/>
        </w:rPr>
        <w:t>participant-centered inquiry</w:t>
      </w:r>
      <w:r>
        <w:rPr>
          <w:rFonts w:hint="eastAsia"/>
          <w:i w:val="0"/>
          <w:iCs w:val="0"/>
          <w:caps w:val="0"/>
          <w:color w:val="000000"/>
          <w:spacing w:val="0"/>
          <w:u w:val="none"/>
        </w:rPr>
        <w:t xml:space="preserve">, and </w:t>
      </w:r>
      <w:r>
        <w:rPr>
          <w:rFonts w:hint="eastAsia"/>
          <w:b/>
          <w:bCs/>
          <w:i w:val="0"/>
          <w:iCs w:val="0"/>
          <w:caps w:val="0"/>
          <w:color w:val="000000"/>
          <w:spacing w:val="0"/>
          <w:u w:val="none"/>
        </w:rPr>
        <w:t xml:space="preserve">flexibility </w:t>
      </w:r>
      <w:r>
        <w:rPr>
          <w:rFonts w:hint="eastAsia"/>
          <w:i w:val="0"/>
          <w:iCs w:val="0"/>
          <w:caps w:val="0"/>
          <w:color w:val="000000"/>
          <w:spacing w:val="0"/>
          <w:u w:val="none"/>
        </w:rPr>
        <w:t>in adapting to emergent themes. Given the exploratory nature of the research and the subjective focus on emotional and cognitive engagement, qualitative methods are not only appropriate but essential.</w:t>
      </w:r>
      <w:r>
        <w:rPr>
          <w:rFonts w:hint="default"/>
          <w:i w:val="0"/>
          <w:iCs w:val="0"/>
          <w:caps w:val="0"/>
          <w:color w:val="000000"/>
          <w:spacing w:val="0"/>
          <w:u w:val="none"/>
          <w:lang w:val="en-US"/>
        </w:rPr>
        <w:t xml:space="preserve"> </w:t>
      </w:r>
      <w:r>
        <w:rPr>
          <w:rFonts w:hint="eastAsia"/>
          <w:i w:val="0"/>
          <w:iCs w:val="0"/>
          <w:caps w:val="0"/>
          <w:color w:val="000000"/>
          <w:spacing w:val="0"/>
          <w:u w:val="none"/>
        </w:rPr>
        <w:t xml:space="preserve">Furthermore, the combined use of interviews and open-ended questionnaires ensures that different levels of student engagement—both deeply personal and commonly shared—are adequately captured. This methodological pluralism enhances the </w:t>
      </w:r>
      <w:r>
        <w:rPr>
          <w:rFonts w:hint="eastAsia"/>
          <w:b/>
          <w:bCs/>
          <w:i w:val="0"/>
          <w:iCs w:val="0"/>
          <w:caps w:val="0"/>
          <w:color w:val="000000"/>
          <w:spacing w:val="0"/>
          <w:u w:val="none"/>
        </w:rPr>
        <w:t>validity</w:t>
      </w:r>
      <w:r>
        <w:rPr>
          <w:rFonts w:hint="eastAsia"/>
          <w:i w:val="0"/>
          <w:iCs w:val="0"/>
          <w:caps w:val="0"/>
          <w:color w:val="000000"/>
          <w:spacing w:val="0"/>
          <w:u w:val="none"/>
        </w:rPr>
        <w:t xml:space="preserve"> and </w:t>
      </w:r>
      <w:r>
        <w:rPr>
          <w:rFonts w:hint="eastAsia"/>
          <w:b/>
          <w:bCs/>
          <w:i w:val="0"/>
          <w:iCs w:val="0"/>
          <w:caps w:val="0"/>
          <w:color w:val="000000"/>
          <w:spacing w:val="0"/>
          <w:u w:val="none"/>
        </w:rPr>
        <w:t xml:space="preserve">transferability </w:t>
      </w:r>
      <w:r>
        <w:rPr>
          <w:rFonts w:hint="eastAsia"/>
          <w:i w:val="0"/>
          <w:iCs w:val="0"/>
          <w:caps w:val="0"/>
          <w:color w:val="000000"/>
          <w:spacing w:val="0"/>
          <w:u w:val="none"/>
        </w:rPr>
        <w:t>of the findings within similar educational contexts.</w:t>
      </w:r>
    </w:p>
    <w:p w14:paraId="35B6AB2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335F3F0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b/>
          <w:bCs/>
          <w:i w:val="0"/>
          <w:iCs w:val="0"/>
          <w:caps w:val="0"/>
          <w:color w:val="000000"/>
          <w:spacing w:val="0"/>
          <w:sz w:val="28"/>
          <w:szCs w:val="28"/>
          <w:u w:val="none"/>
          <w:lang w:val="en-US" w:eastAsia="zh-CN"/>
        </w:rPr>
      </w:pPr>
      <w:r>
        <w:rPr>
          <w:rFonts w:hint="default"/>
          <w:b/>
          <w:bCs/>
          <w:i w:val="0"/>
          <w:iCs w:val="0"/>
          <w:caps w:val="0"/>
          <w:color w:val="000000"/>
          <w:spacing w:val="0"/>
          <w:sz w:val="28"/>
          <w:szCs w:val="28"/>
          <w:u w:val="none"/>
          <w:lang w:val="en-US" w:eastAsia="zh-CN"/>
        </w:rPr>
        <w:t>Sampling</w:t>
      </w:r>
    </w:p>
    <w:p w14:paraId="51CEC8C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 xml:space="preserve">Sampling is a critical element in qualitative research, as it directly influences the richness and credibility of the collected data. This study investigates English-majored students’ engagement in flipped classrooms and the specific challenges they encounter in the pre-class section. To ensure relevance and contextual depth, criterion-based </w:t>
      </w:r>
      <w:r>
        <w:rPr>
          <w:rFonts w:hint="default"/>
          <w:b/>
          <w:bCs/>
          <w:i w:val="0"/>
          <w:iCs w:val="0"/>
          <w:caps w:val="0"/>
          <w:color w:val="000000"/>
          <w:spacing w:val="0"/>
          <w:u w:val="none"/>
          <w:lang w:val="en-US" w:eastAsia="zh-CN"/>
        </w:rPr>
        <w:t>purposive sampling</w:t>
      </w:r>
      <w:r>
        <w:rPr>
          <w:rFonts w:hint="default"/>
          <w:i w:val="0"/>
          <w:iCs w:val="0"/>
          <w:caps w:val="0"/>
          <w:color w:val="000000"/>
          <w:spacing w:val="0"/>
          <w:u w:val="none"/>
          <w:lang w:val="en-US" w:eastAsia="zh-CN"/>
        </w:rPr>
        <w:t xml:space="preserve"> will be adopted. This method enables the selection of participants who have direct and relevant experience with the flipped classroom model, especially in the context of English language education.</w:t>
      </w:r>
    </w:p>
    <w:p w14:paraId="3418376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35457B1C">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 xml:space="preserve">Purposive sampling, particularly the </w:t>
      </w:r>
      <w:r>
        <w:rPr>
          <w:rFonts w:hint="default"/>
          <w:b/>
          <w:bCs/>
          <w:i w:val="0"/>
          <w:iCs w:val="0"/>
          <w:caps w:val="0"/>
          <w:color w:val="000000"/>
          <w:spacing w:val="0"/>
          <w:u w:val="none"/>
          <w:lang w:val="en-US" w:eastAsia="zh-CN"/>
        </w:rPr>
        <w:t>criterion-based approach</w:t>
      </w:r>
      <w:r>
        <w:rPr>
          <w:rFonts w:hint="default"/>
          <w:i w:val="0"/>
          <w:iCs w:val="0"/>
          <w:caps w:val="0"/>
          <w:color w:val="000000"/>
          <w:spacing w:val="0"/>
          <w:u w:val="none"/>
          <w:lang w:val="en-US" w:eastAsia="zh-CN"/>
        </w:rPr>
        <w:t>, is a widely accepted method in qualitative research when researchers seek to gain insights from individuals who meet specific criteria relevant to the research questions (Patton, 2015). In this study, participants will be selected based on three essential criteria: (1) they are undergraduate English majors, (2) they are currently enrolled in or have completed a course delivered in a flipped classroom format, and (3) they have engaged with the pre-class learning materials required in such courses.</w:t>
      </w:r>
    </w:p>
    <w:p w14:paraId="6C8C02B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6BBC2C0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This approach is appropriate given the study's focus on understanding cognitive and emotional engagement with flipped learning. Rather than aiming for generalisability, qualitative research aims for in-depth understanding of participants’ lived experiences (Silverman, 2013). As such, selecting participants who have direct experience with flipped instruction is essential to ensure the data is meaningful and relevant.</w:t>
      </w:r>
    </w:p>
    <w:p w14:paraId="71959C60">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75C476E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 xml:space="preserve">Purposive sampling allows the researcher to deliberately choose individuals who are best positioned to provide rich and detailed accounts of the phenomenon under study. Etikan, Musa and Alkassim (2016) argue that purposive sampling is particularly effective in educational research where the aim is to explore complex behaviors, attitudes, or perceptions that are best understood through the voices of those directly involved. This sampling strategy aligns with the </w:t>
      </w:r>
      <w:r>
        <w:rPr>
          <w:rFonts w:hint="default"/>
          <w:b w:val="0"/>
          <w:bCs w:val="0"/>
          <w:i w:val="0"/>
          <w:iCs w:val="0"/>
          <w:caps w:val="0"/>
          <w:color w:val="auto"/>
          <w:spacing w:val="0"/>
          <w:u w:val="none"/>
          <w:lang w:val="en-US" w:eastAsia="zh-CN"/>
        </w:rPr>
        <w:t>constructivist and interpretivist paradigms</w:t>
      </w:r>
      <w:r>
        <w:rPr>
          <w:rFonts w:hint="default"/>
          <w:b/>
          <w:bCs/>
          <w:i w:val="0"/>
          <w:iCs w:val="0"/>
          <w:caps w:val="0"/>
          <w:color w:val="000000"/>
          <w:spacing w:val="0"/>
          <w:u w:val="none"/>
          <w:lang w:val="en-US" w:eastAsia="zh-CN"/>
        </w:rPr>
        <w:t>,</w:t>
      </w:r>
      <w:r>
        <w:rPr>
          <w:rFonts w:hint="default"/>
          <w:i w:val="0"/>
          <w:iCs w:val="0"/>
          <w:caps w:val="0"/>
          <w:color w:val="000000"/>
          <w:spacing w:val="0"/>
          <w:u w:val="none"/>
          <w:lang w:val="en-US" w:eastAsia="zh-CN"/>
        </w:rPr>
        <w:t xml:space="preserve"> which underpin this study. These paradigms emphasize the subjective meanings and experiences constructed by individuals in particular social contexts (Creswell, 2014). Therefore, recruiting students who have personally experienced flipped classrooms at the university level ensures that the data reflects authentic perspectives on engagement and challenges.</w:t>
      </w:r>
    </w:p>
    <w:p w14:paraId="7CCF11A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5AEE7E91">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 xml:space="preserve">The research will be conducted exclusively at Fuzhou University of International Studies and Trade, where English-majored students are regularly exposed to flipped classroom teaching strategies as part of their curriculum. This university context is well-suited to the research aims, as several English courses incorporate pre-class video lectures, online activities, and in-class discussion-based learning—hallmarks of the flipped classroom model. A sample of </w:t>
      </w:r>
      <w:r>
        <w:rPr>
          <w:rFonts w:hint="default"/>
          <w:b/>
          <w:bCs/>
          <w:i w:val="0"/>
          <w:iCs w:val="0"/>
          <w:caps w:val="0"/>
          <w:color w:val="000000"/>
          <w:spacing w:val="0"/>
          <w:u w:val="none"/>
          <w:lang w:val="en-US" w:eastAsia="zh-CN"/>
        </w:rPr>
        <w:t>15–20 undergraduate students</w:t>
      </w:r>
      <w:r>
        <w:rPr>
          <w:rFonts w:hint="default"/>
          <w:i w:val="0"/>
          <w:iCs w:val="0"/>
          <w:caps w:val="0"/>
          <w:color w:val="000000"/>
          <w:spacing w:val="0"/>
          <w:u w:val="none"/>
          <w:lang w:val="en-US" w:eastAsia="zh-CN"/>
        </w:rPr>
        <w:t xml:space="preserve"> will be selected from this institution. This number is sufficient for qualitative research using interviews and open-ended questionnaires, where the goal is not statistical saturation but thematic depth (Guest, Bunce and Johnson, 2006). The selection will aim to include students across different academic years and courses to ensure a diversity of experiences and viewpoints.</w:t>
      </w:r>
    </w:p>
    <w:p w14:paraId="10F34CEB">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0C01D49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The primary strength of criterion-based purposive sampling lies in its targeted relevance—it allows for the identification of participants who can provide detailed, first-hand insights into the research focus (Palinkas et al., 2015). In the context of flipped classrooms, where internal factors such as motivation, anxiety, and self-directed learning are significant, such specificity is vital. Additionally, this method allows for flexibility, permitting the researcher to refine participant criteria if needed as themes emerge during early stages of data collection (Miles, Huberman and Saldaña, 2014).</w:t>
      </w:r>
    </w:p>
    <w:p w14:paraId="153B87E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44D529B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One notable limitation of purposive sampling is the lack of statistical representativeness, which limits generalisability to other populations (Dörnyei, 2007). However, this is acceptable in qualitative inquiry, where transferability rather than generalisability is the primary concern (Yin, 2018). Findings may still offer valuable insights applicable to similar educational contexts in China or beyond. Another limitation involves potential selection bias, especially when recruitment is conducted within a single institution. To mitigate this, efforts will be made to include a diverse range of participants—not only high-performing or enthusiastic students, but also those who may have struggled with flipped learning. This balanced representation will ensure that a wide spectrum of experiences is captured.</w:t>
      </w:r>
    </w:p>
    <w:p w14:paraId="2B3A1FE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1030E70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sz w:val="28"/>
          <w:szCs w:val="28"/>
          <w:u w:val="none"/>
          <w:lang w:val="en-US" w:eastAsia="zh-CN"/>
        </w:rPr>
      </w:pPr>
      <w:r>
        <w:rPr>
          <w:rFonts w:hint="default"/>
          <w:b/>
          <w:bCs/>
          <w:i w:val="0"/>
          <w:iCs w:val="0"/>
          <w:caps w:val="0"/>
          <w:color w:val="000000"/>
          <w:spacing w:val="0"/>
          <w:sz w:val="28"/>
          <w:szCs w:val="28"/>
          <w:u w:val="none"/>
          <w:lang w:val="en-US" w:eastAsia="zh-CN"/>
        </w:rPr>
        <w:t>Ethics</w:t>
      </w:r>
    </w:p>
    <w:p w14:paraId="483BF091">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Ethical considerations are central to the integrity and credibility of any research project, especially those involving human participants. Given the qualitative nature of this study—exploring Chinese English-majored students’ engagement in flipped classrooms through interviews and questionnaires—it is essential to safeguard participants’ rights, promote voluntary involvement, and uphold confidentiality throughout the research process (BERA, 2018).</w:t>
      </w:r>
    </w:p>
    <w:p w14:paraId="333473F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10243050">
      <w:pPr>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jc w:val="both"/>
        <w:textAlignment w:val="auto"/>
        <w:rPr>
          <w:rFonts w:hint="default" w:asciiTheme="minorHAnsi" w:hAnsiTheme="minorHAnsi" w:eastAsiaTheme="minorEastAsia" w:cstheme="minorBidi"/>
          <w:i w:val="0"/>
          <w:iCs w:val="0"/>
          <w:caps w:val="0"/>
          <w:color w:val="000000"/>
          <w:spacing w:val="0"/>
          <w:kern w:val="0"/>
          <w:sz w:val="24"/>
          <w:szCs w:val="24"/>
          <w:u w:val="none"/>
          <w:lang w:val="en-US" w:eastAsia="zh-CN" w:bidi="ar"/>
        </w:rPr>
      </w:pPr>
      <w:r>
        <w:rPr>
          <w:rFonts w:hint="default" w:asciiTheme="minorHAnsi" w:hAnsiTheme="minorHAnsi" w:eastAsiaTheme="minorEastAsia" w:cstheme="minorBidi"/>
          <w:i w:val="0"/>
          <w:iCs w:val="0"/>
          <w:caps w:val="0"/>
          <w:color w:val="000000"/>
          <w:spacing w:val="0"/>
          <w:kern w:val="0"/>
          <w:sz w:val="24"/>
          <w:szCs w:val="24"/>
          <w:u w:val="none"/>
          <w:lang w:val="en-US" w:eastAsia="zh-CN" w:bidi="ar"/>
        </w:rPr>
        <w:t>Participants will be fully informed about the aims, procedures, potential risks, and benefits of the study prior to their participation. A written informed consent form will be distributed, which clearly states that participation is voluntary, and that individuals have the right to withdraw from the study at any point prior to the commencement of the data analysis phase, without penalty or need for explanation.</w:t>
      </w:r>
      <w:r>
        <w:rPr>
          <w:rFonts w:hint="eastAsia" w:asciiTheme="minorHAnsi" w:hAnsiTheme="minorHAnsi" w:eastAsiaTheme="minorEastAsia" w:cstheme="minorBidi"/>
          <w:i w:val="0"/>
          <w:iCs w:val="0"/>
          <w:caps w:val="0"/>
          <w:color w:val="000000"/>
          <w:spacing w:val="0"/>
          <w:kern w:val="0"/>
          <w:sz w:val="24"/>
          <w:szCs w:val="24"/>
          <w:u w:val="none"/>
          <w:lang w:val="en-US" w:eastAsia="zh-CN" w:bidi="ar"/>
        </w:rPr>
        <w:t xml:space="preserve"> </w:t>
      </w:r>
      <w:r>
        <w:rPr>
          <w:rFonts w:hint="default" w:asciiTheme="minorHAnsi" w:hAnsiTheme="minorHAnsi" w:eastAsiaTheme="minorEastAsia" w:cstheme="minorBidi"/>
          <w:i w:val="0"/>
          <w:iCs w:val="0"/>
          <w:caps w:val="0"/>
          <w:color w:val="000000"/>
          <w:spacing w:val="0"/>
          <w:kern w:val="0"/>
          <w:sz w:val="24"/>
          <w:szCs w:val="24"/>
          <w:u w:val="none"/>
          <w:lang w:val="en-US" w:eastAsia="zh-CN" w:bidi="ar"/>
        </w:rPr>
        <w:t>According to Cohen, Manion and Morrison (2018), informed consent is not only a legal necessity but also a moral one, ensuring transparency between the researcher and participants. The consent form will be written in Chinese to ensure full comprehension and avoid any linguistic barriers.</w:t>
      </w:r>
      <w:r>
        <w:rPr>
          <w:rFonts w:hint="eastAsia" w:asciiTheme="minorHAnsi" w:hAnsiTheme="minorHAnsi" w:eastAsiaTheme="minorEastAsia" w:cstheme="minorBidi"/>
          <w:i w:val="0"/>
          <w:iCs w:val="0"/>
          <w:caps w:val="0"/>
          <w:color w:val="000000"/>
          <w:spacing w:val="0"/>
          <w:kern w:val="0"/>
          <w:sz w:val="24"/>
          <w:szCs w:val="24"/>
          <w:u w:val="none"/>
          <w:lang w:val="en-US" w:eastAsia="zh-CN" w:bidi="ar"/>
        </w:rPr>
        <w:t xml:space="preserve"> </w:t>
      </w:r>
      <w:r>
        <w:rPr>
          <w:rFonts w:hint="default" w:asciiTheme="minorHAnsi" w:hAnsiTheme="minorHAnsi" w:eastAsiaTheme="minorEastAsia" w:cstheme="minorBidi"/>
          <w:i w:val="0"/>
          <w:iCs w:val="0"/>
          <w:caps w:val="0"/>
          <w:color w:val="000000"/>
          <w:spacing w:val="0"/>
          <w:kern w:val="0"/>
          <w:sz w:val="24"/>
          <w:szCs w:val="24"/>
          <w:u w:val="none"/>
          <w:lang w:val="en-US" w:eastAsia="zh-CN" w:bidi="ar"/>
        </w:rPr>
        <w:t>Participants’ anonymity will be preserved by assigning pseudonyms during transcription and analysis. Identifying information, including names, student numbers, and specific class identifiers, will be removed or coded. Digital recordings and transcripts will be stored in encrypted folders accessible only to the researcher. As Flick (2014) notes, confidentiality is a key ethical standard in qualitative research, especially when the research deals with students’ emotional and cognitive challenges, which may be sensitive in nature.</w:t>
      </w:r>
    </w:p>
    <w:p w14:paraId="10806FE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44FF048C">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In the context of a Chinese university setting, where students may feel cautious about expressing critical views on pedagogical approaches or instructors, maintaining strict confidentiality is particularly important to reduce response bias and build trust (Wang and Liu, 2021).</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To ensure voluntariness, no form of academic reward, pressure, or incentive will be offered for participation. According to Israel and Hay (2006), ethical research must ensure that participants do not feel coerced, especially in institutional settings where hierarchical structures exist.</w:t>
      </w:r>
    </w:p>
    <w:p w14:paraId="4D3FCE1F">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59CA6CCB">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Ethical research in the Chinese educational context also requires cultural sensitivity. The study will respect local norms regarding teacher–student relationships and group harmony (Zhou and Brown, 2015). The interview questions will be designed with sensitivity to students’ comfort levels, avoiding direct criticism of teachers or curricula while still encouraging honest reflections about their engagement and learning challenges.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Before commencing data collection, ethical approval will be sought from the relevant ethics committee at the researcher’s university. A comprehensive ethics application will be submitted, including copies of consent forms, interview protocols, and participant information sheets. All research activities will adhere to the ethical guidelines of the British Educational Research Association (BERA, 2018) and align with local university standards for academic research.</w:t>
      </w:r>
    </w:p>
    <w:p w14:paraId="6488D1D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3168AFDE">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sz w:val="28"/>
          <w:szCs w:val="28"/>
          <w:u w:val="none"/>
          <w:lang w:val="en-US" w:eastAsia="zh-CN"/>
        </w:rPr>
      </w:pPr>
      <w:r>
        <w:rPr>
          <w:rFonts w:hint="default"/>
          <w:b/>
          <w:bCs/>
          <w:i w:val="0"/>
          <w:iCs w:val="0"/>
          <w:caps w:val="0"/>
          <w:color w:val="000000"/>
          <w:spacing w:val="0"/>
          <w:sz w:val="28"/>
          <w:szCs w:val="28"/>
          <w:u w:val="none"/>
          <w:lang w:val="en-US" w:eastAsia="zh-CN"/>
        </w:rPr>
        <w:t>Research Tools</w:t>
      </w:r>
    </w:p>
    <w:p w14:paraId="48142B3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In qualitative research, the selection of appropriate tools is crucial for capturing the depth and complexity of participants' experiences. For this study, which investigates Chinese English-majored students' engagement in flipped classrooms and the challenges they face with pre-class materials, two primary data collection tools have been chosen: semi-structured interviews and open-ended questionnaires. These tools are designed to elicit rich, detailed accounts of students' perceptions, aligning with the interpretivist paradigm that underpins this research.</w:t>
      </w:r>
    </w:p>
    <w:p w14:paraId="4B0F138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07963ED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Semi-structured interviews are a widely used qualitative research tool that allows for in-depth exploration of participants' experiences while providing the flexibility to probe further into emerging topics (Cohen, Manion, &amp; Morrison, 2018). This method is particularly suitable for understanding the nuanced emotional and cognitive engagement of students in flipped classroom settings.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In this study, semi-structured interviews will be conducted with a purposive sample of English-majored students at Fuzhou University of International Studies and Trade. The interview guide will include open-ended questions focusing on students' experiences with pre-class materials, their emotional responses, cognitive engagement, and perceptions of in-class activities. For example, questions may include:</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"Can you describe your experience with the pre-class materials provided in the flipped classroom?"</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"How do these materials affect your motivation and understanding of the course content?"</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These interviews will be conducted in a quiet, comfortable setting to encourage openness and honesty. Each interview is expected to last approximately 45–60 minutes and will be audio-recorded with participants' consent for accurate transcription and analysis.</w:t>
      </w:r>
    </w:p>
    <w:p w14:paraId="0F514B5E">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4A2D83C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The strength of semi-structured interviews lies in their ability to uncover deep insights into participants' thoughts and feelings, which are often inaccessible through other methods (Kvale &amp; Brinkmann, 2009). However, they also present challenges, such as the potential for interviewer bias and the time-consuming nature of data collection and analysis. To mitigate these issues, the interviewer will undergo training to ensure neutrality and consistency, and a pilot interview will be conducted to refine the interview guide.</w:t>
      </w:r>
    </w:p>
    <w:p w14:paraId="24ED913C">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2C92874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Open-ended questionnaires complement interviews by allowing participants to express their thoughts in writing, providing an additional layer of data for analysis. This method is particularly useful for reaching a broader sample and capturing a wider range of experiences (O'Leary, 2014).</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In this study, an open-ended questionnaire will be distributed to a larger group of English-majored students who have experienced flipped classrooms. The questionnaire will include prompts such as: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"What challenges have you encountered when engaging with pre-class materials?"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"How has the flipped classroom model influenced your participation during class time?"</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These questions are designed to elicit detailed responses that reflect students' personal experiences and perceptions. The questionnaires will be administered online to ensure accessibility and convenience for participants.</w:t>
      </w:r>
    </w:p>
    <w:p w14:paraId="3438990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37C913E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The advantage of open-ended questionnaires is their ability to gather diverse perspectives and identify common themes across a larger sample. However, they may also result in varied response lengths and depths, and the lack of opportunity for follow-up questions can limit the richness of the data. To address this, the questionnaire will be carefully designed to encourage detailed responses, and participants will be informed about the importance of providing comprehensive answers.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Using both semi-structured interviews and open-ended questionnaires allows for methodological triangulation, enhancing the credibility and validity of the research findings (Patton, 2015). While interviews provide deep, contextual insights into individual experiences, questionnaires offer a broader overview of common challenges and perceptions among the student population.</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 xml:space="preserve">This combination of tools is particularly effective in exploring the emotional and cognitive engagement of students in flipped classrooms. </w:t>
      </w:r>
      <w:r>
        <w:rPr>
          <w:rFonts w:hint="eastAsia"/>
          <w:i w:val="0"/>
          <w:iCs w:val="0"/>
          <w:caps w:val="0"/>
          <w:color w:val="000000"/>
          <w:spacing w:val="0"/>
          <w:u w:val="none"/>
          <w:lang w:val="en-US" w:eastAsia="zh-CN"/>
        </w:rPr>
        <w:t>I</w:t>
      </w:r>
      <w:r>
        <w:rPr>
          <w:rFonts w:hint="default"/>
          <w:i w:val="0"/>
          <w:iCs w:val="0"/>
          <w:caps w:val="0"/>
          <w:color w:val="000000"/>
          <w:spacing w:val="0"/>
          <w:u w:val="none"/>
          <w:lang w:val="en-US" w:eastAsia="zh-CN"/>
        </w:rPr>
        <w:t>nterviews can delve into the emotional aspects of engagement, such as feelings of motivation or frustration, while questionnaires can capture cognitive aspects, such as understanding and retention of pre-class materials.</w:t>
      </w:r>
    </w:p>
    <w:p w14:paraId="6B75406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7E215FB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The choice of semi-structured interviews and open-ended questionnaires is informed by existing literature on student engagement in flipped classrooms. Steen-Utheim and Foldnes (2018) conducted a qualitative study using interviews to explore student engagement in a flipped classroom, highlighting the importance of understanding students' emotional and cognitive responses. Similarly, Alebrahim and Ku (2020) used interviews and questionnaires to examine perceptions of student engagement, demonstrating the effectiveness of these tools in capturing nuanced experiences.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Furthermore, the use of these tools aligns with the interpretivist approach of this study, which seeks to understand the subjective meanings that students assign to their experiences in flipped classrooms (Bryman, 2016). By allowing students to articulate their thoughts and feelings in their own words, these tools facilitate a deeper understanding of the complexities of student engagement.</w:t>
      </w:r>
    </w:p>
    <w:p w14:paraId="17C6177E">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112D1AFC">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While the selected research tools offer significant advantages, they also present limitations. Semi-structured interviews are time-intensive and may be influenced by interviewer bias. To mitigate this, the interviewer will follow a standardized protocol and maintain reflexivity throughout the research process.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Open-ended questionnaires may result in varied response quality and lack the opportunity for clarification. To address this, clear instructions and prompts will be provided to encourage detailed responses, and follow-up interviews may be conducted with selected participants to explore their responses further.</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Additionally, cultural factors may influence students' willingness to share their experiences openly. To create a safe and supportive environment, participants will be assured of confidentiality and anonymity, and the research will be conducted with cultural sensitivity and respect.</w:t>
      </w:r>
    </w:p>
    <w:p w14:paraId="175E557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58700EF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 xml:space="preserve">Given the qualitative nature of this study, the data collected through semi-structured interviews and open-ended questionnaires will be analysed using </w:t>
      </w:r>
      <w:r>
        <w:rPr>
          <w:rFonts w:hint="default"/>
          <w:b/>
          <w:bCs/>
          <w:i w:val="0"/>
          <w:iCs w:val="0"/>
          <w:caps w:val="0"/>
          <w:color w:val="000000"/>
          <w:spacing w:val="0"/>
          <w:u w:val="none"/>
          <w:lang w:val="en-US" w:eastAsia="zh-CN"/>
        </w:rPr>
        <w:t>thematic analysis</w:t>
      </w:r>
      <w:r>
        <w:rPr>
          <w:rFonts w:hint="default"/>
          <w:i w:val="0"/>
          <w:iCs w:val="0"/>
          <w:caps w:val="0"/>
          <w:color w:val="000000"/>
          <w:spacing w:val="0"/>
          <w:u w:val="none"/>
          <w:lang w:val="en-US" w:eastAsia="zh-CN"/>
        </w:rPr>
        <w:t>, a flexible and rigorous approach for identifying and interpreting patterns of meaning across qualitative data (Braun &amp; Clarke, 2006). This method is especially effective in exploring complex phenomena such as students' emotional and cognitive engagement, and the challenges they experience with pre-class materials in a flipped classroom setting.</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 xml:space="preserve">Thematic analysis will be conducted using Braun and Clarke’s (2006) six-phase framework: familiarisation with the data, generating initial codes, searching for themes, reviewing themes, defining and naming themes, and producing the final report. Both </w:t>
      </w:r>
      <w:r>
        <w:rPr>
          <w:rFonts w:hint="default"/>
          <w:b/>
          <w:bCs/>
          <w:i w:val="0"/>
          <w:iCs w:val="0"/>
          <w:caps w:val="0"/>
          <w:color w:val="000000"/>
          <w:spacing w:val="0"/>
          <w:u w:val="none"/>
          <w:lang w:val="en-US" w:eastAsia="zh-CN"/>
        </w:rPr>
        <w:t>inductive</w:t>
      </w:r>
      <w:r>
        <w:rPr>
          <w:rFonts w:hint="default"/>
          <w:i w:val="0"/>
          <w:iCs w:val="0"/>
          <w:caps w:val="0"/>
          <w:color w:val="000000"/>
          <w:spacing w:val="0"/>
          <w:u w:val="none"/>
          <w:lang w:val="en-US" w:eastAsia="zh-CN"/>
        </w:rPr>
        <w:t xml:space="preserve"> and </w:t>
      </w:r>
      <w:r>
        <w:rPr>
          <w:rFonts w:hint="default"/>
          <w:b/>
          <w:bCs/>
          <w:i w:val="0"/>
          <w:iCs w:val="0"/>
          <w:caps w:val="0"/>
          <w:color w:val="000000"/>
          <w:spacing w:val="0"/>
          <w:u w:val="none"/>
          <w:lang w:val="en-US" w:eastAsia="zh-CN"/>
        </w:rPr>
        <w:t xml:space="preserve">deductive </w:t>
      </w:r>
      <w:r>
        <w:rPr>
          <w:rFonts w:hint="default"/>
          <w:i w:val="0"/>
          <w:iCs w:val="0"/>
          <w:caps w:val="0"/>
          <w:color w:val="000000"/>
          <w:spacing w:val="0"/>
          <w:u w:val="none"/>
          <w:lang w:val="en-US" w:eastAsia="zh-CN"/>
        </w:rPr>
        <w:t>coding strategies will be applied. Inductive coding will allow for the emergence of unexpected themes directly from the data, while deductive coding will be guided by existing theoretical frameworks, such as Fredricks et al.'s (2004) model of student engagement, which includes behavioural, emotional, and cognitive dimensions.</w:t>
      </w:r>
    </w:p>
    <w:p w14:paraId="3F75AA81">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2610C4B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To manage and organise the data systematically, qualitative data analysis software such as NVivo or MAXQDA will be used. These tools assist in data categorisation, retrieval, and thematic mapping, enhancing the overall transparency and organisation of the analysis process (Bazeley &amp; Jackson, 2013). However, it is important to emphasise that these tools do not perform analysis themselves; rather, the interpretation and meaning-making remain firmly grounded in the researcher’s critical judgement (Silver &amp; Lewins, 2014).</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 xml:space="preserve">A key strength of thematic analysis is its flexibility and adaptability to various epistemological positions. In this study, a </w:t>
      </w:r>
      <w:r>
        <w:rPr>
          <w:rFonts w:hint="default"/>
          <w:b/>
          <w:bCs/>
          <w:i w:val="0"/>
          <w:iCs w:val="0"/>
          <w:caps w:val="0"/>
          <w:color w:val="000000"/>
          <w:spacing w:val="0"/>
          <w:u w:val="none"/>
          <w:lang w:val="en-US" w:eastAsia="zh-CN"/>
        </w:rPr>
        <w:t xml:space="preserve">constructivist approach </w:t>
      </w:r>
      <w:r>
        <w:rPr>
          <w:rFonts w:hint="default"/>
          <w:i w:val="0"/>
          <w:iCs w:val="0"/>
          <w:caps w:val="0"/>
          <w:color w:val="000000"/>
          <w:spacing w:val="0"/>
          <w:u w:val="none"/>
          <w:lang w:val="en-US" w:eastAsia="zh-CN"/>
        </w:rPr>
        <w:t>will be adopted, recognising that students’ experiences are contextually situated and socially constructed. This perspective is appropriate given the study’s aim to explore perceptions rather than measurable outcomes. Additionally, thematic analysis supports both surface-level (semantic) and deeper (latent) meaning analysis, which is especially relevant when exploring emotional and cognitive aspects of engagement that may not always be explicitly expressed (Guest, MacQueen &amp; Namey, 2012).</w:t>
      </w:r>
    </w:p>
    <w:p w14:paraId="30A12FB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7C35C26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 xml:space="preserve">Nonetheless, one limitation of thematic analysis is its reliance on the researcher's interpretative lens, which can introduce subjectivity. To address this, the researcher will engage in </w:t>
      </w:r>
      <w:r>
        <w:rPr>
          <w:rFonts w:hint="default"/>
          <w:b/>
          <w:bCs/>
          <w:i w:val="0"/>
          <w:iCs w:val="0"/>
          <w:caps w:val="0"/>
          <w:color w:val="000000"/>
          <w:spacing w:val="0"/>
          <w:u w:val="none"/>
          <w:lang w:val="en-US" w:eastAsia="zh-CN"/>
        </w:rPr>
        <w:t>reflexive practices</w:t>
      </w:r>
      <w:r>
        <w:rPr>
          <w:rFonts w:hint="default"/>
          <w:i w:val="0"/>
          <w:iCs w:val="0"/>
          <w:caps w:val="0"/>
          <w:color w:val="000000"/>
          <w:spacing w:val="0"/>
          <w:u w:val="none"/>
          <w:lang w:val="en-US" w:eastAsia="zh-CN"/>
        </w:rPr>
        <w:t xml:space="preserve"> throughout the process, documenting decisions and maintaining transparency in the development of codes and themes (Nowell et al., 2017). This self-awareness contributes to the credibility and trustworthiness of the findings.</w:t>
      </w:r>
      <w:r>
        <w:rPr>
          <w:rFonts w:hint="eastAsia"/>
          <w:i w:val="0"/>
          <w:iCs w:val="0"/>
          <w:caps w:val="0"/>
          <w:color w:val="000000"/>
          <w:spacing w:val="0"/>
          <w:u w:val="none"/>
          <w:lang w:val="en-US" w:eastAsia="zh-CN"/>
        </w:rPr>
        <w:t xml:space="preserve"> </w:t>
      </w:r>
      <w:r>
        <w:rPr>
          <w:rFonts w:hint="default"/>
          <w:i w:val="0"/>
          <w:iCs w:val="0"/>
          <w:caps w:val="0"/>
          <w:color w:val="000000"/>
          <w:spacing w:val="0"/>
          <w:u w:val="none"/>
          <w:lang w:val="en-US" w:eastAsia="zh-CN"/>
        </w:rPr>
        <w:t>In sum, thematic analysis provides a robust and flexible tool for interpreting rich qualitative data and is well suited to this study’s focus on students’ perspectives in a flipped learning environment.</w:t>
      </w:r>
    </w:p>
    <w:p w14:paraId="2E53098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752EB59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sz w:val="28"/>
          <w:szCs w:val="28"/>
          <w:u w:val="none"/>
          <w:lang w:val="en-US" w:eastAsia="zh-CN"/>
        </w:rPr>
      </w:pPr>
      <w:r>
        <w:rPr>
          <w:rFonts w:hint="default"/>
          <w:b/>
          <w:bCs/>
          <w:i w:val="0"/>
          <w:iCs w:val="0"/>
          <w:caps w:val="0"/>
          <w:color w:val="000000"/>
          <w:spacing w:val="0"/>
          <w:sz w:val="28"/>
          <w:szCs w:val="28"/>
          <w:u w:val="none"/>
          <w:lang w:val="en-US" w:eastAsia="zh-CN"/>
        </w:rPr>
        <w:t>Conclusion</w:t>
      </w:r>
    </w:p>
    <w:p w14:paraId="6C3AC88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r>
        <w:rPr>
          <w:rFonts w:hint="default"/>
          <w:i w:val="0"/>
          <w:iCs w:val="0"/>
          <w:caps w:val="0"/>
          <w:color w:val="000000"/>
          <w:spacing w:val="0"/>
          <w:u w:val="none"/>
          <w:lang w:val="en-US" w:eastAsia="zh-CN"/>
        </w:rPr>
        <w:t>This study adopts a qualitative approach to explore Chinese English-major students’ perceptions of flipped classroom engagement and pre-class challenges. Through student-centered tools and thematic analysis, it aims to provide deeper insights into how flipped learning enhances engagement, supporting pedagogical refinement (Braun &amp; Clarke, 2006; Fredricks, Blumenfeld &amp; Paris, 2004).</w:t>
      </w:r>
    </w:p>
    <w:p w14:paraId="19D715C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08D2EB8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71A6A56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58C4122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both"/>
        <w:textAlignment w:val="auto"/>
        <w:rPr>
          <w:rFonts w:hint="default"/>
          <w:i w:val="0"/>
          <w:iCs w:val="0"/>
          <w:caps w:val="0"/>
          <w:color w:val="000000"/>
          <w:spacing w:val="0"/>
          <w:u w:val="none"/>
          <w:lang w:val="en-US" w:eastAsia="zh-CN"/>
        </w:rPr>
      </w:pPr>
    </w:p>
    <w:p w14:paraId="7F62E06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jc w:val="left"/>
        <w:textAlignment w:val="auto"/>
        <w:rPr>
          <w:rFonts w:hint="eastAsia"/>
          <w:b/>
          <w:bCs/>
          <w:i w:val="0"/>
          <w:iCs w:val="0"/>
          <w:caps w:val="0"/>
          <w:color w:val="000000"/>
          <w:spacing w:val="0"/>
          <w:sz w:val="28"/>
          <w:szCs w:val="28"/>
          <w:u w:val="none"/>
          <w:lang w:val="en-US" w:eastAsia="zh-CN"/>
        </w:rPr>
      </w:pPr>
      <w:r>
        <w:rPr>
          <w:rFonts w:hint="default"/>
          <w:b/>
          <w:bCs/>
          <w:i w:val="0"/>
          <w:iCs w:val="0"/>
          <w:caps w:val="0"/>
          <w:color w:val="000000"/>
          <w:spacing w:val="0"/>
          <w:sz w:val="28"/>
          <w:szCs w:val="28"/>
          <w:u w:val="none"/>
          <w:lang w:val="en-US" w:eastAsia="zh-CN"/>
        </w:rPr>
        <w:t>References</w:t>
      </w:r>
    </w:p>
    <w:p w14:paraId="4F248EB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Abeysekera, L. and Dawson, P. (2015) ‘Motivation and cognitive load in the flipped classroom: definition, rationale and a call for research’, </w:t>
      </w:r>
      <w:r>
        <w:rPr>
          <w:rFonts w:hint="default" w:asciiTheme="minorAscii" w:hAnsiTheme="minorAscii"/>
          <w:i/>
          <w:iCs/>
          <w:caps w:val="0"/>
          <w:color w:val="000000"/>
          <w:spacing w:val="0"/>
          <w:u w:val="none"/>
        </w:rPr>
        <w:t>Higher Education Research &amp; Development</w:t>
      </w:r>
      <w:r>
        <w:rPr>
          <w:rFonts w:hint="default" w:asciiTheme="minorAscii" w:hAnsiTheme="minorAscii"/>
          <w:i w:val="0"/>
          <w:iCs w:val="0"/>
          <w:caps w:val="0"/>
          <w:color w:val="000000"/>
          <w:spacing w:val="0"/>
          <w:u w:val="none"/>
        </w:rPr>
        <w:t>, 34(1), pp. 1–14.</w:t>
      </w:r>
    </w:p>
    <w:p w14:paraId="14B57ED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Alebrahim, F. and Ku, H.Y. (2020) 'Perceptions of student engagement in the flipped classroom: a case study', </w:t>
      </w:r>
      <w:r>
        <w:rPr>
          <w:rFonts w:hint="default" w:asciiTheme="minorAscii" w:hAnsiTheme="minorAscii"/>
          <w:i/>
          <w:iCs/>
          <w:caps w:val="0"/>
          <w:color w:val="000000"/>
          <w:spacing w:val="0"/>
          <w:u w:val="none"/>
          <w:lang w:val="en-US" w:eastAsia="zh-CN"/>
        </w:rPr>
        <w:t>Educational Media International</w:t>
      </w:r>
      <w:r>
        <w:rPr>
          <w:rFonts w:hint="default" w:asciiTheme="minorAscii" w:hAnsiTheme="minorAscii"/>
          <w:i w:val="0"/>
          <w:iCs w:val="0"/>
          <w:caps w:val="0"/>
          <w:color w:val="000000"/>
          <w:spacing w:val="0"/>
          <w:u w:val="none"/>
          <w:lang w:val="en-US" w:eastAsia="zh-CN"/>
        </w:rPr>
        <w:t>, 57(2), pp. 128–147. https://doi.org/10.1080/09523987.2020.1786776</w:t>
      </w:r>
    </w:p>
    <w:p w14:paraId="55264EF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Bazeley, P. and Jackson, K. (2013) </w:t>
      </w:r>
      <w:r>
        <w:rPr>
          <w:rFonts w:hint="default" w:asciiTheme="minorAscii" w:hAnsiTheme="minorAscii"/>
          <w:i/>
          <w:iCs/>
          <w:caps w:val="0"/>
          <w:color w:val="000000"/>
          <w:spacing w:val="0"/>
          <w:u w:val="none"/>
          <w:lang w:val="en-US" w:eastAsia="zh-CN"/>
        </w:rPr>
        <w:t>Qualitative data analysis with NVivo</w:t>
      </w:r>
      <w:r>
        <w:rPr>
          <w:rFonts w:hint="default" w:asciiTheme="minorAscii" w:hAnsiTheme="minorAscii"/>
          <w:i w:val="0"/>
          <w:iCs w:val="0"/>
          <w:caps w:val="0"/>
          <w:color w:val="000000"/>
          <w:spacing w:val="0"/>
          <w:u w:val="none"/>
          <w:lang w:val="en-US" w:eastAsia="zh-CN"/>
        </w:rPr>
        <w:t>. 2nd edn. London: SAGE Publications.</w:t>
      </w:r>
    </w:p>
    <w:p w14:paraId="44D8D6E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BERA (2018) </w:t>
      </w:r>
      <w:r>
        <w:rPr>
          <w:rFonts w:hint="default" w:asciiTheme="minorAscii" w:hAnsiTheme="minorAscii"/>
          <w:i/>
          <w:iCs/>
          <w:caps w:val="0"/>
          <w:color w:val="000000"/>
          <w:spacing w:val="0"/>
          <w:u w:val="none"/>
          <w:lang w:val="en-US" w:eastAsia="zh-CN"/>
        </w:rPr>
        <w:t>Ethical guidelines for educational research</w:t>
      </w:r>
      <w:r>
        <w:rPr>
          <w:rFonts w:hint="default" w:asciiTheme="minorAscii" w:hAnsiTheme="minorAscii"/>
          <w:i w:val="0"/>
          <w:iCs w:val="0"/>
          <w:caps w:val="0"/>
          <w:color w:val="000000"/>
          <w:spacing w:val="0"/>
          <w:u w:val="none"/>
          <w:lang w:val="en-US" w:eastAsia="zh-CN"/>
        </w:rPr>
        <w:t>. 4th edn. London: British Educational Research Association. Available at: https://www.bera.ac.uk/publication/ethical-guidelines-for-educational-research-2018</w:t>
      </w:r>
    </w:p>
    <w:p w14:paraId="098BAA3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Bergmann, J. and Sams, A. (2012) </w:t>
      </w:r>
      <w:r>
        <w:rPr>
          <w:rFonts w:hint="default" w:asciiTheme="minorAscii" w:hAnsiTheme="minorAscii"/>
          <w:i/>
          <w:iCs/>
          <w:caps w:val="0"/>
          <w:color w:val="000000"/>
          <w:spacing w:val="0"/>
          <w:u w:val="none"/>
        </w:rPr>
        <w:t>Flip your classroom: Reach every student in every class every day</w:t>
      </w:r>
      <w:r>
        <w:rPr>
          <w:rFonts w:hint="default" w:asciiTheme="minorAscii" w:hAnsiTheme="minorAscii"/>
          <w:i w:val="0"/>
          <w:iCs w:val="0"/>
          <w:caps w:val="0"/>
          <w:color w:val="000000"/>
          <w:spacing w:val="0"/>
          <w:u w:val="none"/>
        </w:rPr>
        <w:t>. Alexandria, VA: ISTE.</w:t>
      </w:r>
    </w:p>
    <w:p w14:paraId="76EE241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Braun, V. and Clarke, V. (2006) 'Using thematic analysis in psychology', </w:t>
      </w:r>
      <w:r>
        <w:rPr>
          <w:rFonts w:hint="default" w:asciiTheme="minorAscii" w:hAnsiTheme="minorAscii"/>
          <w:i/>
          <w:iCs/>
          <w:caps w:val="0"/>
          <w:color w:val="000000"/>
          <w:spacing w:val="0"/>
          <w:u w:val="none"/>
          <w:lang w:val="en-US" w:eastAsia="zh-CN"/>
        </w:rPr>
        <w:t>Qualitative Research in Psychology</w:t>
      </w:r>
      <w:r>
        <w:rPr>
          <w:rFonts w:hint="default" w:asciiTheme="minorAscii" w:hAnsiTheme="minorAscii"/>
          <w:i w:val="0"/>
          <w:iCs w:val="0"/>
          <w:caps w:val="0"/>
          <w:color w:val="000000"/>
          <w:spacing w:val="0"/>
          <w:u w:val="none"/>
          <w:lang w:val="en-US" w:eastAsia="zh-CN"/>
        </w:rPr>
        <w:t>, 3(2), pp. 77–101. https://doi.org/10.1191/1478088706qp063oa</w:t>
      </w:r>
    </w:p>
    <w:p w14:paraId="3E824E2C">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Braun, V. and Clarke, V. (2013) </w:t>
      </w:r>
      <w:r>
        <w:rPr>
          <w:rFonts w:hint="default" w:asciiTheme="minorAscii" w:hAnsiTheme="minorAscii"/>
          <w:i/>
          <w:iCs/>
          <w:caps w:val="0"/>
          <w:color w:val="000000"/>
          <w:spacing w:val="0"/>
          <w:u w:val="none"/>
        </w:rPr>
        <w:t>Successful qualitative research: A practical guide for beginners</w:t>
      </w:r>
      <w:r>
        <w:rPr>
          <w:rFonts w:hint="default" w:asciiTheme="minorAscii" w:hAnsiTheme="minorAscii"/>
          <w:i w:val="0"/>
          <w:iCs w:val="0"/>
          <w:caps w:val="0"/>
          <w:color w:val="000000"/>
          <w:spacing w:val="0"/>
          <w:u w:val="none"/>
        </w:rPr>
        <w:t>. London: SAGE.</w:t>
      </w:r>
    </w:p>
    <w:p w14:paraId="38BAA6D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Bryman, A. (2016) </w:t>
      </w:r>
      <w:r>
        <w:rPr>
          <w:rFonts w:hint="default" w:asciiTheme="minorAscii" w:hAnsiTheme="minorAscii"/>
          <w:i/>
          <w:iCs/>
          <w:caps w:val="0"/>
          <w:color w:val="000000"/>
          <w:spacing w:val="0"/>
          <w:u w:val="none"/>
          <w:lang w:val="en-US" w:eastAsia="zh-CN"/>
        </w:rPr>
        <w:t>Social research methods</w:t>
      </w:r>
      <w:r>
        <w:rPr>
          <w:rFonts w:hint="default" w:asciiTheme="minorAscii" w:hAnsiTheme="minorAscii"/>
          <w:i w:val="0"/>
          <w:iCs w:val="0"/>
          <w:caps w:val="0"/>
          <w:color w:val="000000"/>
          <w:spacing w:val="0"/>
          <w:u w:val="none"/>
          <w:lang w:val="en-US" w:eastAsia="zh-CN"/>
        </w:rPr>
        <w:t>. 5th edn. Oxford: Oxford University Press.</w:t>
      </w:r>
    </w:p>
    <w:p w14:paraId="7ADE176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Cohen, L., Manion, L. and Morrison, K. (2018) </w:t>
      </w:r>
      <w:r>
        <w:rPr>
          <w:rFonts w:hint="default" w:asciiTheme="minorAscii" w:hAnsiTheme="minorAscii"/>
          <w:i/>
          <w:iCs/>
          <w:caps w:val="0"/>
          <w:color w:val="000000"/>
          <w:spacing w:val="0"/>
          <w:u w:val="none"/>
          <w:lang w:val="en-US" w:eastAsia="zh-CN"/>
        </w:rPr>
        <w:t>Research methods in education</w:t>
      </w:r>
      <w:r>
        <w:rPr>
          <w:rFonts w:hint="default" w:asciiTheme="minorAscii" w:hAnsiTheme="minorAscii"/>
          <w:i w:val="0"/>
          <w:iCs w:val="0"/>
          <w:caps w:val="0"/>
          <w:color w:val="000000"/>
          <w:spacing w:val="0"/>
          <w:u w:val="none"/>
          <w:lang w:val="en-US" w:eastAsia="zh-CN"/>
        </w:rPr>
        <w:t>. 8th edn. London: Routledge.</w:t>
      </w:r>
    </w:p>
    <w:p w14:paraId="1B31605B">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Creswell, J.W. (2014) </w:t>
      </w:r>
      <w:r>
        <w:rPr>
          <w:rFonts w:hint="default" w:asciiTheme="minorAscii" w:hAnsiTheme="minorAscii"/>
          <w:i/>
          <w:iCs/>
          <w:caps w:val="0"/>
          <w:color w:val="000000"/>
          <w:spacing w:val="0"/>
          <w:u w:val="none"/>
        </w:rPr>
        <w:t>Research design: Qualitative, quantitative, and mixed methods approaches</w:t>
      </w:r>
      <w:r>
        <w:rPr>
          <w:rFonts w:hint="default" w:asciiTheme="minorAscii" w:hAnsiTheme="minorAscii"/>
          <w:i w:val="0"/>
          <w:iCs w:val="0"/>
          <w:caps w:val="0"/>
          <w:color w:val="000000"/>
          <w:spacing w:val="0"/>
          <w:u w:val="none"/>
        </w:rPr>
        <w:t>. 4th edn. Thousand Oaks, CA: SAGE.</w:t>
      </w:r>
    </w:p>
    <w:p w14:paraId="31C51845">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Dörnyei, Z. (2007) </w:t>
      </w:r>
      <w:r>
        <w:rPr>
          <w:rFonts w:hint="default" w:asciiTheme="minorAscii" w:hAnsiTheme="minorAscii"/>
          <w:i/>
          <w:iCs/>
          <w:caps w:val="0"/>
          <w:color w:val="000000"/>
          <w:spacing w:val="0"/>
          <w:u w:val="none"/>
        </w:rPr>
        <w:t>Research methods in applied linguistics: Quantitative, qualitative, and mixed methodologies</w:t>
      </w:r>
      <w:r>
        <w:rPr>
          <w:rFonts w:hint="default" w:asciiTheme="minorAscii" w:hAnsiTheme="minorAscii"/>
          <w:i w:val="0"/>
          <w:iCs w:val="0"/>
          <w:caps w:val="0"/>
          <w:color w:val="000000"/>
          <w:spacing w:val="0"/>
          <w:u w:val="none"/>
        </w:rPr>
        <w:t>. Oxford: Oxford University Press.</w:t>
      </w:r>
    </w:p>
    <w:p w14:paraId="48A6F43E">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Etikan, I., Musa, S.A. and Alkassim, R.S. (2016) ‘Comparison of convenience sampling and purposive sampling’, </w:t>
      </w:r>
      <w:r>
        <w:rPr>
          <w:rFonts w:hint="default" w:asciiTheme="minorAscii" w:hAnsiTheme="minorAscii"/>
          <w:i/>
          <w:iCs/>
          <w:caps w:val="0"/>
          <w:color w:val="000000"/>
          <w:spacing w:val="0"/>
          <w:u w:val="none"/>
          <w:lang w:val="en-US" w:eastAsia="zh-CN"/>
        </w:rPr>
        <w:t>American Journal of Theoretical and Applied Statistics</w:t>
      </w:r>
      <w:r>
        <w:rPr>
          <w:rFonts w:hint="default" w:asciiTheme="minorAscii" w:hAnsiTheme="minorAscii"/>
          <w:i w:val="0"/>
          <w:iCs w:val="0"/>
          <w:caps w:val="0"/>
          <w:color w:val="000000"/>
          <w:spacing w:val="0"/>
          <w:u w:val="none"/>
          <w:lang w:val="en-US" w:eastAsia="zh-CN"/>
        </w:rPr>
        <w:t>, 5(1), pp. 1–4.</w:t>
      </w:r>
    </w:p>
    <w:p w14:paraId="70DAB8A8">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Flick, U. (2014) </w:t>
      </w:r>
      <w:r>
        <w:rPr>
          <w:rFonts w:hint="default" w:asciiTheme="minorAscii" w:hAnsiTheme="minorAscii"/>
          <w:i/>
          <w:iCs/>
          <w:caps w:val="0"/>
          <w:color w:val="000000"/>
          <w:spacing w:val="0"/>
          <w:u w:val="none"/>
          <w:lang w:val="en-US" w:eastAsia="zh-CN"/>
        </w:rPr>
        <w:t>An introduction to qualitative research</w:t>
      </w:r>
      <w:r>
        <w:rPr>
          <w:rFonts w:hint="default" w:asciiTheme="minorAscii" w:hAnsiTheme="minorAscii"/>
          <w:i w:val="0"/>
          <w:iCs w:val="0"/>
          <w:caps w:val="0"/>
          <w:color w:val="000000"/>
          <w:spacing w:val="0"/>
          <w:u w:val="none"/>
          <w:lang w:val="en-US" w:eastAsia="zh-CN"/>
        </w:rPr>
        <w:t>. 5th edn. London: SAGE.</w:t>
      </w:r>
    </w:p>
    <w:p w14:paraId="4E28C65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Fredricks, J.A., Blumenfeld, P.C. and Paris, A.H. (2004) 'School engagement: potential of the concept, state of the evidence', </w:t>
      </w:r>
      <w:r>
        <w:rPr>
          <w:rFonts w:hint="default" w:asciiTheme="minorAscii" w:hAnsiTheme="minorAscii"/>
          <w:i/>
          <w:iCs/>
          <w:caps w:val="0"/>
          <w:color w:val="000000"/>
          <w:spacing w:val="0"/>
          <w:u w:val="none"/>
          <w:lang w:val="en-US" w:eastAsia="zh-CN"/>
        </w:rPr>
        <w:t>Review of Educational Research</w:t>
      </w:r>
      <w:r>
        <w:rPr>
          <w:rFonts w:hint="default" w:asciiTheme="minorAscii" w:hAnsiTheme="minorAscii"/>
          <w:i w:val="0"/>
          <w:iCs w:val="0"/>
          <w:caps w:val="0"/>
          <w:color w:val="000000"/>
          <w:spacing w:val="0"/>
          <w:u w:val="none"/>
          <w:lang w:val="en-US" w:eastAsia="zh-CN"/>
        </w:rPr>
        <w:t>, 74(1), pp. 59–109.</w:t>
      </w:r>
    </w:p>
    <w:p w14:paraId="1DCA6AD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Guest, G., Bunce, A. and Johnson, L. (2006) ‘How many interviews are enough? An experiment with data saturation and variability’, </w:t>
      </w:r>
      <w:r>
        <w:rPr>
          <w:rFonts w:hint="default" w:asciiTheme="minorAscii" w:hAnsiTheme="minorAscii"/>
          <w:i/>
          <w:iCs/>
          <w:caps w:val="0"/>
          <w:color w:val="000000"/>
          <w:spacing w:val="0"/>
          <w:u w:val="none"/>
          <w:lang w:val="en-US" w:eastAsia="zh-CN"/>
        </w:rPr>
        <w:t>Field Methods</w:t>
      </w:r>
      <w:r>
        <w:rPr>
          <w:rFonts w:hint="default" w:asciiTheme="minorAscii" w:hAnsiTheme="minorAscii"/>
          <w:i w:val="0"/>
          <w:iCs w:val="0"/>
          <w:caps w:val="0"/>
          <w:color w:val="000000"/>
          <w:spacing w:val="0"/>
          <w:u w:val="none"/>
          <w:lang w:val="en-US" w:eastAsia="zh-CN"/>
        </w:rPr>
        <w:t>, 18(1), pp. 59–82.</w:t>
      </w:r>
    </w:p>
    <w:p w14:paraId="0190133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Guest, G., MacQueen, K.M. and Namey, E.E. (2012) </w:t>
      </w:r>
      <w:r>
        <w:rPr>
          <w:rFonts w:hint="default" w:asciiTheme="minorAscii" w:hAnsiTheme="minorAscii"/>
          <w:i/>
          <w:iCs/>
          <w:caps w:val="0"/>
          <w:color w:val="000000"/>
          <w:spacing w:val="0"/>
          <w:u w:val="none"/>
          <w:lang w:val="en-US" w:eastAsia="zh-CN"/>
        </w:rPr>
        <w:t>Applied thematic analysis</w:t>
      </w:r>
      <w:r>
        <w:rPr>
          <w:rFonts w:hint="default" w:asciiTheme="minorAscii" w:hAnsiTheme="minorAscii"/>
          <w:i w:val="0"/>
          <w:iCs w:val="0"/>
          <w:caps w:val="0"/>
          <w:color w:val="000000"/>
          <w:spacing w:val="0"/>
          <w:u w:val="none"/>
          <w:lang w:val="en-US" w:eastAsia="zh-CN"/>
        </w:rPr>
        <w:t>. Thousand Oaks, CA: SAGE Publications.</w:t>
      </w:r>
    </w:p>
    <w:p w14:paraId="750DD29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Hao, Y. (2016) ‘Teachers’ concerns about the flipped classroom model: A cross-cultural study’, </w:t>
      </w:r>
      <w:r>
        <w:rPr>
          <w:rFonts w:hint="default" w:asciiTheme="minorAscii" w:hAnsiTheme="minorAscii"/>
          <w:i/>
          <w:iCs/>
          <w:caps w:val="0"/>
          <w:color w:val="000000"/>
          <w:spacing w:val="0"/>
          <w:u w:val="none"/>
        </w:rPr>
        <w:t>British Journal of Educational Technology</w:t>
      </w:r>
      <w:r>
        <w:rPr>
          <w:rFonts w:hint="default" w:asciiTheme="minorAscii" w:hAnsiTheme="minorAscii"/>
          <w:i w:val="0"/>
          <w:iCs w:val="0"/>
          <w:caps w:val="0"/>
          <w:color w:val="000000"/>
          <w:spacing w:val="0"/>
          <w:u w:val="none"/>
        </w:rPr>
        <w:t>, 47(4), pp. 735–747.</w:t>
      </w:r>
    </w:p>
    <w:p w14:paraId="1583DED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Israel, M. and Hay, I. (2006) </w:t>
      </w:r>
      <w:r>
        <w:rPr>
          <w:rFonts w:hint="default" w:asciiTheme="minorAscii" w:hAnsiTheme="minorAscii"/>
          <w:i/>
          <w:iCs/>
          <w:caps w:val="0"/>
          <w:color w:val="000000"/>
          <w:spacing w:val="0"/>
          <w:u w:val="none"/>
          <w:lang w:val="en-US" w:eastAsia="zh-CN"/>
        </w:rPr>
        <w:t>Research ethics for social scientists</w:t>
      </w:r>
      <w:r>
        <w:rPr>
          <w:rFonts w:hint="default" w:asciiTheme="minorAscii" w:hAnsiTheme="minorAscii"/>
          <w:i w:val="0"/>
          <w:iCs w:val="0"/>
          <w:caps w:val="0"/>
          <w:color w:val="000000"/>
          <w:spacing w:val="0"/>
          <w:u w:val="none"/>
          <w:lang w:val="en-US" w:eastAsia="zh-CN"/>
        </w:rPr>
        <w:t>. London: SAGE.</w:t>
      </w:r>
    </w:p>
    <w:p w14:paraId="0B15945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Kvale, S. and Brinkmann, S. (2009) </w:t>
      </w:r>
      <w:r>
        <w:rPr>
          <w:rFonts w:hint="default" w:asciiTheme="minorAscii" w:hAnsiTheme="minorAscii"/>
          <w:i/>
          <w:iCs/>
          <w:caps w:val="0"/>
          <w:color w:val="000000"/>
          <w:spacing w:val="0"/>
          <w:u w:val="none"/>
        </w:rPr>
        <w:t>InterViews: Learning the craft of qualitative research interviewing</w:t>
      </w:r>
      <w:r>
        <w:rPr>
          <w:rFonts w:hint="default" w:asciiTheme="minorAscii" w:hAnsiTheme="minorAscii"/>
          <w:i w:val="0"/>
          <w:iCs w:val="0"/>
          <w:caps w:val="0"/>
          <w:color w:val="000000"/>
          <w:spacing w:val="0"/>
          <w:u w:val="none"/>
        </w:rPr>
        <w:t>. 2nd edn. Thousand Oaks, CA: SAGE.</w:t>
      </w:r>
    </w:p>
    <w:p w14:paraId="31A7D2F3">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Lo, C.K. and Hew, K.F. (2017) ‘A critical review of flipped classroom challenges in K–12 education: possible solutions and recommendations for future research’, </w:t>
      </w:r>
      <w:r>
        <w:rPr>
          <w:rFonts w:hint="default" w:asciiTheme="minorAscii" w:hAnsiTheme="minorAscii"/>
          <w:i/>
          <w:iCs/>
          <w:caps w:val="0"/>
          <w:color w:val="000000"/>
          <w:spacing w:val="0"/>
          <w:u w:val="none"/>
        </w:rPr>
        <w:t>Research and Practice in Technology Enhanced Learning</w:t>
      </w:r>
      <w:r>
        <w:rPr>
          <w:rFonts w:hint="default" w:asciiTheme="minorAscii" w:hAnsiTheme="minorAscii"/>
          <w:i w:val="0"/>
          <w:iCs w:val="0"/>
          <w:caps w:val="0"/>
          <w:color w:val="000000"/>
          <w:spacing w:val="0"/>
          <w:u w:val="none"/>
        </w:rPr>
        <w:t>, 12(1), pp. 1–22.</w:t>
      </w:r>
    </w:p>
    <w:p w14:paraId="3A79DD3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Miles, M.B., Huberman, A.M. and Saldaña, J. (2014) </w:t>
      </w:r>
      <w:r>
        <w:rPr>
          <w:rFonts w:hint="default" w:asciiTheme="minorAscii" w:hAnsiTheme="minorAscii"/>
          <w:i/>
          <w:iCs/>
          <w:caps w:val="0"/>
          <w:color w:val="000000"/>
          <w:spacing w:val="0"/>
          <w:u w:val="none"/>
          <w:lang w:val="en-US" w:eastAsia="zh-CN"/>
        </w:rPr>
        <w:t>Qualitative data analysis: A methods sourcebook</w:t>
      </w:r>
      <w:r>
        <w:rPr>
          <w:rFonts w:hint="default" w:asciiTheme="minorAscii" w:hAnsiTheme="minorAscii"/>
          <w:i w:val="0"/>
          <w:iCs w:val="0"/>
          <w:caps w:val="0"/>
          <w:color w:val="000000"/>
          <w:spacing w:val="0"/>
          <w:u w:val="none"/>
          <w:lang w:val="en-US" w:eastAsia="zh-CN"/>
        </w:rPr>
        <w:t>. 3rd edn. Thousand Oaks, CA: SAGE.</w:t>
      </w:r>
    </w:p>
    <w:p w14:paraId="2F5A22B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Nowell, L.S., Norris, J.M., White, D.E. and Moules, N.J. (2017) 'Thematic analysis: striving to meet the trustworthiness criteria', </w:t>
      </w:r>
      <w:r>
        <w:rPr>
          <w:rFonts w:hint="default" w:asciiTheme="minorAscii" w:hAnsiTheme="minorAscii"/>
          <w:i/>
          <w:iCs/>
          <w:caps w:val="0"/>
          <w:color w:val="000000"/>
          <w:spacing w:val="0"/>
          <w:u w:val="none"/>
          <w:lang w:val="en-US" w:eastAsia="zh-CN"/>
        </w:rPr>
        <w:t>International Journal of Qualitative Methods</w:t>
      </w:r>
      <w:r>
        <w:rPr>
          <w:rFonts w:hint="default" w:asciiTheme="minorAscii" w:hAnsiTheme="minorAscii"/>
          <w:i w:val="0"/>
          <w:iCs w:val="0"/>
          <w:caps w:val="0"/>
          <w:color w:val="000000"/>
          <w:spacing w:val="0"/>
          <w:u w:val="none"/>
          <w:lang w:val="en-US" w:eastAsia="zh-CN"/>
        </w:rPr>
        <w:t>, 16(1), pp. 1–13. https://doi.org/10.1177/1609406917733847</w:t>
      </w:r>
    </w:p>
    <w:p w14:paraId="33651FD1">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O'Leary, Z. (2014) </w:t>
      </w:r>
      <w:r>
        <w:rPr>
          <w:rFonts w:hint="default" w:asciiTheme="minorAscii" w:hAnsiTheme="minorAscii"/>
          <w:i/>
          <w:iCs/>
          <w:caps w:val="0"/>
          <w:color w:val="000000"/>
          <w:spacing w:val="0"/>
          <w:u w:val="none"/>
          <w:lang w:val="en-US" w:eastAsia="zh-CN"/>
        </w:rPr>
        <w:t>The essential guide to doing your research project</w:t>
      </w:r>
      <w:r>
        <w:rPr>
          <w:rFonts w:hint="default" w:asciiTheme="minorAscii" w:hAnsiTheme="minorAscii"/>
          <w:i w:val="0"/>
          <w:iCs w:val="0"/>
          <w:caps w:val="0"/>
          <w:color w:val="000000"/>
          <w:spacing w:val="0"/>
          <w:u w:val="none"/>
          <w:lang w:val="en-US" w:eastAsia="zh-CN"/>
        </w:rPr>
        <w:t>. 2nd edn. London: Sage.</w:t>
      </w:r>
    </w:p>
    <w:p w14:paraId="734F6350">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Palinkas, L.A., Horwitz, S.M., Green, C.A., Wisdom, J.P., Duan, N. and Hoagwood, K. (2015) ‘Purposeful sampling for qualitative data collection and analysis in mixed method implementation research’, </w:t>
      </w:r>
      <w:r>
        <w:rPr>
          <w:rFonts w:hint="default" w:asciiTheme="minorAscii" w:hAnsiTheme="minorAscii"/>
          <w:i/>
          <w:iCs/>
          <w:caps w:val="0"/>
          <w:color w:val="000000"/>
          <w:spacing w:val="0"/>
          <w:u w:val="none"/>
          <w:lang w:val="en-US" w:eastAsia="zh-CN"/>
        </w:rPr>
        <w:t>Administration and Policy in Mental Health and Mental Health Services Research</w:t>
      </w:r>
      <w:r>
        <w:rPr>
          <w:rFonts w:hint="default" w:asciiTheme="minorAscii" w:hAnsiTheme="minorAscii"/>
          <w:i w:val="0"/>
          <w:iCs w:val="0"/>
          <w:caps w:val="0"/>
          <w:color w:val="000000"/>
          <w:spacing w:val="0"/>
          <w:u w:val="none"/>
          <w:lang w:val="en-US" w:eastAsia="zh-CN"/>
        </w:rPr>
        <w:t>, 42(5), pp. 533–544.</w:t>
      </w:r>
    </w:p>
    <w:p w14:paraId="5DBE589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Patton, M.Q. (2015) </w:t>
      </w:r>
      <w:r>
        <w:rPr>
          <w:rFonts w:hint="default" w:asciiTheme="minorAscii" w:hAnsiTheme="minorAscii"/>
          <w:i/>
          <w:iCs/>
          <w:caps w:val="0"/>
          <w:color w:val="000000"/>
          <w:spacing w:val="0"/>
          <w:u w:val="none"/>
          <w:lang w:val="en-US" w:eastAsia="zh-CN"/>
        </w:rPr>
        <w:t>Qualitative research &amp; evaluation methods: integrating theory and practice</w:t>
      </w:r>
      <w:r>
        <w:rPr>
          <w:rFonts w:hint="default" w:asciiTheme="minorAscii" w:hAnsiTheme="minorAscii"/>
          <w:i w:val="0"/>
          <w:iCs w:val="0"/>
          <w:caps w:val="0"/>
          <w:color w:val="000000"/>
          <w:spacing w:val="0"/>
          <w:u w:val="none"/>
          <w:lang w:val="en-US" w:eastAsia="zh-CN"/>
        </w:rPr>
        <w:t>. 4th edn. Thousand Oaks, CA: Sage.</w:t>
      </w:r>
    </w:p>
    <w:p w14:paraId="6EF5BC4D">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Schwandt, T.A. (2015) </w:t>
      </w:r>
      <w:r>
        <w:rPr>
          <w:rFonts w:hint="default" w:asciiTheme="minorAscii" w:hAnsiTheme="minorAscii"/>
          <w:i/>
          <w:iCs/>
          <w:caps w:val="0"/>
          <w:color w:val="000000"/>
          <w:spacing w:val="0"/>
          <w:u w:val="none"/>
        </w:rPr>
        <w:t>The Sage dictionary of qualitative inquiry</w:t>
      </w:r>
      <w:r>
        <w:rPr>
          <w:rFonts w:hint="default" w:asciiTheme="minorAscii" w:hAnsiTheme="minorAscii"/>
          <w:i w:val="0"/>
          <w:iCs w:val="0"/>
          <w:caps w:val="0"/>
          <w:color w:val="000000"/>
          <w:spacing w:val="0"/>
          <w:u w:val="none"/>
        </w:rPr>
        <w:t>. 4th edn. Thousand Oaks, CA: SAGE.</w:t>
      </w:r>
    </w:p>
    <w:p w14:paraId="06CFC2A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Silver, C. and Lewins, A. (2014) </w:t>
      </w:r>
      <w:r>
        <w:rPr>
          <w:rFonts w:hint="default" w:asciiTheme="minorAscii" w:hAnsiTheme="minorAscii"/>
          <w:i/>
          <w:iCs/>
          <w:caps w:val="0"/>
          <w:color w:val="000000"/>
          <w:spacing w:val="0"/>
          <w:u w:val="none"/>
          <w:lang w:val="en-US" w:eastAsia="zh-CN"/>
        </w:rPr>
        <w:t>Using software in qualitative research: a step-by-step guide</w:t>
      </w:r>
      <w:r>
        <w:rPr>
          <w:rFonts w:hint="default" w:asciiTheme="minorAscii" w:hAnsiTheme="minorAscii"/>
          <w:i w:val="0"/>
          <w:iCs w:val="0"/>
          <w:caps w:val="0"/>
          <w:color w:val="000000"/>
          <w:spacing w:val="0"/>
          <w:u w:val="none"/>
          <w:lang w:val="en-US" w:eastAsia="zh-CN"/>
        </w:rPr>
        <w:t>. 2nd edn. London: SAGE Publications.</w:t>
      </w:r>
    </w:p>
    <w:p w14:paraId="4292A442">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Silverman, D. (2013) </w:t>
      </w:r>
      <w:r>
        <w:rPr>
          <w:rFonts w:hint="default" w:asciiTheme="minorAscii" w:hAnsiTheme="minorAscii"/>
          <w:i/>
          <w:iCs/>
          <w:caps w:val="0"/>
          <w:color w:val="000000"/>
          <w:spacing w:val="0"/>
          <w:u w:val="none"/>
        </w:rPr>
        <w:t>Doing qualitative research</w:t>
      </w:r>
      <w:r>
        <w:rPr>
          <w:rFonts w:hint="default" w:asciiTheme="minorAscii" w:hAnsiTheme="minorAscii"/>
          <w:i w:val="0"/>
          <w:iCs w:val="0"/>
          <w:caps w:val="0"/>
          <w:color w:val="000000"/>
          <w:spacing w:val="0"/>
          <w:u w:val="none"/>
        </w:rPr>
        <w:t>. 4th edn. London: SAGE.</w:t>
      </w:r>
    </w:p>
    <w:p w14:paraId="7C9183A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Steen-Utheim, A.T. and Foldnes, N. (2018) 'A qualitative investigation of student engagement in a flipped classroom', </w:t>
      </w:r>
      <w:r>
        <w:rPr>
          <w:rFonts w:hint="default" w:asciiTheme="minorAscii" w:hAnsiTheme="minorAscii"/>
          <w:i/>
          <w:iCs/>
          <w:caps w:val="0"/>
          <w:color w:val="000000"/>
          <w:spacing w:val="0"/>
          <w:u w:val="none"/>
          <w:lang w:val="en-US" w:eastAsia="zh-CN"/>
        </w:rPr>
        <w:t>Teaching in Higher Education</w:t>
      </w:r>
      <w:r>
        <w:rPr>
          <w:rFonts w:hint="default" w:asciiTheme="minorAscii" w:hAnsiTheme="minorAscii"/>
          <w:i w:val="0"/>
          <w:iCs w:val="0"/>
          <w:caps w:val="0"/>
          <w:color w:val="000000"/>
          <w:spacing w:val="0"/>
          <w:u w:val="none"/>
          <w:lang w:val="en-US" w:eastAsia="zh-CN"/>
        </w:rPr>
        <w:t xml:space="preserve">, 23(3), pp. 307–324. </w:t>
      </w:r>
      <w:r>
        <w:rPr>
          <w:rFonts w:hint="default" w:asciiTheme="minorAscii" w:hAnsiTheme="minorAscii"/>
          <w:i w:val="0"/>
          <w:iCs w:val="0"/>
          <w:caps w:val="0"/>
          <w:color w:val="000000"/>
          <w:spacing w:val="0"/>
          <w:u w:val="none"/>
          <w:lang w:val="en-US" w:eastAsia="zh-CN"/>
        </w:rPr>
        <w:fldChar w:fldCharType="begin"/>
      </w:r>
      <w:r>
        <w:rPr>
          <w:rFonts w:hint="default" w:asciiTheme="minorAscii" w:hAnsiTheme="minorAscii"/>
          <w:i w:val="0"/>
          <w:iCs w:val="0"/>
          <w:caps w:val="0"/>
          <w:color w:val="000000"/>
          <w:spacing w:val="0"/>
          <w:u w:val="none"/>
          <w:lang w:val="en-US" w:eastAsia="zh-CN"/>
        </w:rPr>
        <w:instrText xml:space="preserve"> HYPERLINK "https://doi.org/10.1080/13562517.2017.1379481" </w:instrText>
      </w:r>
      <w:r>
        <w:rPr>
          <w:rFonts w:hint="default" w:asciiTheme="minorAscii" w:hAnsiTheme="minorAscii"/>
          <w:i w:val="0"/>
          <w:iCs w:val="0"/>
          <w:caps w:val="0"/>
          <w:color w:val="000000"/>
          <w:spacing w:val="0"/>
          <w:u w:val="none"/>
          <w:lang w:val="en-US" w:eastAsia="zh-CN"/>
        </w:rPr>
        <w:fldChar w:fldCharType="separate"/>
      </w:r>
      <w:r>
        <w:rPr>
          <w:rStyle w:val="7"/>
          <w:rFonts w:hint="default" w:asciiTheme="minorAscii" w:hAnsiTheme="minorAscii"/>
          <w:i w:val="0"/>
          <w:iCs w:val="0"/>
          <w:caps w:val="0"/>
          <w:spacing w:val="0"/>
          <w:lang w:val="en-US" w:eastAsia="zh-CN"/>
        </w:rPr>
        <w:t>https://doi.org/10.1080/13562517.2017.1379481</w:t>
      </w:r>
      <w:r>
        <w:rPr>
          <w:rFonts w:hint="default" w:asciiTheme="minorAscii" w:hAnsiTheme="minorAscii"/>
          <w:i w:val="0"/>
          <w:iCs w:val="0"/>
          <w:caps w:val="0"/>
          <w:color w:val="000000"/>
          <w:spacing w:val="0"/>
          <w:u w:val="none"/>
          <w:lang w:val="en-US" w:eastAsia="zh-CN"/>
        </w:rPr>
        <w:fldChar w:fldCharType="end"/>
      </w:r>
    </w:p>
    <w:p w14:paraId="35CC33BA">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rPr>
        <w:t xml:space="preserve">Vygotsky, L.S. (1978) </w:t>
      </w:r>
      <w:r>
        <w:rPr>
          <w:rFonts w:hint="default" w:asciiTheme="minorAscii" w:hAnsiTheme="minorAscii"/>
          <w:i/>
          <w:iCs/>
          <w:caps w:val="0"/>
          <w:color w:val="000000"/>
          <w:spacing w:val="0"/>
          <w:u w:val="none"/>
        </w:rPr>
        <w:t>Mind in society: The development of higher psychological processes</w:t>
      </w:r>
      <w:r>
        <w:rPr>
          <w:rFonts w:hint="default" w:asciiTheme="minorAscii" w:hAnsiTheme="minorAscii"/>
          <w:i w:val="0"/>
          <w:iCs w:val="0"/>
          <w:caps w:val="0"/>
          <w:color w:val="000000"/>
          <w:spacing w:val="0"/>
          <w:u w:val="none"/>
        </w:rPr>
        <w:t>. Cambridge, MA: Harvard University Press.</w:t>
      </w:r>
    </w:p>
    <w:p w14:paraId="30499BE6">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rPr>
      </w:pPr>
      <w:r>
        <w:rPr>
          <w:rFonts w:hint="default" w:asciiTheme="minorAscii" w:hAnsiTheme="minorAscii"/>
          <w:i w:val="0"/>
          <w:iCs w:val="0"/>
          <w:caps w:val="0"/>
          <w:color w:val="000000"/>
          <w:spacing w:val="0"/>
          <w:u w:val="none"/>
          <w:lang w:val="en-US" w:eastAsia="zh-CN"/>
        </w:rPr>
        <w:t xml:space="preserve">Wang, Y. and Liu, H. (2021) ‘Reconsidering the student voice in Chinese higher education: Ethics, trust, and voice in student engagement research’, </w:t>
      </w:r>
      <w:r>
        <w:rPr>
          <w:rFonts w:hint="default" w:asciiTheme="minorAscii" w:hAnsiTheme="minorAscii"/>
          <w:i/>
          <w:iCs/>
          <w:caps w:val="0"/>
          <w:color w:val="000000"/>
          <w:spacing w:val="0"/>
          <w:u w:val="none"/>
          <w:lang w:val="en-US" w:eastAsia="zh-CN"/>
        </w:rPr>
        <w:t>Asia Pacific Education Review</w:t>
      </w:r>
      <w:r>
        <w:rPr>
          <w:rFonts w:hint="default" w:asciiTheme="minorAscii" w:hAnsiTheme="minorAscii"/>
          <w:i w:val="0"/>
          <w:iCs w:val="0"/>
          <w:caps w:val="0"/>
          <w:color w:val="000000"/>
          <w:spacing w:val="0"/>
          <w:u w:val="none"/>
          <w:lang w:val="en-US" w:eastAsia="zh-CN"/>
        </w:rPr>
        <w:t>, 22(3), pp. 477–488.</w:t>
      </w:r>
    </w:p>
    <w:p w14:paraId="2234EFE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 xml:space="preserve">Yin, R.K. (2018) </w:t>
      </w:r>
      <w:r>
        <w:rPr>
          <w:rFonts w:hint="default" w:asciiTheme="minorAscii" w:hAnsiTheme="minorAscii"/>
          <w:i/>
          <w:iCs/>
          <w:caps w:val="0"/>
          <w:color w:val="000000"/>
          <w:spacing w:val="0"/>
          <w:u w:val="none"/>
          <w:lang w:val="en-US" w:eastAsia="zh-CN"/>
        </w:rPr>
        <w:t>Case study research and applications: Design and methods</w:t>
      </w:r>
      <w:r>
        <w:rPr>
          <w:rFonts w:hint="default" w:asciiTheme="minorAscii" w:hAnsiTheme="minorAscii"/>
          <w:i w:val="0"/>
          <w:iCs w:val="0"/>
          <w:caps w:val="0"/>
          <w:color w:val="000000"/>
          <w:spacing w:val="0"/>
          <w:u w:val="none"/>
          <w:lang w:val="en-US" w:eastAsia="zh-CN"/>
        </w:rPr>
        <w:t>. 6th edn. Thousand Oaks, CA: SAGE.</w:t>
      </w:r>
    </w:p>
    <w:p w14:paraId="0E4365E9">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asciiTheme="minorAscii" w:hAnsiTheme="minorAscii"/>
          <w:i w:val="0"/>
          <w:iCs w:val="0"/>
          <w:caps w:val="0"/>
          <w:color w:val="000000"/>
          <w:spacing w:val="0"/>
          <w:u w:val="none"/>
          <w:lang w:val="en-US" w:eastAsia="zh-CN"/>
        </w:rPr>
      </w:pPr>
      <w:r>
        <w:rPr>
          <w:rFonts w:hint="default" w:asciiTheme="minorAscii" w:hAnsiTheme="minorAscii"/>
          <w:i w:val="0"/>
          <w:iCs w:val="0"/>
          <w:caps w:val="0"/>
          <w:color w:val="000000"/>
          <w:spacing w:val="0"/>
          <w:u w:val="none"/>
          <w:lang w:val="en-US" w:eastAsia="zh-CN"/>
        </w:rPr>
        <w:t>Zhou, M. and Brown, D. (2015)</w:t>
      </w:r>
      <w:r>
        <w:rPr>
          <w:rFonts w:hint="default" w:asciiTheme="minorAscii" w:hAnsiTheme="minorAscii"/>
          <w:i/>
          <w:iCs/>
          <w:caps w:val="0"/>
          <w:color w:val="000000"/>
          <w:spacing w:val="0"/>
          <w:u w:val="none"/>
          <w:lang w:val="en-US" w:eastAsia="zh-CN"/>
        </w:rPr>
        <w:t xml:space="preserve"> Educational learning theories: 2nd edition</w:t>
      </w:r>
      <w:r>
        <w:rPr>
          <w:rFonts w:hint="default" w:asciiTheme="minorAscii" w:hAnsiTheme="minorAscii"/>
          <w:i w:val="0"/>
          <w:iCs w:val="0"/>
          <w:caps w:val="0"/>
          <w:color w:val="000000"/>
          <w:spacing w:val="0"/>
          <w:u w:val="none"/>
          <w:lang w:val="en-US" w:eastAsia="zh-CN"/>
        </w:rPr>
        <w:t>. Charlotte, NC: Information Age Publishing.</w:t>
      </w:r>
    </w:p>
    <w:p w14:paraId="0EDE2B47">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p w14:paraId="5680A894">
      <w:pPr>
        <w:pStyle w:val="2"/>
        <w:keepNext w:val="0"/>
        <w:keepLines w:val="0"/>
        <w:pageBreakBefore w:val="0"/>
        <w:widowControl/>
        <w:suppressLineNumbers w:val="0"/>
        <w:kinsoku/>
        <w:wordWrap/>
        <w:overflowPunct/>
        <w:topLinePunct w:val="0"/>
        <w:autoSpaceDE/>
        <w:autoSpaceDN/>
        <w:bidi w:val="0"/>
        <w:adjustRightInd/>
        <w:snapToGrid/>
        <w:spacing w:before="157" w:beforeLines="50" w:beforeAutospacing="0" w:after="157" w:afterLines="50" w:afterAutospacing="0" w:line="360" w:lineRule="auto"/>
        <w:ind w:left="0" w:leftChars="0" w:right="0" w:rightChars="0" w:firstLine="0"/>
        <w:textAlignment w:val="auto"/>
        <w:rPr>
          <w:rFonts w:hint="default"/>
          <w:i w:val="0"/>
          <w:iCs w:val="0"/>
          <w:caps w:val="0"/>
          <w:color w:val="000000"/>
          <w:spacing w:val="0"/>
          <w:u w:val="none"/>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webkit-standard">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 w:name="Arial Black">
    <w:panose1 w:val="020B0A04020102020204"/>
    <w:charset w:val="00"/>
    <w:family w:val="auto"/>
    <w:pitch w:val="default"/>
    <w:sig w:usb0="00000287" w:usb1="00000000" w:usb2="00000000" w:usb3="00000000" w:csb0="2000009F" w:csb1="DFD70000"/>
  </w:font>
  <w:font w:name="宋体-简">
    <w:panose1 w:val="02010800040101010101"/>
    <w:charset w:val="86"/>
    <w:family w:val="auto"/>
    <w:pitch w:val="default"/>
    <w:sig w:usb0="00000001" w:usb1="080F0000" w:usb2="00000000" w:usb3="00000000" w:csb0="0004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9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C7FDAB81"/>
    <w:rsid w:val="1BB65AF7"/>
    <w:rsid w:val="2CEF6805"/>
    <w:rsid w:val="2FB798C2"/>
    <w:rsid w:val="2FD5623B"/>
    <w:rsid w:val="37DDBFA2"/>
    <w:rsid w:val="3D2C93EB"/>
    <w:rsid w:val="3EFF0729"/>
    <w:rsid w:val="3FF31F32"/>
    <w:rsid w:val="3FFBA649"/>
    <w:rsid w:val="4F73C979"/>
    <w:rsid w:val="51FE5E2A"/>
    <w:rsid w:val="579FD765"/>
    <w:rsid w:val="57EE7890"/>
    <w:rsid w:val="5DBA9FB1"/>
    <w:rsid w:val="5F1680D1"/>
    <w:rsid w:val="5F3F471F"/>
    <w:rsid w:val="5FA38032"/>
    <w:rsid w:val="5FDFD52B"/>
    <w:rsid w:val="5FF79FA6"/>
    <w:rsid w:val="5FFF42B7"/>
    <w:rsid w:val="61FFEC5E"/>
    <w:rsid w:val="63BB7B46"/>
    <w:rsid w:val="66332943"/>
    <w:rsid w:val="665DE046"/>
    <w:rsid w:val="6773A8D1"/>
    <w:rsid w:val="67BCC477"/>
    <w:rsid w:val="67FFAA10"/>
    <w:rsid w:val="69AF6498"/>
    <w:rsid w:val="6B369C40"/>
    <w:rsid w:val="6FBDA234"/>
    <w:rsid w:val="6FFF86B6"/>
    <w:rsid w:val="73FFFF22"/>
    <w:rsid w:val="766BA7CC"/>
    <w:rsid w:val="779709FF"/>
    <w:rsid w:val="77B7F0A3"/>
    <w:rsid w:val="7B3319BA"/>
    <w:rsid w:val="7B7B2941"/>
    <w:rsid w:val="7B93B71B"/>
    <w:rsid w:val="7B9FDA59"/>
    <w:rsid w:val="7BBD3056"/>
    <w:rsid w:val="7DEFEFE7"/>
    <w:rsid w:val="7EB483D1"/>
    <w:rsid w:val="7EF7B944"/>
    <w:rsid w:val="7F134F4D"/>
    <w:rsid w:val="7F5BD4F2"/>
    <w:rsid w:val="7F77049E"/>
    <w:rsid w:val="7F7F557F"/>
    <w:rsid w:val="7F9E0030"/>
    <w:rsid w:val="7FDE529E"/>
    <w:rsid w:val="7FF0D5A3"/>
    <w:rsid w:val="8D5FECF4"/>
    <w:rsid w:val="9CF8BD43"/>
    <w:rsid w:val="9FAA4CE6"/>
    <w:rsid w:val="A57D4258"/>
    <w:rsid w:val="A79B04C3"/>
    <w:rsid w:val="B77FA3DF"/>
    <w:rsid w:val="B7FBFEE5"/>
    <w:rsid w:val="BA7DD791"/>
    <w:rsid w:val="BD4F83BB"/>
    <w:rsid w:val="BD5D0DFA"/>
    <w:rsid w:val="BDF5F394"/>
    <w:rsid w:val="BF3B8888"/>
    <w:rsid w:val="BFADD72C"/>
    <w:rsid w:val="BFCF3A12"/>
    <w:rsid w:val="C7FDAB81"/>
    <w:rsid w:val="CBFBDD7F"/>
    <w:rsid w:val="CDAF9BA2"/>
    <w:rsid w:val="D8DD9572"/>
    <w:rsid w:val="DF38A2C3"/>
    <w:rsid w:val="DF3CBC55"/>
    <w:rsid w:val="DFBF62F0"/>
    <w:rsid w:val="E7FBFB9C"/>
    <w:rsid w:val="EDD74835"/>
    <w:rsid w:val="EDFFECC2"/>
    <w:rsid w:val="EECFE2F3"/>
    <w:rsid w:val="EFAF17F8"/>
    <w:rsid w:val="F1DDB179"/>
    <w:rsid w:val="F4FD1F1A"/>
    <w:rsid w:val="F55F2B26"/>
    <w:rsid w:val="F626AA3A"/>
    <w:rsid w:val="F6FB6A31"/>
    <w:rsid w:val="F6FE3A50"/>
    <w:rsid w:val="F749EDD0"/>
    <w:rsid w:val="F79E2785"/>
    <w:rsid w:val="F8FB0583"/>
    <w:rsid w:val="F9E4797C"/>
    <w:rsid w:val="FCF7542A"/>
    <w:rsid w:val="FD76BD0E"/>
    <w:rsid w:val="FEDF637E"/>
    <w:rsid w:val="FEEB969E"/>
    <w:rsid w:val="FEF5680F"/>
    <w:rsid w:val="FEFFCC13"/>
    <w:rsid w:val="FF3BBA62"/>
    <w:rsid w:val="FF8DE209"/>
    <w:rsid w:val="FFB75AF9"/>
    <w:rsid w:val="FFC7D088"/>
    <w:rsid w:val="FFDB94FA"/>
    <w:rsid w:val="FFEF7097"/>
    <w:rsid w:val="FFFBCA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table" w:styleId="4">
    <w:name w:val="Table Grid"/>
    <w:basedOn w:val="3"/>
    <w:qFormat/>
    <w:uiPriority w:val="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6">
    <w:name w:val="Strong"/>
    <w:basedOn w:val="5"/>
    <w:qFormat/>
    <w:uiPriority w:val="0"/>
    <w:rPr>
      <w:b/>
    </w:rPr>
  </w:style>
  <w:style w:type="character" w:styleId="7">
    <w:name w:val="Hyperlink"/>
    <w:basedOn w:val="5"/>
    <w:uiPriority w:val="0"/>
    <w:rPr>
      <w:color w:val="0000FF"/>
      <w:u w:val="single"/>
    </w:rPr>
  </w:style>
  <w:style w:type="paragraph" w:styleId="8">
    <w:name w:val="List Paragraph"/>
    <w:basedOn w:val="1"/>
    <w:qFormat/>
    <w:uiPriority w:val="99"/>
    <w:pPr>
      <w:widowControl w:val="0"/>
      <w:autoSpaceDE w:val="0"/>
      <w:autoSpaceDN w:val="0"/>
      <w:spacing w:after="0" w:line="240" w:lineRule="auto"/>
      <w:ind w:left="1653" w:hanging="343"/>
    </w:pPr>
    <w:rPr>
      <w:rFonts w:ascii="Arial" w:hAnsi="Arial" w:eastAsia="Arial" w:cs="Arial"/>
      <w:kern w:val="0"/>
      <w:lang w:val="en-US" w:eastAsia="en-US"/>
      <w14:ligatures w14:val="non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0</Words>
  <Characters>0</Characters>
  <Lines>0</Lines>
  <Paragraphs>0</Paragraphs>
  <TotalTime>18</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2025-04-15T15:04:00Z</dcterms:created>
  <dc:creator>oops</dc:creator>
  <cp:lastModifiedBy>oops</cp:lastModifiedBy>
  <dcterms:modified xsi:type="dcterms:W3CDTF">2025-04-19T17:06:52Z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2BD63FC2674232726467FE6712764064_41</vt:lpwstr>
  </property>
</Properties>
</file>