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CC6837" w14:textId="77777777" w:rsidR="00F67D52" w:rsidRDefault="00F67D52">
      <w:pPr>
        <w:spacing w:before="480"/>
        <w:jc w:val="center"/>
        <w:rPr>
          <w:b/>
          <w:bCs/>
          <w:sz w:val="32"/>
          <w:szCs w:val="32"/>
        </w:rPr>
      </w:pPr>
    </w:p>
    <w:p w14:paraId="7AC6D9F9" w14:textId="77777777" w:rsidR="00F67D52" w:rsidRDefault="00F67D52">
      <w:pPr>
        <w:spacing w:before="480"/>
        <w:jc w:val="center"/>
        <w:rPr>
          <w:b/>
          <w:bCs/>
          <w:sz w:val="32"/>
          <w:szCs w:val="32"/>
        </w:rPr>
      </w:pPr>
    </w:p>
    <w:p w14:paraId="39A5170D" w14:textId="77777777" w:rsidR="00F67D52" w:rsidRDefault="00F67D52">
      <w:pPr>
        <w:spacing w:before="480"/>
        <w:jc w:val="center"/>
        <w:rPr>
          <w:b/>
          <w:bCs/>
          <w:sz w:val="32"/>
          <w:szCs w:val="32"/>
        </w:rPr>
      </w:pPr>
    </w:p>
    <w:p w14:paraId="0440E83C" w14:textId="03A6D3C1" w:rsidR="00F70F2C" w:rsidRDefault="00F70F2C" w:rsidP="00F70F2C">
      <w:pPr>
        <w:jc w:val="center"/>
        <w:rPr>
          <w:rFonts w:ascii="Arial" w:hAnsi="Arial" w:cs="Arial"/>
          <w:b/>
          <w:bCs/>
          <w:sz w:val="28"/>
          <w:szCs w:val="28"/>
        </w:rPr>
      </w:pPr>
      <w:r w:rsidRPr="00B717FD">
        <w:rPr>
          <w:rFonts w:ascii="Arial" w:hAnsi="Arial" w:cs="Arial"/>
          <w:b/>
          <w:bCs/>
          <w:noProof/>
          <w:sz w:val="28"/>
          <w:szCs w:val="28"/>
        </w:rPr>
        <w:drawing>
          <wp:inline distT="0" distB="0" distL="0" distR="0" wp14:anchorId="53E036A5" wp14:editId="5B9D3C7E">
            <wp:extent cx="2209800" cy="781738"/>
            <wp:effectExtent l="0" t="0" r="0" b="0"/>
            <wp:docPr id="3064262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57157" cy="798491"/>
                    </a:xfrm>
                    <a:prstGeom prst="rect">
                      <a:avLst/>
                    </a:prstGeom>
                    <a:noFill/>
                    <a:ln>
                      <a:noFill/>
                    </a:ln>
                  </pic:spPr>
                </pic:pic>
              </a:graphicData>
            </a:graphic>
          </wp:inline>
        </w:drawing>
      </w:r>
    </w:p>
    <w:p w14:paraId="4919FCA5" w14:textId="73DB5DA8" w:rsidR="00F70F2C" w:rsidRPr="00F70F2C" w:rsidRDefault="00F70F2C" w:rsidP="00F70F2C">
      <w:pPr>
        <w:pStyle w:val="NoSpacing"/>
        <w:jc w:val="center"/>
        <w:rPr>
          <w:rFonts w:ascii="Times New Roman" w:hAnsi="Times New Roman" w:cs="Times New Roman"/>
          <w:sz w:val="32"/>
          <w:szCs w:val="32"/>
        </w:rPr>
      </w:pPr>
      <w:r w:rsidRPr="00F70F2C">
        <w:rPr>
          <w:rFonts w:ascii="Times New Roman" w:hAnsi="Times New Roman" w:cs="Times New Roman"/>
          <w:b/>
          <w:bCs/>
          <w:sz w:val="32"/>
          <w:szCs w:val="32"/>
        </w:rPr>
        <w:t>Student Name</w:t>
      </w:r>
      <w:r w:rsidRPr="00F70F2C">
        <w:rPr>
          <w:rFonts w:ascii="Times New Roman" w:hAnsi="Times New Roman" w:cs="Times New Roman"/>
          <w:sz w:val="32"/>
          <w:szCs w:val="32"/>
        </w:rPr>
        <w:t xml:space="preserve">: </w:t>
      </w:r>
    </w:p>
    <w:p w14:paraId="04FE1E49" w14:textId="77777777" w:rsidR="00F70F2C" w:rsidRPr="00F70F2C" w:rsidRDefault="00F70F2C" w:rsidP="00F70F2C">
      <w:pPr>
        <w:pStyle w:val="NoSpacing"/>
        <w:jc w:val="center"/>
        <w:rPr>
          <w:rFonts w:ascii="Times New Roman" w:hAnsi="Times New Roman" w:cs="Times New Roman"/>
          <w:sz w:val="32"/>
          <w:szCs w:val="32"/>
        </w:rPr>
      </w:pPr>
    </w:p>
    <w:p w14:paraId="23DC8FEB" w14:textId="77777777" w:rsidR="00F70F2C" w:rsidRPr="00F70F2C" w:rsidRDefault="00F70F2C" w:rsidP="00F70F2C">
      <w:pPr>
        <w:pStyle w:val="NoSpacing"/>
        <w:jc w:val="center"/>
        <w:rPr>
          <w:rFonts w:ascii="Times New Roman" w:hAnsi="Times New Roman" w:cs="Times New Roman"/>
          <w:b/>
          <w:bCs/>
          <w:sz w:val="32"/>
          <w:szCs w:val="32"/>
        </w:rPr>
      </w:pPr>
    </w:p>
    <w:p w14:paraId="1133DE3A" w14:textId="1B144658" w:rsidR="00F70F2C" w:rsidRPr="00F70F2C" w:rsidRDefault="00F70F2C" w:rsidP="00F70F2C">
      <w:pPr>
        <w:pStyle w:val="NoSpacing"/>
        <w:jc w:val="center"/>
        <w:rPr>
          <w:rFonts w:ascii="Times New Roman" w:hAnsi="Times New Roman" w:cs="Times New Roman"/>
          <w:sz w:val="32"/>
          <w:szCs w:val="32"/>
        </w:rPr>
      </w:pPr>
      <w:r w:rsidRPr="00F70F2C">
        <w:rPr>
          <w:rFonts w:ascii="Times New Roman" w:hAnsi="Times New Roman" w:cs="Times New Roman"/>
          <w:b/>
          <w:bCs/>
          <w:sz w:val="32"/>
          <w:szCs w:val="32"/>
        </w:rPr>
        <w:t>Student ID</w:t>
      </w:r>
      <w:r w:rsidRPr="00F70F2C">
        <w:rPr>
          <w:rFonts w:ascii="Times New Roman" w:hAnsi="Times New Roman" w:cs="Times New Roman"/>
          <w:sz w:val="32"/>
          <w:szCs w:val="32"/>
        </w:rPr>
        <w:t>:</w:t>
      </w:r>
      <w:r w:rsidRPr="00F70F2C">
        <w:rPr>
          <w:rFonts w:ascii="Times New Roman" w:hAnsi="Times New Roman" w:cs="Times New Roman"/>
          <w:sz w:val="32"/>
          <w:szCs w:val="32"/>
        </w:rPr>
        <w:t xml:space="preserve"> </w:t>
      </w:r>
    </w:p>
    <w:p w14:paraId="45B58B93" w14:textId="1CD8161F" w:rsidR="00F70F2C" w:rsidRPr="00F70F2C" w:rsidRDefault="00F70F2C" w:rsidP="00F70F2C">
      <w:pPr>
        <w:spacing w:before="480"/>
        <w:jc w:val="center"/>
        <w:rPr>
          <w:b/>
          <w:bCs/>
          <w:sz w:val="32"/>
          <w:szCs w:val="32"/>
        </w:rPr>
      </w:pPr>
      <w:r w:rsidRPr="00F70F2C">
        <w:rPr>
          <w:b/>
          <w:bCs/>
          <w:sz w:val="32"/>
          <w:szCs w:val="32"/>
        </w:rPr>
        <w:t>Designing a Human Capital Architecture for Strategic Renewal at Helios Urban Mobility</w:t>
      </w:r>
    </w:p>
    <w:p w14:paraId="47D9D673" w14:textId="77777777" w:rsidR="00F70F2C" w:rsidRPr="00F70F2C" w:rsidRDefault="00F70F2C" w:rsidP="00F70F2C">
      <w:pPr>
        <w:pStyle w:val="NoSpacing"/>
        <w:jc w:val="center"/>
        <w:rPr>
          <w:rFonts w:ascii="Times New Roman" w:hAnsi="Times New Roman" w:cs="Times New Roman"/>
          <w:sz w:val="32"/>
          <w:szCs w:val="32"/>
        </w:rPr>
      </w:pPr>
    </w:p>
    <w:p w14:paraId="0B04E59A" w14:textId="77777777" w:rsidR="00F70F2C" w:rsidRPr="00F70F2C" w:rsidRDefault="00F70F2C" w:rsidP="00F70F2C">
      <w:pPr>
        <w:pStyle w:val="NoSpacing"/>
        <w:jc w:val="center"/>
        <w:rPr>
          <w:rFonts w:ascii="Times New Roman" w:hAnsi="Times New Roman" w:cs="Times New Roman"/>
          <w:b/>
          <w:bCs/>
          <w:sz w:val="32"/>
          <w:szCs w:val="32"/>
        </w:rPr>
      </w:pPr>
    </w:p>
    <w:p w14:paraId="55E90708" w14:textId="77777777" w:rsidR="00F70F2C" w:rsidRPr="00F70F2C" w:rsidRDefault="00F70F2C" w:rsidP="00F70F2C">
      <w:pPr>
        <w:pStyle w:val="NoSpacing"/>
        <w:jc w:val="center"/>
        <w:rPr>
          <w:rFonts w:ascii="Times New Roman" w:hAnsi="Times New Roman" w:cs="Times New Roman"/>
          <w:sz w:val="32"/>
          <w:szCs w:val="32"/>
        </w:rPr>
      </w:pPr>
      <w:r w:rsidRPr="00F70F2C">
        <w:rPr>
          <w:rFonts w:ascii="Times New Roman" w:hAnsi="Times New Roman" w:cs="Times New Roman"/>
          <w:b/>
          <w:bCs/>
          <w:sz w:val="32"/>
          <w:szCs w:val="32"/>
        </w:rPr>
        <w:t>Module Name</w:t>
      </w:r>
      <w:r w:rsidRPr="00F70F2C">
        <w:rPr>
          <w:rFonts w:ascii="Times New Roman" w:hAnsi="Times New Roman" w:cs="Times New Roman"/>
          <w:sz w:val="32"/>
          <w:szCs w:val="32"/>
        </w:rPr>
        <w:t>: Human Capital Management</w:t>
      </w:r>
    </w:p>
    <w:p w14:paraId="67BF9FB0" w14:textId="77777777" w:rsidR="00F70F2C" w:rsidRPr="00F70F2C" w:rsidRDefault="00F70F2C" w:rsidP="00F70F2C">
      <w:pPr>
        <w:pStyle w:val="NoSpacing"/>
        <w:jc w:val="center"/>
        <w:rPr>
          <w:rFonts w:ascii="Times New Roman" w:hAnsi="Times New Roman" w:cs="Times New Roman"/>
          <w:sz w:val="32"/>
          <w:szCs w:val="32"/>
        </w:rPr>
      </w:pPr>
    </w:p>
    <w:p w14:paraId="3D5DFE5A" w14:textId="77777777" w:rsidR="00F70F2C" w:rsidRPr="00F70F2C" w:rsidRDefault="00F70F2C" w:rsidP="00F70F2C">
      <w:pPr>
        <w:pStyle w:val="NoSpacing"/>
        <w:jc w:val="center"/>
        <w:rPr>
          <w:rFonts w:ascii="Times New Roman" w:hAnsi="Times New Roman" w:cs="Times New Roman"/>
          <w:b/>
          <w:bCs/>
          <w:sz w:val="32"/>
          <w:szCs w:val="32"/>
        </w:rPr>
      </w:pPr>
    </w:p>
    <w:p w14:paraId="59F38D3F" w14:textId="77777777" w:rsidR="00F70F2C" w:rsidRPr="00F70F2C" w:rsidRDefault="00F70F2C" w:rsidP="00F70F2C">
      <w:pPr>
        <w:pStyle w:val="NoSpacing"/>
        <w:jc w:val="center"/>
        <w:rPr>
          <w:rFonts w:ascii="Times New Roman" w:hAnsi="Times New Roman" w:cs="Times New Roman"/>
          <w:sz w:val="32"/>
          <w:szCs w:val="32"/>
        </w:rPr>
      </w:pPr>
      <w:r w:rsidRPr="00F70F2C">
        <w:rPr>
          <w:rFonts w:ascii="Times New Roman" w:hAnsi="Times New Roman" w:cs="Times New Roman"/>
          <w:b/>
          <w:bCs/>
          <w:sz w:val="32"/>
          <w:szCs w:val="32"/>
        </w:rPr>
        <w:t>Module Code</w:t>
      </w:r>
      <w:r w:rsidRPr="00F70F2C">
        <w:rPr>
          <w:rFonts w:ascii="Times New Roman" w:hAnsi="Times New Roman" w:cs="Times New Roman"/>
          <w:sz w:val="32"/>
          <w:szCs w:val="32"/>
        </w:rPr>
        <w:t>: LCMB7023</w:t>
      </w:r>
    </w:p>
    <w:p w14:paraId="6F7E9FD2" w14:textId="77777777" w:rsidR="00F70F2C" w:rsidRPr="00F70F2C" w:rsidRDefault="00F70F2C" w:rsidP="00F70F2C">
      <w:pPr>
        <w:pStyle w:val="NoSpacing"/>
        <w:jc w:val="center"/>
        <w:rPr>
          <w:rFonts w:ascii="Times New Roman" w:hAnsi="Times New Roman" w:cs="Times New Roman"/>
          <w:sz w:val="32"/>
          <w:szCs w:val="32"/>
        </w:rPr>
      </w:pPr>
    </w:p>
    <w:p w14:paraId="67C637BE" w14:textId="77777777" w:rsidR="00F70F2C" w:rsidRPr="00F70F2C" w:rsidRDefault="00F70F2C" w:rsidP="00F70F2C">
      <w:pPr>
        <w:pStyle w:val="NoSpacing"/>
        <w:jc w:val="center"/>
        <w:rPr>
          <w:rFonts w:ascii="Times New Roman" w:hAnsi="Times New Roman" w:cs="Times New Roman"/>
          <w:b/>
          <w:bCs/>
          <w:sz w:val="32"/>
          <w:szCs w:val="32"/>
        </w:rPr>
      </w:pPr>
    </w:p>
    <w:p w14:paraId="3A5568FD" w14:textId="77777777" w:rsidR="00F70F2C" w:rsidRPr="00F70F2C" w:rsidRDefault="00F70F2C" w:rsidP="00F70F2C">
      <w:pPr>
        <w:pStyle w:val="NoSpacing"/>
        <w:jc w:val="center"/>
        <w:rPr>
          <w:rFonts w:ascii="Times New Roman" w:hAnsi="Times New Roman" w:cs="Times New Roman"/>
          <w:sz w:val="32"/>
          <w:szCs w:val="32"/>
        </w:rPr>
      </w:pPr>
      <w:r w:rsidRPr="00F70F2C">
        <w:rPr>
          <w:rFonts w:ascii="Times New Roman" w:hAnsi="Times New Roman" w:cs="Times New Roman"/>
          <w:b/>
          <w:bCs/>
          <w:sz w:val="32"/>
          <w:szCs w:val="32"/>
        </w:rPr>
        <w:t>Lecturer’s Name</w:t>
      </w:r>
      <w:r w:rsidRPr="00F70F2C">
        <w:rPr>
          <w:rFonts w:ascii="Times New Roman" w:hAnsi="Times New Roman" w:cs="Times New Roman"/>
          <w:sz w:val="32"/>
          <w:szCs w:val="32"/>
        </w:rPr>
        <w:t>: Gladius Kulothungan Eno Maycock</w:t>
      </w:r>
    </w:p>
    <w:p w14:paraId="79A97A23" w14:textId="77777777" w:rsidR="00F70F2C" w:rsidRPr="00F70F2C" w:rsidRDefault="00F70F2C" w:rsidP="00F70F2C">
      <w:pPr>
        <w:pStyle w:val="NoSpacing"/>
        <w:jc w:val="center"/>
        <w:rPr>
          <w:rFonts w:ascii="Times New Roman" w:hAnsi="Times New Roman" w:cs="Times New Roman"/>
          <w:b/>
          <w:bCs/>
          <w:sz w:val="32"/>
          <w:szCs w:val="32"/>
        </w:rPr>
      </w:pPr>
    </w:p>
    <w:p w14:paraId="75BF94CF" w14:textId="77777777" w:rsidR="00F70F2C" w:rsidRPr="00F70F2C" w:rsidRDefault="00F70F2C" w:rsidP="00F70F2C">
      <w:pPr>
        <w:pStyle w:val="NoSpacing"/>
        <w:jc w:val="center"/>
        <w:rPr>
          <w:rFonts w:ascii="Times New Roman" w:hAnsi="Times New Roman" w:cs="Times New Roman"/>
          <w:b/>
          <w:bCs/>
          <w:sz w:val="32"/>
          <w:szCs w:val="32"/>
        </w:rPr>
      </w:pPr>
    </w:p>
    <w:p w14:paraId="0D720F4A" w14:textId="41A4DF02" w:rsidR="00F67D52" w:rsidRPr="00F70F2C" w:rsidRDefault="00F70F2C" w:rsidP="00F70F2C">
      <w:pPr>
        <w:pStyle w:val="NoSpacing"/>
        <w:jc w:val="center"/>
        <w:rPr>
          <w:rFonts w:ascii="Times New Roman" w:hAnsi="Times New Roman" w:cs="Times New Roman"/>
          <w:b/>
          <w:bCs/>
          <w:sz w:val="32"/>
          <w:szCs w:val="32"/>
        </w:rPr>
      </w:pPr>
      <w:r w:rsidRPr="00F70F2C">
        <w:rPr>
          <w:rFonts w:ascii="Times New Roman" w:hAnsi="Times New Roman" w:cs="Times New Roman"/>
          <w:b/>
          <w:bCs/>
          <w:sz w:val="32"/>
          <w:szCs w:val="32"/>
        </w:rPr>
        <w:t>Term 1</w:t>
      </w:r>
    </w:p>
    <w:p w14:paraId="776AFFCA" w14:textId="6D0C15A2" w:rsidR="00F67D52" w:rsidRPr="00F70F2C" w:rsidRDefault="00000000" w:rsidP="00F70F2C">
      <w:pPr>
        <w:spacing w:before="480"/>
        <w:jc w:val="center"/>
      </w:pPr>
      <w:r>
        <w:br w:type="page"/>
      </w:r>
      <w:r>
        <w:rPr>
          <w:b/>
          <w:bCs/>
          <w:sz w:val="28"/>
          <w:szCs w:val="28"/>
        </w:rPr>
        <w:lastRenderedPageBreak/>
        <w:t>TABLE OF CONTENT</w:t>
      </w:r>
    </w:p>
    <w:sdt>
      <w:sdtPr>
        <w:id w:val="517455066"/>
        <w:docPartObj>
          <w:docPartGallery w:val="Table of Contents"/>
          <w:docPartUnique/>
        </w:docPartObj>
      </w:sdtPr>
      <w:sdtContent>
        <w:p w14:paraId="2EF15BB5" w14:textId="5C4A5ACA" w:rsidR="00635B28" w:rsidRDefault="00000000">
          <w:pPr>
            <w:pStyle w:val="TOC1"/>
            <w:tabs>
              <w:tab w:val="right" w:leader="dot" w:pos="9019"/>
            </w:tabs>
            <w:rPr>
              <w:noProof/>
            </w:rPr>
          </w:pPr>
          <w:r>
            <w:fldChar w:fldCharType="begin"/>
          </w:r>
          <w:r>
            <w:instrText xml:space="preserve"> TOC \h \u \z \t "Heading 1,1,Heading 2,2,Heading 3,3,Heading 4,4,Heading 5,5,Heading 6,6,"</w:instrText>
          </w:r>
          <w:r>
            <w:fldChar w:fldCharType="separate"/>
          </w:r>
          <w:hyperlink w:anchor="_Toc234616796" w:history="1">
            <w:r w:rsidR="00635B28" w:rsidRPr="00623053">
              <w:rPr>
                <w:rStyle w:val="Hyperlink"/>
                <w:noProof/>
              </w:rPr>
              <w:t>Task A: Socialisation, Identity and Business Activism</w:t>
            </w:r>
            <w:r w:rsidR="00635B28">
              <w:rPr>
                <w:noProof/>
                <w:webHidden/>
              </w:rPr>
              <w:tab/>
            </w:r>
            <w:r w:rsidR="00635B28">
              <w:rPr>
                <w:noProof/>
                <w:webHidden/>
              </w:rPr>
              <w:fldChar w:fldCharType="begin"/>
            </w:r>
            <w:r w:rsidR="00635B28">
              <w:rPr>
                <w:noProof/>
                <w:webHidden/>
              </w:rPr>
              <w:instrText xml:space="preserve"> PAGEREF _Toc234616796 \h </w:instrText>
            </w:r>
            <w:r w:rsidR="00635B28">
              <w:rPr>
                <w:noProof/>
                <w:webHidden/>
              </w:rPr>
            </w:r>
            <w:r w:rsidR="00635B28">
              <w:rPr>
                <w:noProof/>
                <w:webHidden/>
              </w:rPr>
              <w:fldChar w:fldCharType="separate"/>
            </w:r>
            <w:r w:rsidR="00635B28">
              <w:rPr>
                <w:noProof/>
                <w:webHidden/>
              </w:rPr>
              <w:t>3</w:t>
            </w:r>
            <w:r w:rsidR="00635B28">
              <w:rPr>
                <w:noProof/>
                <w:webHidden/>
              </w:rPr>
              <w:fldChar w:fldCharType="end"/>
            </w:r>
          </w:hyperlink>
        </w:p>
        <w:p w14:paraId="7C57F269" w14:textId="60C4CE08" w:rsidR="00635B28" w:rsidRDefault="00635B28">
          <w:pPr>
            <w:pStyle w:val="TOC2"/>
            <w:tabs>
              <w:tab w:val="right" w:leader="dot" w:pos="9019"/>
            </w:tabs>
            <w:rPr>
              <w:noProof/>
            </w:rPr>
          </w:pPr>
          <w:hyperlink w:anchor="_Toc234616797" w:history="1">
            <w:r w:rsidRPr="00623053">
              <w:rPr>
                <w:rStyle w:val="Hyperlink"/>
                <w:noProof/>
              </w:rPr>
              <w:t>1.1 Traditional Onboarding versus Strategic Organisational Socialisation</w:t>
            </w:r>
            <w:r>
              <w:rPr>
                <w:noProof/>
                <w:webHidden/>
              </w:rPr>
              <w:tab/>
            </w:r>
            <w:r>
              <w:rPr>
                <w:noProof/>
                <w:webHidden/>
              </w:rPr>
              <w:fldChar w:fldCharType="begin"/>
            </w:r>
            <w:r>
              <w:rPr>
                <w:noProof/>
                <w:webHidden/>
              </w:rPr>
              <w:instrText xml:space="preserve"> PAGEREF _Toc234616797 \h </w:instrText>
            </w:r>
            <w:r>
              <w:rPr>
                <w:noProof/>
                <w:webHidden/>
              </w:rPr>
            </w:r>
            <w:r>
              <w:rPr>
                <w:noProof/>
                <w:webHidden/>
              </w:rPr>
              <w:fldChar w:fldCharType="separate"/>
            </w:r>
            <w:r>
              <w:rPr>
                <w:noProof/>
                <w:webHidden/>
              </w:rPr>
              <w:t>3</w:t>
            </w:r>
            <w:r>
              <w:rPr>
                <w:noProof/>
                <w:webHidden/>
              </w:rPr>
              <w:fldChar w:fldCharType="end"/>
            </w:r>
          </w:hyperlink>
        </w:p>
        <w:p w14:paraId="54FBA72C" w14:textId="0292926B" w:rsidR="00635B28" w:rsidRDefault="00635B28">
          <w:pPr>
            <w:pStyle w:val="TOC2"/>
            <w:tabs>
              <w:tab w:val="right" w:leader="dot" w:pos="9019"/>
            </w:tabs>
            <w:rPr>
              <w:noProof/>
            </w:rPr>
          </w:pPr>
          <w:hyperlink w:anchor="_Toc234616798" w:history="1">
            <w:r w:rsidRPr="00623053">
              <w:rPr>
                <w:rStyle w:val="Hyperlink"/>
                <w:noProof/>
              </w:rPr>
              <w:t>1.2 Helios First-Year Socialisation Framework</w:t>
            </w:r>
            <w:r>
              <w:rPr>
                <w:noProof/>
                <w:webHidden/>
              </w:rPr>
              <w:tab/>
            </w:r>
            <w:r>
              <w:rPr>
                <w:noProof/>
                <w:webHidden/>
              </w:rPr>
              <w:fldChar w:fldCharType="begin"/>
            </w:r>
            <w:r>
              <w:rPr>
                <w:noProof/>
                <w:webHidden/>
              </w:rPr>
              <w:instrText xml:space="preserve"> PAGEREF _Toc234616798 \h </w:instrText>
            </w:r>
            <w:r>
              <w:rPr>
                <w:noProof/>
                <w:webHidden/>
              </w:rPr>
            </w:r>
            <w:r>
              <w:rPr>
                <w:noProof/>
                <w:webHidden/>
              </w:rPr>
              <w:fldChar w:fldCharType="separate"/>
            </w:r>
            <w:r>
              <w:rPr>
                <w:noProof/>
                <w:webHidden/>
              </w:rPr>
              <w:t>3</w:t>
            </w:r>
            <w:r>
              <w:rPr>
                <w:noProof/>
                <w:webHidden/>
              </w:rPr>
              <w:fldChar w:fldCharType="end"/>
            </w:r>
          </w:hyperlink>
        </w:p>
        <w:p w14:paraId="554914BB" w14:textId="60F51A25" w:rsidR="00635B28" w:rsidRDefault="00635B28">
          <w:pPr>
            <w:pStyle w:val="TOC2"/>
            <w:tabs>
              <w:tab w:val="right" w:leader="dot" w:pos="9019"/>
            </w:tabs>
            <w:rPr>
              <w:noProof/>
            </w:rPr>
          </w:pPr>
          <w:hyperlink w:anchor="_Toc234616799" w:history="1">
            <w:r w:rsidRPr="00623053">
              <w:rPr>
                <w:rStyle w:val="Hyperlink"/>
                <w:noProof/>
              </w:rPr>
              <w:t>1.3 Organisational Identification</w:t>
            </w:r>
            <w:r>
              <w:rPr>
                <w:noProof/>
                <w:webHidden/>
              </w:rPr>
              <w:tab/>
            </w:r>
            <w:r>
              <w:rPr>
                <w:noProof/>
                <w:webHidden/>
              </w:rPr>
              <w:fldChar w:fldCharType="begin"/>
            </w:r>
            <w:r>
              <w:rPr>
                <w:noProof/>
                <w:webHidden/>
              </w:rPr>
              <w:instrText xml:space="preserve"> PAGEREF _Toc234616799 \h </w:instrText>
            </w:r>
            <w:r>
              <w:rPr>
                <w:noProof/>
                <w:webHidden/>
              </w:rPr>
            </w:r>
            <w:r>
              <w:rPr>
                <w:noProof/>
                <w:webHidden/>
              </w:rPr>
              <w:fldChar w:fldCharType="separate"/>
            </w:r>
            <w:r>
              <w:rPr>
                <w:noProof/>
                <w:webHidden/>
              </w:rPr>
              <w:t>4</w:t>
            </w:r>
            <w:r>
              <w:rPr>
                <w:noProof/>
                <w:webHidden/>
              </w:rPr>
              <w:fldChar w:fldCharType="end"/>
            </w:r>
          </w:hyperlink>
        </w:p>
        <w:p w14:paraId="6FAD2A4A" w14:textId="268D1526" w:rsidR="00635B28" w:rsidRDefault="00635B28">
          <w:pPr>
            <w:pStyle w:val="TOC2"/>
            <w:tabs>
              <w:tab w:val="right" w:leader="dot" w:pos="9019"/>
            </w:tabs>
            <w:rPr>
              <w:noProof/>
            </w:rPr>
          </w:pPr>
          <w:hyperlink w:anchor="_Toc234616800" w:history="1">
            <w:r w:rsidRPr="00623053">
              <w:rPr>
                <w:rStyle w:val="Hyperlink"/>
                <w:noProof/>
              </w:rPr>
              <w:t>1.4 Ethical Professionalism</w:t>
            </w:r>
            <w:r>
              <w:rPr>
                <w:noProof/>
                <w:webHidden/>
              </w:rPr>
              <w:tab/>
            </w:r>
            <w:r>
              <w:rPr>
                <w:noProof/>
                <w:webHidden/>
              </w:rPr>
              <w:fldChar w:fldCharType="begin"/>
            </w:r>
            <w:r>
              <w:rPr>
                <w:noProof/>
                <w:webHidden/>
              </w:rPr>
              <w:instrText xml:space="preserve"> PAGEREF _Toc234616800 \h </w:instrText>
            </w:r>
            <w:r>
              <w:rPr>
                <w:noProof/>
                <w:webHidden/>
              </w:rPr>
            </w:r>
            <w:r>
              <w:rPr>
                <w:noProof/>
                <w:webHidden/>
              </w:rPr>
              <w:fldChar w:fldCharType="separate"/>
            </w:r>
            <w:r>
              <w:rPr>
                <w:noProof/>
                <w:webHidden/>
              </w:rPr>
              <w:t>5</w:t>
            </w:r>
            <w:r>
              <w:rPr>
                <w:noProof/>
                <w:webHidden/>
              </w:rPr>
              <w:fldChar w:fldCharType="end"/>
            </w:r>
          </w:hyperlink>
        </w:p>
        <w:p w14:paraId="613C4959" w14:textId="4771C2A4" w:rsidR="00635B28" w:rsidRDefault="00635B28">
          <w:pPr>
            <w:pStyle w:val="TOC2"/>
            <w:tabs>
              <w:tab w:val="right" w:leader="dot" w:pos="9019"/>
            </w:tabs>
            <w:rPr>
              <w:noProof/>
            </w:rPr>
          </w:pPr>
          <w:hyperlink w:anchor="_Toc234616801" w:history="1">
            <w:r w:rsidRPr="00623053">
              <w:rPr>
                <w:rStyle w:val="Hyperlink"/>
                <w:noProof/>
              </w:rPr>
              <w:t>1.5 Business Activist Mindset</w:t>
            </w:r>
            <w:r>
              <w:rPr>
                <w:noProof/>
                <w:webHidden/>
              </w:rPr>
              <w:tab/>
            </w:r>
            <w:r>
              <w:rPr>
                <w:noProof/>
                <w:webHidden/>
              </w:rPr>
              <w:fldChar w:fldCharType="begin"/>
            </w:r>
            <w:r>
              <w:rPr>
                <w:noProof/>
                <w:webHidden/>
              </w:rPr>
              <w:instrText xml:space="preserve"> PAGEREF _Toc234616801 \h </w:instrText>
            </w:r>
            <w:r>
              <w:rPr>
                <w:noProof/>
                <w:webHidden/>
              </w:rPr>
            </w:r>
            <w:r>
              <w:rPr>
                <w:noProof/>
                <w:webHidden/>
              </w:rPr>
              <w:fldChar w:fldCharType="separate"/>
            </w:r>
            <w:r>
              <w:rPr>
                <w:noProof/>
                <w:webHidden/>
              </w:rPr>
              <w:t>5</w:t>
            </w:r>
            <w:r>
              <w:rPr>
                <w:noProof/>
                <w:webHidden/>
              </w:rPr>
              <w:fldChar w:fldCharType="end"/>
            </w:r>
          </w:hyperlink>
        </w:p>
        <w:p w14:paraId="60D6CDE5" w14:textId="5AF58871" w:rsidR="00635B28" w:rsidRDefault="00635B28">
          <w:pPr>
            <w:pStyle w:val="TOC1"/>
            <w:tabs>
              <w:tab w:val="right" w:leader="dot" w:pos="9019"/>
            </w:tabs>
            <w:rPr>
              <w:noProof/>
            </w:rPr>
          </w:pPr>
          <w:hyperlink w:anchor="_Toc234616802" w:history="1">
            <w:r w:rsidRPr="00623053">
              <w:rPr>
                <w:rStyle w:val="Hyperlink"/>
                <w:noProof/>
              </w:rPr>
              <w:t>Task B: Innovative Job Design</w:t>
            </w:r>
            <w:r>
              <w:rPr>
                <w:noProof/>
                <w:webHidden/>
              </w:rPr>
              <w:tab/>
            </w:r>
            <w:r>
              <w:rPr>
                <w:noProof/>
                <w:webHidden/>
              </w:rPr>
              <w:fldChar w:fldCharType="begin"/>
            </w:r>
            <w:r>
              <w:rPr>
                <w:noProof/>
                <w:webHidden/>
              </w:rPr>
              <w:instrText xml:space="preserve"> PAGEREF _Toc234616802 \h </w:instrText>
            </w:r>
            <w:r>
              <w:rPr>
                <w:noProof/>
                <w:webHidden/>
              </w:rPr>
            </w:r>
            <w:r>
              <w:rPr>
                <w:noProof/>
                <w:webHidden/>
              </w:rPr>
              <w:fldChar w:fldCharType="separate"/>
            </w:r>
            <w:r>
              <w:rPr>
                <w:noProof/>
                <w:webHidden/>
              </w:rPr>
              <w:t>7</w:t>
            </w:r>
            <w:r>
              <w:rPr>
                <w:noProof/>
                <w:webHidden/>
              </w:rPr>
              <w:fldChar w:fldCharType="end"/>
            </w:r>
          </w:hyperlink>
        </w:p>
        <w:p w14:paraId="2BA5BFFB" w14:textId="0D97B630" w:rsidR="00635B28" w:rsidRDefault="00635B28">
          <w:pPr>
            <w:pStyle w:val="TOC2"/>
            <w:tabs>
              <w:tab w:val="right" w:leader="dot" w:pos="9019"/>
            </w:tabs>
            <w:rPr>
              <w:noProof/>
            </w:rPr>
          </w:pPr>
          <w:hyperlink w:anchor="_Toc234616803" w:history="1">
            <w:r w:rsidRPr="00623053">
              <w:rPr>
                <w:rStyle w:val="Hyperlink"/>
                <w:noProof/>
              </w:rPr>
              <w:t>2.1 Helios 70–20–10 Skills and Mission Model</w:t>
            </w:r>
            <w:r>
              <w:rPr>
                <w:noProof/>
                <w:webHidden/>
              </w:rPr>
              <w:tab/>
            </w:r>
            <w:r>
              <w:rPr>
                <w:noProof/>
                <w:webHidden/>
              </w:rPr>
              <w:fldChar w:fldCharType="begin"/>
            </w:r>
            <w:r>
              <w:rPr>
                <w:noProof/>
                <w:webHidden/>
              </w:rPr>
              <w:instrText xml:space="preserve"> PAGEREF _Toc234616803 \h </w:instrText>
            </w:r>
            <w:r>
              <w:rPr>
                <w:noProof/>
                <w:webHidden/>
              </w:rPr>
            </w:r>
            <w:r>
              <w:rPr>
                <w:noProof/>
                <w:webHidden/>
              </w:rPr>
              <w:fldChar w:fldCharType="separate"/>
            </w:r>
            <w:r>
              <w:rPr>
                <w:noProof/>
                <w:webHidden/>
              </w:rPr>
              <w:t>7</w:t>
            </w:r>
            <w:r>
              <w:rPr>
                <w:noProof/>
                <w:webHidden/>
              </w:rPr>
              <w:fldChar w:fldCharType="end"/>
            </w:r>
          </w:hyperlink>
        </w:p>
        <w:p w14:paraId="10C2C858" w14:textId="5BFFE537" w:rsidR="00635B28" w:rsidRDefault="00635B28">
          <w:pPr>
            <w:pStyle w:val="TOC2"/>
            <w:tabs>
              <w:tab w:val="right" w:leader="dot" w:pos="9019"/>
            </w:tabs>
            <w:rPr>
              <w:noProof/>
            </w:rPr>
          </w:pPr>
          <w:hyperlink w:anchor="_Toc234616804" w:history="1">
            <w:r w:rsidRPr="00623053">
              <w:rPr>
                <w:rStyle w:val="Hyperlink"/>
                <w:noProof/>
              </w:rPr>
              <w:t>2.2 Application of the Job Characteristics Model</w:t>
            </w:r>
            <w:r>
              <w:rPr>
                <w:noProof/>
                <w:webHidden/>
              </w:rPr>
              <w:tab/>
            </w:r>
            <w:r>
              <w:rPr>
                <w:noProof/>
                <w:webHidden/>
              </w:rPr>
              <w:fldChar w:fldCharType="begin"/>
            </w:r>
            <w:r>
              <w:rPr>
                <w:noProof/>
                <w:webHidden/>
              </w:rPr>
              <w:instrText xml:space="preserve"> PAGEREF _Toc234616804 \h </w:instrText>
            </w:r>
            <w:r>
              <w:rPr>
                <w:noProof/>
                <w:webHidden/>
              </w:rPr>
            </w:r>
            <w:r>
              <w:rPr>
                <w:noProof/>
                <w:webHidden/>
              </w:rPr>
              <w:fldChar w:fldCharType="separate"/>
            </w:r>
            <w:r>
              <w:rPr>
                <w:noProof/>
                <w:webHidden/>
              </w:rPr>
              <w:t>7</w:t>
            </w:r>
            <w:r>
              <w:rPr>
                <w:noProof/>
                <w:webHidden/>
              </w:rPr>
              <w:fldChar w:fldCharType="end"/>
            </w:r>
          </w:hyperlink>
        </w:p>
        <w:p w14:paraId="1B8C8860" w14:textId="16AE6CCA" w:rsidR="00635B28" w:rsidRDefault="00635B28">
          <w:pPr>
            <w:pStyle w:val="TOC2"/>
            <w:tabs>
              <w:tab w:val="right" w:leader="dot" w:pos="9019"/>
            </w:tabs>
            <w:rPr>
              <w:noProof/>
            </w:rPr>
          </w:pPr>
          <w:hyperlink w:anchor="_Toc234616805" w:history="1">
            <w:r w:rsidRPr="00623053">
              <w:rPr>
                <w:rStyle w:val="Hyperlink"/>
                <w:noProof/>
              </w:rPr>
              <w:t>2.3 Guided Job Crafting</w:t>
            </w:r>
            <w:r>
              <w:rPr>
                <w:noProof/>
                <w:webHidden/>
              </w:rPr>
              <w:tab/>
            </w:r>
            <w:r>
              <w:rPr>
                <w:noProof/>
                <w:webHidden/>
              </w:rPr>
              <w:fldChar w:fldCharType="begin"/>
            </w:r>
            <w:r>
              <w:rPr>
                <w:noProof/>
                <w:webHidden/>
              </w:rPr>
              <w:instrText xml:space="preserve"> PAGEREF _Toc234616805 \h </w:instrText>
            </w:r>
            <w:r>
              <w:rPr>
                <w:noProof/>
                <w:webHidden/>
              </w:rPr>
            </w:r>
            <w:r>
              <w:rPr>
                <w:noProof/>
                <w:webHidden/>
              </w:rPr>
              <w:fldChar w:fldCharType="separate"/>
            </w:r>
            <w:r>
              <w:rPr>
                <w:noProof/>
                <w:webHidden/>
              </w:rPr>
              <w:t>8</w:t>
            </w:r>
            <w:r>
              <w:rPr>
                <w:noProof/>
                <w:webHidden/>
              </w:rPr>
              <w:fldChar w:fldCharType="end"/>
            </w:r>
          </w:hyperlink>
        </w:p>
        <w:p w14:paraId="79588B63" w14:textId="074256D2" w:rsidR="00635B28" w:rsidRDefault="00635B28">
          <w:pPr>
            <w:pStyle w:val="TOC2"/>
            <w:tabs>
              <w:tab w:val="right" w:leader="dot" w:pos="9019"/>
            </w:tabs>
            <w:rPr>
              <w:noProof/>
            </w:rPr>
          </w:pPr>
          <w:hyperlink w:anchor="_Toc234616806" w:history="1">
            <w:r w:rsidRPr="00623053">
              <w:rPr>
                <w:rStyle w:val="Hyperlink"/>
                <w:noProof/>
              </w:rPr>
              <w:t>2.4 Skills-Based Architecture and Internal Talent Marketplace</w:t>
            </w:r>
            <w:r>
              <w:rPr>
                <w:noProof/>
                <w:webHidden/>
              </w:rPr>
              <w:tab/>
            </w:r>
            <w:r>
              <w:rPr>
                <w:noProof/>
                <w:webHidden/>
              </w:rPr>
              <w:fldChar w:fldCharType="begin"/>
            </w:r>
            <w:r>
              <w:rPr>
                <w:noProof/>
                <w:webHidden/>
              </w:rPr>
              <w:instrText xml:space="preserve"> PAGEREF _Toc234616806 \h </w:instrText>
            </w:r>
            <w:r>
              <w:rPr>
                <w:noProof/>
                <w:webHidden/>
              </w:rPr>
            </w:r>
            <w:r>
              <w:rPr>
                <w:noProof/>
                <w:webHidden/>
              </w:rPr>
              <w:fldChar w:fldCharType="separate"/>
            </w:r>
            <w:r>
              <w:rPr>
                <w:noProof/>
                <w:webHidden/>
              </w:rPr>
              <w:t>9</w:t>
            </w:r>
            <w:r>
              <w:rPr>
                <w:noProof/>
                <w:webHidden/>
              </w:rPr>
              <w:fldChar w:fldCharType="end"/>
            </w:r>
          </w:hyperlink>
        </w:p>
        <w:p w14:paraId="54E83DDD" w14:textId="5D96081C" w:rsidR="00635B28" w:rsidRDefault="00635B28">
          <w:pPr>
            <w:pStyle w:val="TOC2"/>
            <w:tabs>
              <w:tab w:val="right" w:leader="dot" w:pos="9019"/>
            </w:tabs>
            <w:rPr>
              <w:noProof/>
            </w:rPr>
          </w:pPr>
          <w:hyperlink w:anchor="_Toc234616807" w:history="1">
            <w:r w:rsidRPr="00623053">
              <w:rPr>
                <w:rStyle w:val="Hyperlink"/>
                <w:noProof/>
              </w:rPr>
              <w:t>2.5 Intrinsic Motivation and Innovation</w:t>
            </w:r>
            <w:r>
              <w:rPr>
                <w:noProof/>
                <w:webHidden/>
              </w:rPr>
              <w:tab/>
            </w:r>
            <w:r>
              <w:rPr>
                <w:noProof/>
                <w:webHidden/>
              </w:rPr>
              <w:fldChar w:fldCharType="begin"/>
            </w:r>
            <w:r>
              <w:rPr>
                <w:noProof/>
                <w:webHidden/>
              </w:rPr>
              <w:instrText xml:space="preserve"> PAGEREF _Toc234616807 \h </w:instrText>
            </w:r>
            <w:r>
              <w:rPr>
                <w:noProof/>
                <w:webHidden/>
              </w:rPr>
            </w:r>
            <w:r>
              <w:rPr>
                <w:noProof/>
                <w:webHidden/>
              </w:rPr>
              <w:fldChar w:fldCharType="separate"/>
            </w:r>
            <w:r>
              <w:rPr>
                <w:noProof/>
                <w:webHidden/>
              </w:rPr>
              <w:t>10</w:t>
            </w:r>
            <w:r>
              <w:rPr>
                <w:noProof/>
                <w:webHidden/>
              </w:rPr>
              <w:fldChar w:fldCharType="end"/>
            </w:r>
          </w:hyperlink>
        </w:p>
        <w:p w14:paraId="6C9A2C83" w14:textId="2F813FD7" w:rsidR="00635B28" w:rsidRDefault="00635B28">
          <w:pPr>
            <w:pStyle w:val="TOC1"/>
            <w:tabs>
              <w:tab w:val="right" w:leader="dot" w:pos="9019"/>
            </w:tabs>
            <w:rPr>
              <w:noProof/>
            </w:rPr>
          </w:pPr>
          <w:hyperlink w:anchor="_Toc234616808" w:history="1">
            <w:r w:rsidRPr="00623053">
              <w:rPr>
                <w:rStyle w:val="Hyperlink"/>
                <w:noProof/>
              </w:rPr>
              <w:t>Part 3: Reflective Report</w:t>
            </w:r>
            <w:r>
              <w:rPr>
                <w:noProof/>
                <w:webHidden/>
              </w:rPr>
              <w:tab/>
            </w:r>
            <w:r>
              <w:rPr>
                <w:noProof/>
                <w:webHidden/>
              </w:rPr>
              <w:fldChar w:fldCharType="begin"/>
            </w:r>
            <w:r>
              <w:rPr>
                <w:noProof/>
                <w:webHidden/>
              </w:rPr>
              <w:instrText xml:space="preserve"> PAGEREF _Toc234616808 \h </w:instrText>
            </w:r>
            <w:r>
              <w:rPr>
                <w:noProof/>
                <w:webHidden/>
              </w:rPr>
            </w:r>
            <w:r>
              <w:rPr>
                <w:noProof/>
                <w:webHidden/>
              </w:rPr>
              <w:fldChar w:fldCharType="separate"/>
            </w:r>
            <w:r>
              <w:rPr>
                <w:noProof/>
                <w:webHidden/>
              </w:rPr>
              <w:t>11</w:t>
            </w:r>
            <w:r>
              <w:rPr>
                <w:noProof/>
                <w:webHidden/>
              </w:rPr>
              <w:fldChar w:fldCharType="end"/>
            </w:r>
          </w:hyperlink>
        </w:p>
        <w:p w14:paraId="71AA86A3" w14:textId="61A3F5A6" w:rsidR="00635B28" w:rsidRDefault="00635B28">
          <w:pPr>
            <w:pStyle w:val="TOC2"/>
            <w:tabs>
              <w:tab w:val="right" w:leader="dot" w:pos="9019"/>
            </w:tabs>
            <w:rPr>
              <w:noProof/>
            </w:rPr>
          </w:pPr>
          <w:hyperlink w:anchor="_Toc234616809" w:history="1">
            <w:r w:rsidRPr="00623053">
              <w:rPr>
                <w:rStyle w:val="Hyperlink"/>
                <w:noProof/>
              </w:rPr>
              <w:t>3.1 AI as a Decision-Support Tool</w:t>
            </w:r>
            <w:r>
              <w:rPr>
                <w:noProof/>
                <w:webHidden/>
              </w:rPr>
              <w:tab/>
            </w:r>
            <w:r>
              <w:rPr>
                <w:noProof/>
                <w:webHidden/>
              </w:rPr>
              <w:fldChar w:fldCharType="begin"/>
            </w:r>
            <w:r>
              <w:rPr>
                <w:noProof/>
                <w:webHidden/>
              </w:rPr>
              <w:instrText xml:space="preserve"> PAGEREF _Toc234616809 \h </w:instrText>
            </w:r>
            <w:r>
              <w:rPr>
                <w:noProof/>
                <w:webHidden/>
              </w:rPr>
            </w:r>
            <w:r>
              <w:rPr>
                <w:noProof/>
                <w:webHidden/>
              </w:rPr>
              <w:fldChar w:fldCharType="separate"/>
            </w:r>
            <w:r>
              <w:rPr>
                <w:noProof/>
                <w:webHidden/>
              </w:rPr>
              <w:t>11</w:t>
            </w:r>
            <w:r>
              <w:rPr>
                <w:noProof/>
                <w:webHidden/>
              </w:rPr>
              <w:fldChar w:fldCharType="end"/>
            </w:r>
          </w:hyperlink>
        </w:p>
        <w:p w14:paraId="35FC0E88" w14:textId="13B71854" w:rsidR="00635B28" w:rsidRDefault="00635B28">
          <w:pPr>
            <w:pStyle w:val="TOC2"/>
            <w:tabs>
              <w:tab w:val="right" w:leader="dot" w:pos="9019"/>
            </w:tabs>
            <w:rPr>
              <w:noProof/>
            </w:rPr>
          </w:pPr>
          <w:hyperlink w:anchor="_Toc234616810" w:history="1">
            <w:r w:rsidRPr="00623053">
              <w:rPr>
                <w:rStyle w:val="Hyperlink"/>
                <w:noProof/>
              </w:rPr>
              <w:t>3.2 Personal Capability Development Plan</w:t>
            </w:r>
            <w:r>
              <w:rPr>
                <w:noProof/>
                <w:webHidden/>
              </w:rPr>
              <w:tab/>
            </w:r>
            <w:r>
              <w:rPr>
                <w:noProof/>
                <w:webHidden/>
              </w:rPr>
              <w:fldChar w:fldCharType="begin"/>
            </w:r>
            <w:r>
              <w:rPr>
                <w:noProof/>
                <w:webHidden/>
              </w:rPr>
              <w:instrText xml:space="preserve"> PAGEREF _Toc234616810 \h </w:instrText>
            </w:r>
            <w:r>
              <w:rPr>
                <w:noProof/>
                <w:webHidden/>
              </w:rPr>
            </w:r>
            <w:r>
              <w:rPr>
                <w:noProof/>
                <w:webHidden/>
              </w:rPr>
              <w:fldChar w:fldCharType="separate"/>
            </w:r>
            <w:r>
              <w:rPr>
                <w:noProof/>
                <w:webHidden/>
              </w:rPr>
              <w:t>11</w:t>
            </w:r>
            <w:r>
              <w:rPr>
                <w:noProof/>
                <w:webHidden/>
              </w:rPr>
              <w:fldChar w:fldCharType="end"/>
            </w:r>
          </w:hyperlink>
        </w:p>
        <w:p w14:paraId="21C63FDD" w14:textId="46DFBA59" w:rsidR="00635B28" w:rsidRDefault="00635B28">
          <w:pPr>
            <w:pStyle w:val="TOC1"/>
            <w:tabs>
              <w:tab w:val="right" w:leader="dot" w:pos="9019"/>
            </w:tabs>
            <w:rPr>
              <w:noProof/>
            </w:rPr>
          </w:pPr>
          <w:hyperlink w:anchor="_Toc234616811" w:history="1">
            <w:r w:rsidRPr="00623053">
              <w:rPr>
                <w:rStyle w:val="Hyperlink"/>
                <w:noProof/>
              </w:rPr>
              <w:t>References</w:t>
            </w:r>
            <w:r>
              <w:rPr>
                <w:noProof/>
                <w:webHidden/>
              </w:rPr>
              <w:tab/>
            </w:r>
            <w:r>
              <w:rPr>
                <w:noProof/>
                <w:webHidden/>
              </w:rPr>
              <w:fldChar w:fldCharType="begin"/>
            </w:r>
            <w:r>
              <w:rPr>
                <w:noProof/>
                <w:webHidden/>
              </w:rPr>
              <w:instrText xml:space="preserve"> PAGEREF _Toc234616811 \h </w:instrText>
            </w:r>
            <w:r>
              <w:rPr>
                <w:noProof/>
                <w:webHidden/>
              </w:rPr>
            </w:r>
            <w:r>
              <w:rPr>
                <w:noProof/>
                <w:webHidden/>
              </w:rPr>
              <w:fldChar w:fldCharType="separate"/>
            </w:r>
            <w:r>
              <w:rPr>
                <w:noProof/>
                <w:webHidden/>
              </w:rPr>
              <w:t>13</w:t>
            </w:r>
            <w:r>
              <w:rPr>
                <w:noProof/>
                <w:webHidden/>
              </w:rPr>
              <w:fldChar w:fldCharType="end"/>
            </w:r>
          </w:hyperlink>
        </w:p>
        <w:p w14:paraId="2CD048D7" w14:textId="4D8CCD90" w:rsidR="00F67D52" w:rsidRDefault="00000000">
          <w:pPr>
            <w:widowControl w:val="0"/>
            <w:tabs>
              <w:tab w:val="right" w:leader="dot" w:pos="9025"/>
            </w:tabs>
            <w:spacing w:before="60" w:after="0" w:line="240" w:lineRule="auto"/>
            <w:jc w:val="left"/>
            <w:rPr>
              <w:b/>
              <w:bCs/>
              <w:color w:val="000000"/>
            </w:rPr>
          </w:pPr>
          <w:r>
            <w:fldChar w:fldCharType="end"/>
          </w:r>
        </w:p>
      </w:sdtContent>
    </w:sdt>
    <w:p w14:paraId="4D871BBF" w14:textId="77777777" w:rsidR="00F67D52" w:rsidRDefault="00000000">
      <w:pPr>
        <w:spacing w:before="480"/>
      </w:pPr>
      <w:r>
        <w:br w:type="page"/>
      </w:r>
    </w:p>
    <w:p w14:paraId="53405EB4" w14:textId="77777777" w:rsidR="00F67D52" w:rsidRDefault="00000000">
      <w:pPr>
        <w:pStyle w:val="Heading1"/>
      </w:pPr>
      <w:bookmarkStart w:id="0" w:name="_Toc234616796"/>
      <w:r>
        <w:lastRenderedPageBreak/>
        <w:t>Task A: Socialisation, Identity and Business Activism</w:t>
      </w:r>
      <w:bookmarkEnd w:id="0"/>
    </w:p>
    <w:p w14:paraId="677E03F1" w14:textId="77777777" w:rsidR="00F67D52" w:rsidRDefault="00000000">
      <w:pPr>
        <w:pStyle w:val="Heading2"/>
      </w:pPr>
      <w:bookmarkStart w:id="1" w:name="_Toc234616797"/>
      <w:r>
        <w:t>1.1 Traditional Onboarding versus Strategic Organisational Socialisation</w:t>
      </w:r>
      <w:bookmarkEnd w:id="1"/>
    </w:p>
    <w:p w14:paraId="16E02C28" w14:textId="3691EB81" w:rsidR="00157224" w:rsidRDefault="00000000" w:rsidP="00157224">
      <w:r>
        <w:t xml:space="preserve">Conventional onboarding is </w:t>
      </w:r>
      <w:r w:rsidR="00635B28">
        <w:t>centred</w:t>
      </w:r>
      <w:r>
        <w:t xml:space="preserve"> on administration, policies, compliance and job specifications and orientation training. This is important as it provides consistency but tends to take onboarding as a one-time event. The newcomers can thus comprehend formal procedures, but they do not know relationships, career opportunities, informal expectations and the purpose of the organisation. Onboarding is linked to retention and well-being, implying that simple administration will not be a solution to PI issues retention and attraction Helios faces (Mosquera and Soares, 2025). Strategic organisational socialisation is more expansive as it builds up on role knowledge, associations, cultural knowledge and organisational identification. The adjustment of newcomers is reliant on the organisational practices, the inter-personal support, employee activism (Bauer et al., 2025). Helios needs to amalgamate a formalised institutionalised core and a support that is personalised. The communication of its mobility mission, ethics, safety requirements and operating procedures would be done via formal means, whereas mentoring, exposure to project and flexible developmental routes would maintain initiative and identity as a specialist. Psychological-contract theory as well is applicable as the workers develop expectations of advancement, acknowledgment and valuable work. Lack of fulfilling promises can lead to withdrawal, quiet quitting (Gray et al., 2025). Expectation reviews and realistic job previews are thus necessary. Belonging should also be reinforced by socialisation in socialisation and enable employees to be individuals with the potential to challenge current practices to contribute to identity formation via interaction and membership of the organisation (Awan and Abbas, 2025).</w:t>
      </w:r>
    </w:p>
    <w:p w14:paraId="4C17F190" w14:textId="77777777" w:rsidR="00F67D52" w:rsidRDefault="00000000">
      <w:pPr>
        <w:pStyle w:val="Heading2"/>
      </w:pPr>
      <w:bookmarkStart w:id="2" w:name="_Toc234616798"/>
      <w:r>
        <w:t>1.2 Helios First-Year Socialisation Framework</w:t>
      </w:r>
      <w:bookmarkEnd w:id="2"/>
    </w:p>
    <w:p w14:paraId="4D9AFEBF" w14:textId="77777777" w:rsidR="00F67D52" w:rsidRDefault="00000000">
      <w:pPr>
        <w:jc w:val="center"/>
        <w:rPr>
          <w:b/>
          <w:bCs/>
        </w:rPr>
      </w:pPr>
      <w:r>
        <w:rPr>
          <w:b/>
          <w:bCs/>
        </w:rPr>
        <w:t>Table 1: Helios strategic socialisation framework</w:t>
      </w:r>
    </w:p>
    <w:tbl>
      <w:tblPr>
        <w:tblStyle w:val="a"/>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88"/>
        <w:gridCol w:w="4597"/>
        <w:gridCol w:w="3240"/>
      </w:tblGrid>
      <w:tr w:rsidR="00F67D52" w14:paraId="35706C41" w14:textId="77777777">
        <w:trPr>
          <w:trHeight w:val="500"/>
        </w:trPr>
        <w:tc>
          <w:tcPr>
            <w:tcW w:w="11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2BD2A2" w14:textId="77777777" w:rsidR="00F67D52" w:rsidRDefault="00000000">
            <w:pPr>
              <w:spacing w:before="200" w:after="200"/>
              <w:jc w:val="center"/>
            </w:pPr>
            <w:r>
              <w:rPr>
                <w:b/>
                <w:bCs/>
              </w:rPr>
              <w:t>Stage</w:t>
            </w:r>
          </w:p>
        </w:tc>
        <w:tc>
          <w:tcPr>
            <w:tcW w:w="4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3C6440" w14:textId="77777777" w:rsidR="00F67D52" w:rsidRDefault="00000000">
            <w:pPr>
              <w:spacing w:before="200" w:after="200"/>
              <w:jc w:val="center"/>
            </w:pPr>
            <w:r>
              <w:rPr>
                <w:b/>
                <w:bCs/>
              </w:rPr>
              <w:t>Key interventions</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DEA518" w14:textId="77777777" w:rsidR="00F67D52" w:rsidRDefault="00000000">
            <w:pPr>
              <w:spacing w:before="200" w:after="200"/>
              <w:jc w:val="center"/>
            </w:pPr>
            <w:r>
              <w:rPr>
                <w:b/>
                <w:bCs/>
              </w:rPr>
              <w:t>Intended outcomes</w:t>
            </w:r>
          </w:p>
        </w:tc>
      </w:tr>
      <w:tr w:rsidR="00F67D52" w14:paraId="0FE9E480" w14:textId="77777777">
        <w:trPr>
          <w:trHeight w:val="1040"/>
        </w:trPr>
        <w:tc>
          <w:tcPr>
            <w:tcW w:w="11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F5BEA0" w14:textId="77777777" w:rsidR="00F67D52" w:rsidRDefault="00000000">
            <w:pPr>
              <w:spacing w:before="200" w:after="200"/>
            </w:pPr>
            <w:r>
              <w:lastRenderedPageBreak/>
              <w:t>Pre-boarding</w:t>
            </w:r>
          </w:p>
        </w:tc>
        <w:tc>
          <w:tcPr>
            <w:tcW w:w="4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9EBEC4" w14:textId="77777777" w:rsidR="00F67D52" w:rsidRDefault="00000000">
            <w:pPr>
              <w:spacing w:before="200" w:after="200"/>
            </w:pPr>
            <w:r>
              <w:t>Realistic job preview, digital portal, manager welcome call, buddy allocation and role-purpose statement</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093959" w14:textId="77777777" w:rsidR="00F67D52" w:rsidRDefault="00000000">
            <w:pPr>
              <w:spacing w:before="200" w:after="200"/>
            </w:pPr>
            <w:r>
              <w:t>Accurate expectations, reduced uncertainty and early connection</w:t>
            </w:r>
          </w:p>
        </w:tc>
      </w:tr>
      <w:tr w:rsidR="00F67D52" w14:paraId="5955895F" w14:textId="77777777">
        <w:trPr>
          <w:trHeight w:val="1040"/>
        </w:trPr>
        <w:tc>
          <w:tcPr>
            <w:tcW w:w="11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EFBBD3" w14:textId="77777777" w:rsidR="00F67D52" w:rsidRDefault="00000000">
            <w:pPr>
              <w:spacing w:before="200" w:after="200"/>
            </w:pPr>
            <w:r>
              <w:t>Days 1–30</w:t>
            </w:r>
          </w:p>
        </w:tc>
        <w:tc>
          <w:tcPr>
            <w:tcW w:w="4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53F67" w14:textId="77777777" w:rsidR="00F67D52" w:rsidRDefault="00000000">
            <w:pPr>
              <w:spacing w:before="200" w:after="200"/>
            </w:pPr>
            <w:r>
              <w:t>Mission workshop, ethical AI training, stakeholder briefing and weekly manager meetings</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5E43A3" w14:textId="77777777" w:rsidR="00F67D52" w:rsidRDefault="00000000">
            <w:pPr>
              <w:spacing w:before="200" w:after="200"/>
            </w:pPr>
            <w:r>
              <w:t>Role clarity, ethical awareness and relationship formation</w:t>
            </w:r>
          </w:p>
        </w:tc>
      </w:tr>
      <w:tr w:rsidR="00F67D52" w14:paraId="7529C848" w14:textId="77777777">
        <w:trPr>
          <w:trHeight w:val="770"/>
        </w:trPr>
        <w:tc>
          <w:tcPr>
            <w:tcW w:w="11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83F474" w14:textId="77777777" w:rsidR="00F67D52" w:rsidRDefault="00000000">
            <w:pPr>
              <w:spacing w:before="200" w:after="200"/>
            </w:pPr>
            <w:r>
              <w:t>Days 31–60</w:t>
            </w:r>
          </w:p>
        </w:tc>
        <w:tc>
          <w:tcPr>
            <w:tcW w:w="4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45D20A" w14:textId="77777777" w:rsidR="00F67D52" w:rsidRDefault="00000000">
            <w:pPr>
              <w:spacing w:before="200" w:after="200"/>
            </w:pPr>
            <w:r>
              <w:t>Cross-functional mobility challenge, job shadowing and global peer networking</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97C9E9" w14:textId="77777777" w:rsidR="00F67D52" w:rsidRDefault="00000000">
            <w:pPr>
              <w:spacing w:before="200" w:after="200"/>
            </w:pPr>
            <w:r>
              <w:t>Collaboration, skills exposure and organisational identification</w:t>
            </w:r>
          </w:p>
        </w:tc>
      </w:tr>
      <w:tr w:rsidR="00F67D52" w14:paraId="17820ED0" w14:textId="77777777">
        <w:trPr>
          <w:trHeight w:val="770"/>
        </w:trPr>
        <w:tc>
          <w:tcPr>
            <w:tcW w:w="11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F56DC9" w14:textId="77777777" w:rsidR="00F67D52" w:rsidRDefault="00000000">
            <w:pPr>
              <w:spacing w:before="200" w:after="200"/>
            </w:pPr>
            <w:r>
              <w:t>Days 61–90</w:t>
            </w:r>
          </w:p>
        </w:tc>
        <w:tc>
          <w:tcPr>
            <w:tcW w:w="4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81AD23" w14:textId="77777777" w:rsidR="00F67D52" w:rsidRDefault="00000000">
            <w:pPr>
              <w:spacing w:before="200" w:after="200"/>
            </w:pPr>
            <w:r>
              <w:t>First meaningful deliverable, multi-source feedback and psychological-contract review</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DBC784" w14:textId="77777777" w:rsidR="00F67D52" w:rsidRDefault="00000000">
            <w:pPr>
              <w:spacing w:before="200" w:after="200"/>
            </w:pPr>
            <w:r>
              <w:t>Early contribution, aligned expectations and confidence</w:t>
            </w:r>
          </w:p>
        </w:tc>
      </w:tr>
      <w:tr w:rsidR="00F67D52" w14:paraId="63168F27" w14:textId="77777777">
        <w:trPr>
          <w:trHeight w:val="770"/>
        </w:trPr>
        <w:tc>
          <w:tcPr>
            <w:tcW w:w="11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7EFEC7" w14:textId="77777777" w:rsidR="00F67D52" w:rsidRDefault="00000000">
            <w:pPr>
              <w:spacing w:before="200" w:after="200"/>
            </w:pPr>
            <w:r>
              <w:t>Months 4–12</w:t>
            </w:r>
          </w:p>
        </w:tc>
        <w:tc>
          <w:tcPr>
            <w:tcW w:w="4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01017D" w14:textId="77777777" w:rsidR="00F67D52" w:rsidRDefault="00000000">
            <w:pPr>
              <w:spacing w:before="200" w:after="200"/>
            </w:pPr>
            <w:r>
              <w:t>Mentoring, quarterly career conversations, internal assignments and skills-profile updates</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31983" w14:textId="77777777" w:rsidR="00F67D52" w:rsidRDefault="00000000">
            <w:pPr>
              <w:spacing w:before="200" w:after="200"/>
            </w:pPr>
            <w:r>
              <w:t>Faster productivity, development and retention</w:t>
            </w:r>
          </w:p>
        </w:tc>
      </w:tr>
    </w:tbl>
    <w:p w14:paraId="737EBFD4" w14:textId="77777777" w:rsidR="00F67D52" w:rsidRDefault="00000000">
      <w:r>
        <w:t>During pre-boarding, employees should receive realistic information about role opportunities and pressures to build trust and manage expectations. In the first month, newcomers should complete mission, values and ethical AI training, supported by weekly manager meetings and a trained buddy. Between days 31 and 60, they should join a cross-functional “City Mobility Challenge” to build networks and share knowledge. By day 90, each newcomer should deliver a visible contribution and complete a structured review. Mentoring, global project exposure and career discussions should continue throughout the first year because socialisation develops over time (Bauer et al., 2025).</w:t>
      </w:r>
    </w:p>
    <w:p w14:paraId="60922119" w14:textId="77777777" w:rsidR="00F67D52" w:rsidRDefault="00000000">
      <w:pPr>
        <w:pStyle w:val="Heading2"/>
      </w:pPr>
      <w:bookmarkStart w:id="3" w:name="_Toc234616799"/>
      <w:r>
        <w:t>1.3 Organisational Identification</w:t>
      </w:r>
      <w:bookmarkEnd w:id="3"/>
    </w:p>
    <w:p w14:paraId="610CAA4D" w14:textId="77777777" w:rsidR="00F67D52" w:rsidRDefault="00000000">
      <w:r>
        <w:t xml:space="preserve">Helios needs to enhance identification by connecting the day-to-day efforts made by the employees with social impact. The presentation Public-client using Public-presentation could </w:t>
      </w:r>
      <w:r>
        <w:lastRenderedPageBreak/>
        <w:t xml:space="preserve">demonstrate the role of an employee contribution in enhancing accessibility, sustainability and urban safety. The </w:t>
      </w:r>
      <w:proofErr w:type="gramStart"/>
      <w:r>
        <w:t>cross location</w:t>
      </w:r>
      <w:proofErr w:type="gramEnd"/>
      <w:r>
        <w:t xml:space="preserve"> communities of practice would also add to a unified identity in the city of London, Berlin and Singapore. Nonetheless, conformity is not supposed to be identification. According to Awan and Abbas (2025), interaction and a sense of membership within an organisation develops identity, so the employee should be given the opportunity to shape the organisation instead of being shaped by the existing standards. Rewards to recognition systems should support value creation (teamwork), ethical challenge and civic good, and not just economic performance. Managers ought to also tell us how team objectives help in the strategic mission of Helios. The cultural intelligence of people and managers makes the difference between the engagement and retention among employees in multicultural groups (Presbitero, Fujimoto and Lim, 2025). Cultural-intelligence training should be therefore given to line managers to make sure that the norms of one location does not prevail in the organisation.</w:t>
      </w:r>
    </w:p>
    <w:p w14:paraId="678250A1" w14:textId="0F594330" w:rsidR="00157224" w:rsidRDefault="00F93375" w:rsidP="00157224">
      <w:pPr>
        <w:jc w:val="center"/>
      </w:pPr>
      <w:r>
        <w:rPr>
          <w:noProof/>
        </w:rPr>
        <w:drawing>
          <wp:inline distT="0" distB="0" distL="0" distR="0" wp14:anchorId="3A652E7A" wp14:editId="5BB56591">
            <wp:extent cx="5733415" cy="2454275"/>
            <wp:effectExtent l="0" t="0" r="635" b="3175"/>
            <wp:docPr id="7023246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3415" cy="2454275"/>
                    </a:xfrm>
                    <a:prstGeom prst="rect">
                      <a:avLst/>
                    </a:prstGeom>
                    <a:noFill/>
                    <a:ln>
                      <a:noFill/>
                    </a:ln>
                  </pic:spPr>
                </pic:pic>
              </a:graphicData>
            </a:graphic>
          </wp:inline>
        </w:drawing>
      </w:r>
    </w:p>
    <w:p w14:paraId="50C1E911" w14:textId="6A0F5BBE" w:rsidR="00F93375" w:rsidRPr="00F93375" w:rsidRDefault="00F93375" w:rsidP="00157224">
      <w:pPr>
        <w:jc w:val="center"/>
        <w:rPr>
          <w:b/>
          <w:bCs/>
        </w:rPr>
      </w:pPr>
      <w:r w:rsidRPr="00F93375">
        <w:rPr>
          <w:b/>
          <w:bCs/>
        </w:rPr>
        <w:t xml:space="preserve">Figure 1: </w:t>
      </w:r>
      <w:r w:rsidRPr="00F93375">
        <w:rPr>
          <w:b/>
          <w:bCs/>
        </w:rPr>
        <w:t xml:space="preserve">Visualization of Urban Mobility Data </w:t>
      </w:r>
    </w:p>
    <w:p w14:paraId="0A51BA16" w14:textId="3848922C" w:rsidR="00F93375" w:rsidRDefault="00F93375" w:rsidP="00F93375">
      <w:pPr>
        <w:jc w:val="center"/>
      </w:pPr>
      <w:r>
        <w:t xml:space="preserve">(Source: </w:t>
      </w:r>
      <w:r w:rsidRPr="00F93375">
        <w:t>Sobral</w:t>
      </w:r>
      <w:r>
        <w:t xml:space="preserve"> et al., 2019)</w:t>
      </w:r>
    </w:p>
    <w:p w14:paraId="3DEE2D3B" w14:textId="77777777" w:rsidR="00F67D52" w:rsidRDefault="00000000">
      <w:pPr>
        <w:pStyle w:val="Heading2"/>
      </w:pPr>
      <w:bookmarkStart w:id="4" w:name="_Toc234616800"/>
      <w:r>
        <w:t>1.4 Ethical Professionalism</w:t>
      </w:r>
      <w:bookmarkEnd w:id="4"/>
    </w:p>
    <w:p w14:paraId="754A016E" w14:textId="77777777" w:rsidR="00F67D52" w:rsidRDefault="00000000">
      <w:r>
        <w:t xml:space="preserve">Ethical professionalism is to be incorporated in the daily decision-making. The tasks of the workers of Helios involve AI, urban infrastructure and data in the public sector, which pose risks related to privacy, fairness of the algorithm, accessibility and safety of people. The new students are to be engaged in the scenario-based practices and the discussion of the ethics </w:t>
      </w:r>
      <w:r>
        <w:lastRenderedPageBreak/>
        <w:t>during the project reviews. The employees should be empowered to criticize unsafe or unfair practice through the support of an effective and well-guarded speaking-up mechanism without fearing any reprisal. Performance criteria should also show some ethical standards. Evaluating employees with regards to stakeholder awareness, sound judgment based on evidence and responsible risk escalation and not just speed or profitability should be considered. This is what forms an impression of professional identity whereby technical competence is coupled with being accountable to the citizens and those that belong to the crowd.</w:t>
      </w:r>
    </w:p>
    <w:p w14:paraId="3325C05D" w14:textId="77777777" w:rsidR="00F67D52" w:rsidRDefault="00000000">
      <w:pPr>
        <w:pStyle w:val="Heading2"/>
      </w:pPr>
      <w:bookmarkStart w:id="5" w:name="_Toc234616801"/>
      <w:r>
        <w:t>1.5 Business Activist Mindset</w:t>
      </w:r>
      <w:bookmarkEnd w:id="5"/>
    </w:p>
    <w:p w14:paraId="4A517CBC" w14:textId="77777777" w:rsidR="00F67D52" w:rsidRDefault="00000000">
      <w:r>
        <w:t xml:space="preserve">The activist mind of business must be both a mixture of business knowledge and positive ethical critique. The employees are obliged to know the revenue model of Helios, the competitive conditions and priorities of clients, though they need to </w:t>
      </w:r>
      <w:proofErr w:type="gramStart"/>
      <w:r>
        <w:t>take into account</w:t>
      </w:r>
      <w:proofErr w:type="gramEnd"/>
      <w:r>
        <w:t xml:space="preserve"> broader consequences of stakeholders. </w:t>
      </w:r>
      <w:proofErr w:type="spellStart"/>
      <w:r>
        <w:t>Cayrat</w:t>
      </w:r>
      <w:proofErr w:type="spellEnd"/>
      <w:r>
        <w:t xml:space="preserve"> and Boxall (2023) reveal simmering situations in the HR role between strategic contribution, employee advocacy and administrative role. Instead of anticipating employees to focus on the business and commercial interests by default, Helios ought to use the tensions as an opportunity. Supporting this approach can be achieved through the principles of stakeholder-capitalism, as the organisational value needs to be perceived not only by shareholders. Biancone et al. (2024) highlight more comprehensive types of value creation and reporting. The employees of Helios should be able to evaluate the decisions made in terms of financial, employee, community and environmental consequences. Stakeholder simulation and ethical challenge forums, commercial-literacy workshops, would assist employees to become organisational citizens who propose concept of strategy and challenge decisions, which jeopardize the trust of the people.</w:t>
      </w:r>
    </w:p>
    <w:p w14:paraId="332B270B" w14:textId="77777777" w:rsidR="00F67D52" w:rsidRDefault="00000000">
      <w:r>
        <w:br w:type="page"/>
      </w:r>
    </w:p>
    <w:p w14:paraId="1985964F" w14:textId="77777777" w:rsidR="00F67D52" w:rsidRDefault="00000000">
      <w:pPr>
        <w:pStyle w:val="Heading1"/>
      </w:pPr>
      <w:bookmarkStart w:id="6" w:name="_Toc234616802"/>
      <w:r>
        <w:lastRenderedPageBreak/>
        <w:t>Task B: Innovative Job Design</w:t>
      </w:r>
      <w:bookmarkEnd w:id="6"/>
    </w:p>
    <w:p w14:paraId="34E408DA" w14:textId="77777777" w:rsidR="00F67D52" w:rsidRDefault="00000000">
      <w:pPr>
        <w:pStyle w:val="Heading2"/>
      </w:pPr>
      <w:bookmarkStart w:id="7" w:name="_Toc234616803"/>
      <w:r>
        <w:t>2.1 Helios 70–20–10 Skills and Mission Model</w:t>
      </w:r>
      <w:bookmarkEnd w:id="7"/>
    </w:p>
    <w:p w14:paraId="2B3456DB" w14:textId="07AFC11B" w:rsidR="00F67D52" w:rsidRDefault="00000000">
      <w:r>
        <w:t xml:space="preserve">Helios needs to use a </w:t>
      </w:r>
      <w:r w:rsidR="00EB3839">
        <w:t>skills-based</w:t>
      </w:r>
      <w:r>
        <w:t xml:space="preserve"> architecture, applied by an internal talent </w:t>
      </w:r>
      <w:proofErr w:type="gramStart"/>
      <w:r>
        <w:t>market place</w:t>
      </w:r>
      <w:proofErr w:type="gramEnd"/>
      <w:r>
        <w:t xml:space="preserve">. With the equations 70-20-10, about 70 of the total hours worked by an employee will be trapped in standard role responsibilities; 20 to be used in cross-functional mission assignments and 10, on learning and guided job crafting. The model would retain accountability but offer more variety, development and mobility within the company. Harney and Gubbins (2024) maintain that a skills-based agenda </w:t>
      </w:r>
      <w:proofErr w:type="gramStart"/>
      <w:r>
        <w:t>is capable of aligning</w:t>
      </w:r>
      <w:proofErr w:type="gramEnd"/>
      <w:r>
        <w:t xml:space="preserve"> human resource development and strategic workforce requirements amid unpredictable surroundings. This would give Heroes more flexibility as compared to fixed job descriptions that would work with Helios. The workers might have sustained but movable duties and transfer the new skills into temporary tasks at cross-site and cross-functional activities.</w:t>
      </w:r>
    </w:p>
    <w:p w14:paraId="72684144" w14:textId="107D27F8" w:rsidR="00886F8C" w:rsidRDefault="00886F8C" w:rsidP="00886F8C">
      <w:pPr>
        <w:jc w:val="center"/>
      </w:pPr>
      <w:r>
        <w:rPr>
          <w:noProof/>
        </w:rPr>
        <w:drawing>
          <wp:inline distT="0" distB="0" distL="0" distR="0" wp14:anchorId="754304AD" wp14:editId="5DD9F636">
            <wp:extent cx="4018651" cy="4550969"/>
            <wp:effectExtent l="0" t="0" r="1270" b="2540"/>
            <wp:docPr id="1815128943" name="Picture 2" descr="The 70:20:10 Methodology – Part 3 - eLearning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70:20:10 Methodology – Part 3 - eLearning Indust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30989" cy="4564942"/>
                    </a:xfrm>
                    <a:prstGeom prst="rect">
                      <a:avLst/>
                    </a:prstGeom>
                    <a:noFill/>
                    <a:ln>
                      <a:noFill/>
                    </a:ln>
                  </pic:spPr>
                </pic:pic>
              </a:graphicData>
            </a:graphic>
          </wp:inline>
        </w:drawing>
      </w:r>
    </w:p>
    <w:p w14:paraId="36B819B4" w14:textId="2A5A3D7C" w:rsidR="00886F8C" w:rsidRPr="00886F8C" w:rsidRDefault="00886F8C" w:rsidP="00886F8C">
      <w:pPr>
        <w:jc w:val="center"/>
        <w:rPr>
          <w:b/>
          <w:bCs/>
        </w:rPr>
      </w:pPr>
      <w:r w:rsidRPr="00886F8C">
        <w:rPr>
          <w:b/>
          <w:bCs/>
        </w:rPr>
        <w:t xml:space="preserve">Figure </w:t>
      </w:r>
      <w:r w:rsidR="00F93375">
        <w:rPr>
          <w:b/>
          <w:bCs/>
        </w:rPr>
        <w:t>2</w:t>
      </w:r>
      <w:r w:rsidRPr="00886F8C">
        <w:rPr>
          <w:b/>
          <w:bCs/>
        </w:rPr>
        <w:t xml:space="preserve">: </w:t>
      </w:r>
      <w:r w:rsidRPr="00886F8C">
        <w:rPr>
          <w:b/>
          <w:bCs/>
        </w:rPr>
        <w:t xml:space="preserve">Five </w:t>
      </w:r>
      <w:r w:rsidRPr="00886F8C">
        <w:rPr>
          <w:b/>
          <w:bCs/>
        </w:rPr>
        <w:t xml:space="preserve">Roles </w:t>
      </w:r>
      <w:r w:rsidRPr="00886F8C">
        <w:rPr>
          <w:b/>
          <w:bCs/>
        </w:rPr>
        <w:t xml:space="preserve">and </w:t>
      </w:r>
      <w:r w:rsidRPr="00886F8C">
        <w:rPr>
          <w:b/>
          <w:bCs/>
        </w:rPr>
        <w:t xml:space="preserve">Critical Tasks </w:t>
      </w:r>
      <w:r w:rsidRPr="00886F8C">
        <w:rPr>
          <w:b/>
          <w:bCs/>
        </w:rPr>
        <w:t xml:space="preserve">of the 70:20:10 </w:t>
      </w:r>
      <w:r w:rsidRPr="00886F8C">
        <w:rPr>
          <w:b/>
          <w:bCs/>
        </w:rPr>
        <w:t>Methodology</w:t>
      </w:r>
    </w:p>
    <w:p w14:paraId="7F4D77C4" w14:textId="3C0CA59B" w:rsidR="00886F8C" w:rsidRDefault="00886F8C" w:rsidP="00886F8C">
      <w:pPr>
        <w:jc w:val="center"/>
      </w:pPr>
      <w:r>
        <w:lastRenderedPageBreak/>
        <w:t xml:space="preserve">(Source: </w:t>
      </w:r>
      <w:proofErr w:type="spellStart"/>
      <w:r w:rsidRPr="00886F8C">
        <w:t>Arets</w:t>
      </w:r>
      <w:proofErr w:type="spellEnd"/>
      <w:r>
        <w:t>, 2021)</w:t>
      </w:r>
    </w:p>
    <w:p w14:paraId="11F4EA3A" w14:textId="77777777" w:rsidR="00F67D52" w:rsidRDefault="00000000">
      <w:pPr>
        <w:pStyle w:val="Heading2"/>
      </w:pPr>
      <w:bookmarkStart w:id="8" w:name="_Toc234616804"/>
      <w:r>
        <w:t>2.2 Application of the Job Characteristics Model</w:t>
      </w:r>
      <w:bookmarkEnd w:id="8"/>
    </w:p>
    <w:p w14:paraId="7BCA5E4D" w14:textId="77777777" w:rsidR="00F67D52" w:rsidRDefault="00000000">
      <w:r>
        <w:t xml:space="preserve">According to the Job Characteristics Model, skill variety, task identity, task significance, autonomy and feedback are the key elements of work-design. As </w:t>
      </w:r>
      <w:proofErr w:type="spellStart"/>
      <w:r>
        <w:t>Cotič</w:t>
      </w:r>
      <w:proofErr w:type="spellEnd"/>
      <w:r>
        <w:t xml:space="preserve"> et al. (2025) correlate these aspects with work engagement, the model is applicable to the 54-percent level of engagement in the Helios.</w:t>
      </w:r>
    </w:p>
    <w:p w14:paraId="1D90A8C2" w14:textId="77777777" w:rsidR="00F67D52" w:rsidRDefault="00000000">
      <w:pPr>
        <w:jc w:val="center"/>
        <w:rPr>
          <w:b/>
          <w:bCs/>
        </w:rPr>
      </w:pPr>
      <w:r>
        <w:rPr>
          <w:b/>
          <w:bCs/>
        </w:rPr>
        <w:t>Table 2: Job Characteristics Model application</w:t>
      </w:r>
    </w:p>
    <w:tbl>
      <w:tblPr>
        <w:tblStyle w:val="a0"/>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2"/>
        <w:gridCol w:w="4828"/>
        <w:gridCol w:w="2575"/>
      </w:tblGrid>
      <w:tr w:rsidR="00F67D52" w14:paraId="3E42F4E8" w14:textId="77777777">
        <w:trPr>
          <w:trHeight w:val="500"/>
        </w:trPr>
        <w:tc>
          <w:tcPr>
            <w:tcW w:w="16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A6ECD2" w14:textId="77777777" w:rsidR="00F67D52" w:rsidRDefault="00000000">
            <w:pPr>
              <w:spacing w:before="200" w:after="200"/>
              <w:jc w:val="center"/>
            </w:pPr>
            <w:r>
              <w:rPr>
                <w:b/>
                <w:bCs/>
              </w:rPr>
              <w:t>Dimension</w:t>
            </w:r>
          </w:p>
        </w:tc>
        <w:tc>
          <w:tcPr>
            <w:tcW w:w="48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D82609" w14:textId="77777777" w:rsidR="00F67D52" w:rsidRDefault="00000000">
            <w:pPr>
              <w:spacing w:before="200" w:after="200"/>
              <w:jc w:val="center"/>
            </w:pPr>
            <w:r>
              <w:rPr>
                <w:b/>
                <w:bCs/>
              </w:rPr>
              <w:t>Helios application</w:t>
            </w:r>
          </w:p>
        </w:tc>
        <w:tc>
          <w:tcPr>
            <w:tcW w:w="2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37D067" w14:textId="77777777" w:rsidR="00F67D52" w:rsidRDefault="00000000">
            <w:pPr>
              <w:spacing w:before="200" w:after="200"/>
              <w:jc w:val="center"/>
            </w:pPr>
            <w:r>
              <w:rPr>
                <w:b/>
                <w:bCs/>
              </w:rPr>
              <w:t>Expected effect</w:t>
            </w:r>
          </w:p>
        </w:tc>
      </w:tr>
      <w:tr w:rsidR="00F67D52" w14:paraId="6167AABD" w14:textId="77777777">
        <w:trPr>
          <w:trHeight w:val="770"/>
        </w:trPr>
        <w:tc>
          <w:tcPr>
            <w:tcW w:w="16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BA3AEE" w14:textId="77777777" w:rsidR="00F67D52" w:rsidRDefault="00000000">
            <w:pPr>
              <w:spacing w:before="200" w:after="200"/>
            </w:pPr>
            <w:r>
              <w:t>Skill variety</w:t>
            </w:r>
          </w:p>
        </w:tc>
        <w:tc>
          <w:tcPr>
            <w:tcW w:w="48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737D59" w14:textId="77777777" w:rsidR="00F67D52" w:rsidRDefault="00000000">
            <w:pPr>
              <w:spacing w:before="200" w:after="200"/>
            </w:pPr>
            <w:r>
              <w:t>Cross-functional projects involving AI, infrastructure and client engagement</w:t>
            </w:r>
          </w:p>
        </w:tc>
        <w:tc>
          <w:tcPr>
            <w:tcW w:w="2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9CA4B6" w14:textId="77777777" w:rsidR="00F67D52" w:rsidRDefault="00000000">
            <w:pPr>
              <w:spacing w:before="200" w:after="200"/>
            </w:pPr>
            <w:r>
              <w:t>Learning and reduced monotony</w:t>
            </w:r>
          </w:p>
        </w:tc>
      </w:tr>
      <w:tr w:rsidR="00F67D52" w14:paraId="213E5268" w14:textId="77777777">
        <w:trPr>
          <w:trHeight w:val="770"/>
        </w:trPr>
        <w:tc>
          <w:tcPr>
            <w:tcW w:w="16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0DFF95" w14:textId="77777777" w:rsidR="00F67D52" w:rsidRDefault="00000000">
            <w:pPr>
              <w:spacing w:before="200" w:after="200"/>
            </w:pPr>
            <w:r>
              <w:t>Task identity</w:t>
            </w:r>
          </w:p>
        </w:tc>
        <w:tc>
          <w:tcPr>
            <w:tcW w:w="48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2D8AF" w14:textId="77777777" w:rsidR="00F67D52" w:rsidRDefault="00000000">
            <w:pPr>
              <w:spacing w:before="200" w:after="200"/>
            </w:pPr>
            <w:r>
              <w:t>End-to-end ownership of a defined project component</w:t>
            </w:r>
          </w:p>
        </w:tc>
        <w:tc>
          <w:tcPr>
            <w:tcW w:w="2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0F9E71" w14:textId="77777777" w:rsidR="00F67D52" w:rsidRDefault="00000000">
            <w:pPr>
              <w:spacing w:before="200" w:after="200"/>
            </w:pPr>
            <w:r>
              <w:t>Stronger responsibility</w:t>
            </w:r>
          </w:p>
        </w:tc>
      </w:tr>
      <w:tr w:rsidR="00F67D52" w14:paraId="40916805" w14:textId="77777777">
        <w:trPr>
          <w:trHeight w:val="770"/>
        </w:trPr>
        <w:tc>
          <w:tcPr>
            <w:tcW w:w="16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EC3546" w14:textId="77777777" w:rsidR="00F67D52" w:rsidRDefault="00000000">
            <w:pPr>
              <w:spacing w:before="200" w:after="200"/>
            </w:pPr>
            <w:r>
              <w:t>Task significance</w:t>
            </w:r>
          </w:p>
        </w:tc>
        <w:tc>
          <w:tcPr>
            <w:tcW w:w="48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C4A1EE" w14:textId="77777777" w:rsidR="00F67D52" w:rsidRDefault="00000000">
            <w:pPr>
              <w:spacing w:before="200" w:after="200"/>
            </w:pPr>
            <w:r>
              <w:t>Clear connection with sustainable and accessible mobility</w:t>
            </w:r>
          </w:p>
        </w:tc>
        <w:tc>
          <w:tcPr>
            <w:tcW w:w="2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85300D" w14:textId="77777777" w:rsidR="00F67D52" w:rsidRDefault="00000000">
            <w:pPr>
              <w:spacing w:before="200" w:after="200"/>
            </w:pPr>
            <w:r>
              <w:t>Greater meaningfulness</w:t>
            </w:r>
          </w:p>
        </w:tc>
      </w:tr>
      <w:tr w:rsidR="00F67D52" w14:paraId="27F8F27B" w14:textId="77777777">
        <w:trPr>
          <w:trHeight w:val="770"/>
        </w:trPr>
        <w:tc>
          <w:tcPr>
            <w:tcW w:w="16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50670D" w14:textId="77777777" w:rsidR="00F67D52" w:rsidRDefault="00000000">
            <w:pPr>
              <w:spacing w:before="200" w:after="200"/>
            </w:pPr>
            <w:r>
              <w:t>Autonomy</w:t>
            </w:r>
          </w:p>
        </w:tc>
        <w:tc>
          <w:tcPr>
            <w:tcW w:w="48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8E3265" w14:textId="77777777" w:rsidR="00F67D52" w:rsidRDefault="00000000">
            <w:pPr>
              <w:spacing w:before="200" w:after="200"/>
            </w:pPr>
            <w:r>
              <w:t>Delegated decisions within technical and ethical boundaries</w:t>
            </w:r>
          </w:p>
        </w:tc>
        <w:tc>
          <w:tcPr>
            <w:tcW w:w="2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3009E9" w14:textId="77777777" w:rsidR="00F67D52" w:rsidRDefault="00000000">
            <w:pPr>
              <w:spacing w:before="200" w:after="200"/>
            </w:pPr>
            <w:r>
              <w:t>Ownership and initiative</w:t>
            </w:r>
          </w:p>
        </w:tc>
      </w:tr>
      <w:tr w:rsidR="00F67D52" w14:paraId="1013AAA7" w14:textId="77777777">
        <w:trPr>
          <w:trHeight w:val="770"/>
        </w:trPr>
        <w:tc>
          <w:tcPr>
            <w:tcW w:w="16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7B336D" w14:textId="77777777" w:rsidR="00F67D52" w:rsidRDefault="00000000">
            <w:pPr>
              <w:spacing w:before="200" w:after="200"/>
            </w:pPr>
            <w:r>
              <w:t>Feedback</w:t>
            </w:r>
          </w:p>
        </w:tc>
        <w:tc>
          <w:tcPr>
            <w:tcW w:w="48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708ECC" w14:textId="77777777" w:rsidR="00F67D52" w:rsidRDefault="00000000">
            <w:pPr>
              <w:spacing w:before="200" w:after="200"/>
            </w:pPr>
            <w:r>
              <w:t>Manager, peer, client and performance-data feedback</w:t>
            </w:r>
          </w:p>
        </w:tc>
        <w:tc>
          <w:tcPr>
            <w:tcW w:w="2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31CC5" w14:textId="77777777" w:rsidR="00F67D52" w:rsidRDefault="00000000">
            <w:pPr>
              <w:spacing w:before="200" w:after="200"/>
            </w:pPr>
            <w:r>
              <w:t>Continuous improvement</w:t>
            </w:r>
          </w:p>
        </w:tc>
      </w:tr>
    </w:tbl>
    <w:p w14:paraId="5D869086" w14:textId="77777777" w:rsidR="00F67D52" w:rsidRDefault="00000000">
      <w:r>
        <w:t xml:space="preserve">The temporary type of work in multidisciplinary teams would augment the skills variety. Task identity would be enhanced as the employees should be able to observe a concrete output by developing just to implementation. The meaning of the work should be reinforced by </w:t>
      </w:r>
      <w:r>
        <w:lastRenderedPageBreak/>
        <w:t xml:space="preserve">elucidating the impact of technical work on commuters, city authorities and environmental performance. Methods and problem solving must be left in the hands of the </w:t>
      </w:r>
      <w:proofErr w:type="gramStart"/>
      <w:r>
        <w:t>employees</w:t>
      </w:r>
      <w:proofErr w:type="gramEnd"/>
      <w:r>
        <w:t xml:space="preserve"> but key choices made on matters of public safety and sensitive information would be under the authority control. Feedback must be a combination of operational measures, coach feedback to manager, peer or stakeholder feedback. The model is not to be applied without questions. The overload due to skill variety and the variation in the decisions </w:t>
      </w:r>
      <w:proofErr w:type="gramStart"/>
      <w:r>
        <w:t>as a result of</w:t>
      </w:r>
      <w:proofErr w:type="gramEnd"/>
      <w:r>
        <w:t xml:space="preserve"> the lack of autonomy in its boundaries may also be observed. The managers </w:t>
      </w:r>
      <w:proofErr w:type="gramStart"/>
      <w:r>
        <w:t>have to</w:t>
      </w:r>
      <w:proofErr w:type="gramEnd"/>
      <w:r>
        <w:t xml:space="preserve"> therefore establish central roles, capacity thresholds, and rights to make decisions. The design of the job also needs to differ in terms of role and not to presume that every employee is motivated by the same aspects of the job.</w:t>
      </w:r>
    </w:p>
    <w:p w14:paraId="0E6345F1" w14:textId="77777777" w:rsidR="00F67D52" w:rsidRDefault="00000000">
      <w:pPr>
        <w:pStyle w:val="Heading2"/>
      </w:pPr>
      <w:bookmarkStart w:id="9" w:name="_Toc234616805"/>
      <w:r>
        <w:t>2.3 Guided Job Crafting</w:t>
      </w:r>
      <w:bookmarkEnd w:id="9"/>
    </w:p>
    <w:p w14:paraId="117ED930" w14:textId="77777777" w:rsidR="00F67D52" w:rsidRDefault="00000000">
      <w:r>
        <w:t>Job crafting would enable the employees to change features in their tasks, relationships and perceptions towards work. Task crafting can include the re-designing of an unproductive process or involvement in a project that needs a skill that is not utilized to the fullest. Relational crafting may involve forming relationships with fellow workers in a different office or getting to know better the local-government stakeholders in the city. Cognitive crafting would motivate workers to relate just day-to-day operations with the publicly stated mission of Helios. Holman et al. (2024) discovered that job crafting produces effects on the outcome of the employees in part due to the changes in job characteristics. Nevertheless, in the absence of restriction to crafting, there could be role ambiguity, work inequality, and overlooked responsibilities. Helios ought to then add in quarterly facilitated job-crafting discussions. Staff would present a change, justify its strategic relevance, who will be impacted and negotiate with their manager measurable results. Job crafting is not to take the place of organisational responsibility. Without resources and support of the management, employees cannot be expected to redesign structurally poor jobs. Helios should initially address the proper workloads, priorities and psychological safety.</w:t>
      </w:r>
    </w:p>
    <w:p w14:paraId="4A5EC77A" w14:textId="77777777" w:rsidR="00F67D52" w:rsidRDefault="00000000">
      <w:pPr>
        <w:pStyle w:val="Heading2"/>
      </w:pPr>
      <w:bookmarkStart w:id="10" w:name="_Toc234616806"/>
      <w:r>
        <w:t>2.4 Skills-Based Architecture and Internal Talent Marketplace</w:t>
      </w:r>
      <w:bookmarkEnd w:id="10"/>
    </w:p>
    <w:p w14:paraId="31176046" w14:textId="77777777" w:rsidR="00F67D52" w:rsidRDefault="00000000">
      <w:r>
        <w:t xml:space="preserve">All the employees must have a verified digital skills passport which includes technical, commercial, ethical, leadership and cross-cultural skills. To compare employee capabilities, the organisation </w:t>
      </w:r>
      <w:proofErr w:type="gramStart"/>
      <w:r>
        <w:t>has to</w:t>
      </w:r>
      <w:proofErr w:type="gramEnd"/>
      <w:r>
        <w:t xml:space="preserve"> set a unified skills taxonomy throughout the three locations, to allow comparisons of the capabilities. The evidence of skills can be in the form of the projects </w:t>
      </w:r>
      <w:r>
        <w:lastRenderedPageBreak/>
        <w:t xml:space="preserve">completed, qualifications, validation and peer endorsement by the managers. The internal talent market would promote the advert of </w:t>
      </w:r>
      <w:proofErr w:type="gramStart"/>
      <w:r>
        <w:t>short term</w:t>
      </w:r>
      <w:proofErr w:type="gramEnd"/>
      <w:r>
        <w:t xml:space="preserve"> projects, mentoring exercises, international assignments and permanent vacancies. Nomination of employees by managers should not be the only option available to the employee but instead he or she should be </w:t>
      </w:r>
      <w:proofErr w:type="gramStart"/>
      <w:r>
        <w:t>in a position</w:t>
      </w:r>
      <w:proofErr w:type="gramEnd"/>
      <w:r>
        <w:t xml:space="preserve"> to apply directly. Jooss et al. (2024) believe that aligning skills can enhance strategic agility as it relates the organisational requirements with available capabilities. The mechanism would be very useful especially to high potential graduate who would otherwise drop out since they do not have any visible growth an avenue in sight.</w:t>
      </w:r>
    </w:p>
    <w:p w14:paraId="68D525CF" w14:textId="77777777" w:rsidR="00F67D52" w:rsidRDefault="00000000">
      <w:pPr>
        <w:jc w:val="center"/>
        <w:rPr>
          <w:b/>
          <w:bCs/>
        </w:rPr>
      </w:pPr>
      <w:r>
        <w:rPr>
          <w:b/>
          <w:bCs/>
        </w:rPr>
        <w:t>Table 3: Talent-marketplace risks and controls</w:t>
      </w:r>
    </w:p>
    <w:tbl>
      <w:tblPr>
        <w:tblStyle w:val="a1"/>
        <w:tblW w:w="802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25"/>
        <w:gridCol w:w="5195"/>
      </w:tblGrid>
      <w:tr w:rsidR="00F67D52" w14:paraId="3EEF38B4" w14:textId="77777777">
        <w:trPr>
          <w:trHeight w:val="500"/>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1861DF" w14:textId="77777777" w:rsidR="00F67D52" w:rsidRDefault="00000000">
            <w:pPr>
              <w:spacing w:before="200" w:after="200"/>
              <w:jc w:val="center"/>
            </w:pPr>
            <w:r>
              <w:rPr>
                <w:b/>
                <w:bCs/>
              </w:rPr>
              <w:t>Risk</w:t>
            </w:r>
          </w:p>
        </w:tc>
        <w:tc>
          <w:tcPr>
            <w:tcW w:w="5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6F8286" w14:textId="77777777" w:rsidR="00F67D52" w:rsidRDefault="00000000">
            <w:pPr>
              <w:spacing w:before="200" w:after="200"/>
              <w:jc w:val="center"/>
            </w:pPr>
            <w:r>
              <w:rPr>
                <w:b/>
                <w:bCs/>
              </w:rPr>
              <w:t>Control</w:t>
            </w:r>
          </w:p>
        </w:tc>
      </w:tr>
      <w:tr w:rsidR="00F67D52" w14:paraId="52839A12" w14:textId="77777777">
        <w:trPr>
          <w:trHeight w:val="500"/>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5F2C0D" w14:textId="77777777" w:rsidR="00F67D52" w:rsidRDefault="00000000">
            <w:pPr>
              <w:spacing w:before="200" w:after="200"/>
            </w:pPr>
            <w:r>
              <w:t>Managerial talent hoarding</w:t>
            </w:r>
          </w:p>
        </w:tc>
        <w:tc>
          <w:tcPr>
            <w:tcW w:w="5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29E6AF" w14:textId="77777777" w:rsidR="00F67D52" w:rsidRDefault="00000000">
            <w:pPr>
              <w:spacing w:before="200" w:after="200"/>
            </w:pPr>
            <w:r>
              <w:t>Transparent applications and HR escalation</w:t>
            </w:r>
          </w:p>
        </w:tc>
      </w:tr>
      <w:tr w:rsidR="00F67D52" w14:paraId="08017ECE" w14:textId="77777777">
        <w:trPr>
          <w:trHeight w:val="500"/>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BA7DDB" w14:textId="77777777" w:rsidR="00F67D52" w:rsidRDefault="00000000">
            <w:pPr>
              <w:spacing w:before="200" w:after="200"/>
            </w:pPr>
            <w:r>
              <w:t>Work overload</w:t>
            </w:r>
          </w:p>
        </w:tc>
        <w:tc>
          <w:tcPr>
            <w:tcW w:w="5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7B01D1" w14:textId="77777777" w:rsidR="00F67D52" w:rsidRDefault="00000000">
            <w:pPr>
              <w:spacing w:before="200" w:after="200"/>
            </w:pPr>
            <w:r>
              <w:t>Maximum project allocation and capacity approval</w:t>
            </w:r>
          </w:p>
        </w:tc>
      </w:tr>
      <w:tr w:rsidR="00F67D52" w14:paraId="63F45C75" w14:textId="77777777">
        <w:trPr>
          <w:trHeight w:val="500"/>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6A4A13" w14:textId="77777777" w:rsidR="00F67D52" w:rsidRDefault="00000000">
            <w:pPr>
              <w:spacing w:before="200" w:after="200"/>
            </w:pPr>
            <w:r>
              <w:t>Algorithmic bias</w:t>
            </w:r>
          </w:p>
        </w:tc>
        <w:tc>
          <w:tcPr>
            <w:tcW w:w="5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A89F4E" w14:textId="77777777" w:rsidR="00F67D52" w:rsidRDefault="00000000">
            <w:pPr>
              <w:spacing w:before="200" w:after="200"/>
            </w:pPr>
            <w:r>
              <w:t>Human review and regular equity audits</w:t>
            </w:r>
          </w:p>
        </w:tc>
      </w:tr>
      <w:tr w:rsidR="00F67D52" w14:paraId="7F24CED7" w14:textId="77777777">
        <w:trPr>
          <w:trHeight w:val="500"/>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8BEEA3" w14:textId="77777777" w:rsidR="00F67D52" w:rsidRDefault="00000000">
            <w:pPr>
              <w:spacing w:before="200" w:after="200"/>
            </w:pPr>
            <w:r>
              <w:t>Unverified skills</w:t>
            </w:r>
          </w:p>
        </w:tc>
        <w:tc>
          <w:tcPr>
            <w:tcW w:w="5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4EBFE8" w14:textId="77777777" w:rsidR="00F67D52" w:rsidRDefault="00000000">
            <w:pPr>
              <w:spacing w:before="200" w:after="200"/>
            </w:pPr>
            <w:r>
              <w:t>Evidence-based validation</w:t>
            </w:r>
          </w:p>
        </w:tc>
      </w:tr>
      <w:tr w:rsidR="00F67D52" w14:paraId="79BFB971" w14:textId="77777777">
        <w:trPr>
          <w:trHeight w:val="500"/>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200AB7" w14:textId="77777777" w:rsidR="00F67D52" w:rsidRDefault="00000000">
            <w:pPr>
              <w:spacing w:before="200" w:after="200"/>
            </w:pPr>
            <w:r>
              <w:t>Unequal global access</w:t>
            </w:r>
          </w:p>
        </w:tc>
        <w:tc>
          <w:tcPr>
            <w:tcW w:w="5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47DB94" w14:textId="77777777" w:rsidR="00F67D52" w:rsidRDefault="00000000">
            <w:pPr>
              <w:spacing w:before="200" w:after="200"/>
            </w:pPr>
            <w:r>
              <w:t>Location and demographic participation monitoring</w:t>
            </w:r>
          </w:p>
        </w:tc>
      </w:tr>
      <w:tr w:rsidR="00F67D52" w14:paraId="47F5D2C9" w14:textId="77777777">
        <w:trPr>
          <w:trHeight w:val="500"/>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3A2DD8" w14:textId="77777777" w:rsidR="00F67D52" w:rsidRDefault="00000000">
            <w:pPr>
              <w:spacing w:before="200" w:after="200"/>
            </w:pPr>
            <w:r>
              <w:t>Role fragmentation</w:t>
            </w:r>
          </w:p>
        </w:tc>
        <w:tc>
          <w:tcPr>
            <w:tcW w:w="5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FD92CF" w14:textId="77777777" w:rsidR="00F67D52" w:rsidRDefault="00000000">
            <w:pPr>
              <w:spacing w:before="200" w:after="200"/>
            </w:pPr>
            <w:r>
              <w:t>Core-accountability statements and team charters</w:t>
            </w:r>
          </w:p>
        </w:tc>
      </w:tr>
    </w:tbl>
    <w:p w14:paraId="3CA43CB7" w14:textId="77777777" w:rsidR="00F67D52" w:rsidRDefault="00000000">
      <w:r>
        <w:t xml:space="preserve">AI might also help by proposing employee-project match(s), yet it should not be the one to make the final allocation. Kim, </w:t>
      </w:r>
      <w:proofErr w:type="spellStart"/>
      <w:r>
        <w:t>Khoreva</w:t>
      </w:r>
      <w:proofErr w:type="spellEnd"/>
      <w:r>
        <w:t xml:space="preserve"> and </w:t>
      </w:r>
      <w:proofErr w:type="spellStart"/>
      <w:r>
        <w:t>Vaiman</w:t>
      </w:r>
      <w:proofErr w:type="spellEnd"/>
      <w:r>
        <w:t xml:space="preserve"> (2025) caution that algorithmic technologies bring about strategic opportunities and governance and fairness issues. There is then </w:t>
      </w:r>
      <w:proofErr w:type="gramStart"/>
      <w:r>
        <w:t>need</w:t>
      </w:r>
      <w:proofErr w:type="gramEnd"/>
      <w:r>
        <w:t xml:space="preserve"> to have human review </w:t>
      </w:r>
      <w:proofErr w:type="gramStart"/>
      <w:r>
        <w:t>in order to</w:t>
      </w:r>
      <w:proofErr w:type="gramEnd"/>
      <w:r>
        <w:t xml:space="preserve"> take into consideration motivation, workload, developmental need and contextual knowledge.</w:t>
      </w:r>
    </w:p>
    <w:p w14:paraId="03BA0E34" w14:textId="77777777" w:rsidR="00F67D52" w:rsidRDefault="00000000">
      <w:pPr>
        <w:pStyle w:val="Heading2"/>
      </w:pPr>
      <w:bookmarkStart w:id="11" w:name="_Toc234616807"/>
      <w:r>
        <w:lastRenderedPageBreak/>
        <w:t>2.5 Intrinsic Motivation and Innovation</w:t>
      </w:r>
      <w:bookmarkEnd w:id="11"/>
    </w:p>
    <w:p w14:paraId="13BF8C94" w14:textId="77777777" w:rsidR="00F67D52" w:rsidRDefault="00000000">
      <w:r>
        <w:t>The design would enhance the intrinsic motivation via autonomy, competence, meaningful work and belonging. The increasing workers would enjoy more task selection, endless learning and apparent internal mobility. Cross-location teams that comprise of technical, cultural and functional expertise would facilitate innovation. Running AI can make people more creative provided that appropriate organisational environments are assisted (Jia et al., 2024). In turn, Human expertise and experimentation time and psychological safety should be combined with AI tools by Helios. The feedback would be provided by both the city clients and users to refine ideas, and learning, sharing of knowledge and responsible experimentation should be rewarded. In general, innovation, strategic nimbleness and graduate retention would be enabled through the model.</w:t>
      </w:r>
    </w:p>
    <w:p w14:paraId="277469AF" w14:textId="261F7688" w:rsidR="00157224" w:rsidRDefault="00157224" w:rsidP="00157224">
      <w:pPr>
        <w:jc w:val="center"/>
      </w:pPr>
      <w:r>
        <w:rPr>
          <w:noProof/>
        </w:rPr>
        <w:drawing>
          <wp:inline distT="0" distB="0" distL="0" distR="0" wp14:anchorId="5622D564" wp14:editId="17048CE2">
            <wp:extent cx="5897815" cy="2757805"/>
            <wp:effectExtent l="0" t="0" r="8255" b="4445"/>
            <wp:docPr id="3618321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50918" cy="2782636"/>
                    </a:xfrm>
                    <a:prstGeom prst="rect">
                      <a:avLst/>
                    </a:prstGeom>
                    <a:noFill/>
                  </pic:spPr>
                </pic:pic>
              </a:graphicData>
            </a:graphic>
          </wp:inline>
        </w:drawing>
      </w:r>
    </w:p>
    <w:p w14:paraId="7404F502" w14:textId="2CAF49F7" w:rsidR="00157224" w:rsidRPr="00F93375" w:rsidRDefault="00157224" w:rsidP="00157224">
      <w:pPr>
        <w:jc w:val="center"/>
        <w:rPr>
          <w:b/>
          <w:bCs/>
        </w:rPr>
      </w:pPr>
      <w:r w:rsidRPr="00F93375">
        <w:rPr>
          <w:b/>
          <w:bCs/>
        </w:rPr>
        <w:t xml:space="preserve">Figure </w:t>
      </w:r>
      <w:r w:rsidR="00F93375" w:rsidRPr="00F93375">
        <w:rPr>
          <w:b/>
          <w:bCs/>
        </w:rPr>
        <w:t>3</w:t>
      </w:r>
      <w:r w:rsidRPr="00F93375">
        <w:rPr>
          <w:b/>
          <w:bCs/>
        </w:rPr>
        <w:t xml:space="preserve">: </w:t>
      </w:r>
      <w:r w:rsidR="00F93375" w:rsidRPr="00F93375">
        <w:rPr>
          <w:b/>
          <w:bCs/>
        </w:rPr>
        <w:t>Intrinsic Motivation</w:t>
      </w:r>
    </w:p>
    <w:p w14:paraId="60F6EBAF" w14:textId="6F93F780" w:rsidR="00F93375" w:rsidRPr="00F93375" w:rsidRDefault="00157224" w:rsidP="00F93375">
      <w:pPr>
        <w:jc w:val="center"/>
      </w:pPr>
      <w:r>
        <w:t xml:space="preserve">(Source: </w:t>
      </w:r>
      <w:r w:rsidRPr="00157224">
        <w:t>Fischer</w:t>
      </w:r>
      <w:r>
        <w:t xml:space="preserve"> et al., 2019)</w:t>
      </w:r>
      <w:bookmarkStart w:id="12" w:name="_Toc234616808"/>
    </w:p>
    <w:p w14:paraId="03506C0E" w14:textId="76C042F2" w:rsidR="00F67D52" w:rsidRDefault="00000000">
      <w:pPr>
        <w:pStyle w:val="Heading1"/>
      </w:pPr>
      <w:r>
        <w:t>Part 3: Reflective Report</w:t>
      </w:r>
      <w:bookmarkEnd w:id="12"/>
    </w:p>
    <w:p w14:paraId="3F4DFC59" w14:textId="77777777" w:rsidR="00F67D52" w:rsidRDefault="00000000">
      <w:pPr>
        <w:pStyle w:val="Heading2"/>
      </w:pPr>
      <w:bookmarkStart w:id="13" w:name="_Toc234616809"/>
      <w:r>
        <w:t>3.1 AI as a Decision-Support Tool</w:t>
      </w:r>
      <w:bookmarkEnd w:id="13"/>
    </w:p>
    <w:p w14:paraId="2DD6C311" w14:textId="77777777" w:rsidR="00F67D52" w:rsidRDefault="00000000">
      <w:r>
        <w:t xml:space="preserve">I would have AI as an assistant and not as a substitute to my professional judgement. With AI, I might do things in HR that are presently beyond my reach: summarising comments provided </w:t>
      </w:r>
      <w:r>
        <w:lastRenderedPageBreak/>
        <w:t xml:space="preserve">by employees via surveys, identifying potential trends of attrition, determining talent shortages and making comparisons of workforce situations. It might also imply employee-projects matches within the company. Even an apparently accurate output can, however, indicate an incomplete data, a biased assumptions or inappropriate performance indicators. Prior to using an AI-generated suggestion, I would check to determine the source of the data, </w:t>
      </w:r>
      <w:proofErr w:type="gramStart"/>
      <w:r>
        <w:t>look into</w:t>
      </w:r>
      <w:proofErr w:type="gramEnd"/>
      <w:r>
        <w:t xml:space="preserve"> the gaps in it and look at the workers who may be the losers. Rodgers et al. (2023) show that the values and decision-making must be explicitly taken into consideration to achieve ethical AI-assisted HR decision-making. I would then adopt a 6 steps protocol; define decision, check that data are lawful and relevant and verify assumptions and test for bias, apply human judgement and record the rationale at the end. I would not allow AI to make decisions regarding the dismissal, promotion, the performance rating, or access to development independently. Kim, </w:t>
      </w:r>
      <w:proofErr w:type="spellStart"/>
      <w:r>
        <w:t>Khoreva</w:t>
      </w:r>
      <w:proofErr w:type="spellEnd"/>
      <w:r>
        <w:t xml:space="preserve"> and </w:t>
      </w:r>
      <w:proofErr w:type="spellStart"/>
      <w:r>
        <w:t>Vaiman</w:t>
      </w:r>
      <w:proofErr w:type="spellEnd"/>
      <w:r>
        <w:t xml:space="preserve"> (2025) stress that algorithmic technologies must be governed and remain on the human shoulders. There should also be comprehensible explanations of the decisions to employees, as well as, to allow challenges to decisions.</w:t>
      </w:r>
    </w:p>
    <w:p w14:paraId="230640C3" w14:textId="77777777" w:rsidR="00F67D52" w:rsidRDefault="00000000">
      <w:pPr>
        <w:pStyle w:val="Heading2"/>
      </w:pPr>
      <w:bookmarkStart w:id="14" w:name="_Toc234616810"/>
      <w:r>
        <w:t>3.2 Personal Capability Development Plan</w:t>
      </w:r>
      <w:bookmarkEnd w:id="14"/>
    </w:p>
    <w:p w14:paraId="41EF4DA9" w14:textId="77777777" w:rsidR="00F67D52" w:rsidRDefault="00000000">
      <w:r>
        <w:t>My priority is first to be data literate. I will have enrolled an HR analytics course and created a dashboard that will interpret the engagement, retention and skills data within three months. The indicator of improvement will be the capacity of being able to describe relationships, limitations and alternative interpretations, other than just display visual output.</w:t>
      </w:r>
    </w:p>
    <w:p w14:paraId="1483178D" w14:textId="77777777" w:rsidR="00F67D52" w:rsidRDefault="00000000">
      <w:r>
        <w:t>Second, to enhance AI augmentation, I will test an HR use case monthly within 6 months. Prompts, errors, bias risks and validation decisions will be put on a reflective log. Third, I will become a better strategic influencer through preparing evidence-based recommendations to various audience groups and getting the feedback on clarity, commercial relevance, and awareness of stakeholders.</w:t>
      </w:r>
    </w:p>
    <w:p w14:paraId="042B36D2" w14:textId="77777777" w:rsidR="00F67D52" w:rsidRDefault="00000000">
      <w:r>
        <w:t xml:space="preserve">Lastly, I will gain some global-mobility and cultural-awareness skills. In the next nine months, I will have a comparative briefing on workforce considerations in the UK, Germany and Singapore. Ridgway and </w:t>
      </w:r>
      <w:proofErr w:type="spellStart"/>
      <w:r>
        <w:t>Langinier</w:t>
      </w:r>
      <w:proofErr w:type="spellEnd"/>
      <w:r>
        <w:t xml:space="preserve"> (2023) present evidence that the stability and altering international employment patterns are defining global mobility. I will thus look at cultural, legal and employee-support implications other than viewing mobility as an administrative process. Presbitero, Fujimoto and Lim (2025) indicate the significance of cultural intelligence in multicultural engagement and retention of employees too. A mentor and I will review </w:t>
      </w:r>
      <w:r>
        <w:lastRenderedPageBreak/>
        <w:t xml:space="preserve">progress after every two </w:t>
      </w:r>
      <w:proofErr w:type="gramStart"/>
      <w:r>
        <w:t>months, and</w:t>
      </w:r>
      <w:proofErr w:type="gramEnd"/>
      <w:r>
        <w:t xml:space="preserve"> renovate the plan as evidence indicates emerging development requirements.</w:t>
      </w:r>
      <w:r>
        <w:br w:type="page"/>
      </w:r>
    </w:p>
    <w:p w14:paraId="08E2CB6B" w14:textId="77777777" w:rsidR="00F67D52" w:rsidRDefault="00000000">
      <w:pPr>
        <w:pStyle w:val="Heading1"/>
      </w:pPr>
      <w:bookmarkStart w:id="15" w:name="_Toc234616811"/>
      <w:r>
        <w:lastRenderedPageBreak/>
        <w:t>References</w:t>
      </w:r>
      <w:bookmarkEnd w:id="15"/>
    </w:p>
    <w:p w14:paraId="6C706D4E" w14:textId="77777777" w:rsidR="00F93375" w:rsidRDefault="00F93375" w:rsidP="00F93375">
      <w:r w:rsidRPr="00157224">
        <w:t xml:space="preserve">Fischer, C., </w:t>
      </w:r>
      <w:proofErr w:type="spellStart"/>
      <w:r w:rsidRPr="00157224">
        <w:t>Malycha</w:t>
      </w:r>
      <w:proofErr w:type="spellEnd"/>
      <w:r w:rsidRPr="00157224">
        <w:t>, C.P. and Schafmann, E., 2019. The influence of intrinsic motivation and synergistic extrinsic motivators on creativity and innovation. </w:t>
      </w:r>
      <w:r w:rsidRPr="00157224">
        <w:rPr>
          <w:i/>
          <w:iCs/>
        </w:rPr>
        <w:t>Frontiers in psychology</w:t>
      </w:r>
      <w:r w:rsidRPr="00157224">
        <w:t>, </w:t>
      </w:r>
      <w:r w:rsidRPr="00157224">
        <w:rPr>
          <w:i/>
          <w:iCs/>
        </w:rPr>
        <w:t>10</w:t>
      </w:r>
      <w:r w:rsidRPr="00157224">
        <w:t>, p.137.</w:t>
      </w:r>
      <w:r>
        <w:t xml:space="preserve"> </w:t>
      </w:r>
      <w:hyperlink r:id="rId11" w:history="1">
        <w:r w:rsidRPr="004D0A13">
          <w:rPr>
            <w:rStyle w:val="Hyperlink"/>
          </w:rPr>
          <w:t>https://www.frontiersin.org/journals/psychology/articles/10.3389/fpsyg.2019.00137/pdf</w:t>
        </w:r>
      </w:hyperlink>
      <w:r>
        <w:t xml:space="preserve"> </w:t>
      </w:r>
    </w:p>
    <w:p w14:paraId="5D3ED42B" w14:textId="353925EB" w:rsidR="00F93375" w:rsidRDefault="00F93375" w:rsidP="00F93375">
      <w:proofErr w:type="spellStart"/>
      <w:r>
        <w:t>Arets</w:t>
      </w:r>
      <w:proofErr w:type="spellEnd"/>
      <w:r>
        <w:t xml:space="preserve">, J., 2021. The 70:20:10 Methodology – Part 3 - eLearning Industry. </w:t>
      </w:r>
      <w:hyperlink r:id="rId12" w:history="1">
        <w:r w:rsidRPr="00A143C1">
          <w:rPr>
            <w:rStyle w:val="Hyperlink"/>
          </w:rPr>
          <w:t>https://elearningindustry.com/70-20-10-methodology-part-3</w:t>
        </w:r>
      </w:hyperlink>
      <w:r>
        <w:t xml:space="preserve"> </w:t>
      </w:r>
    </w:p>
    <w:p w14:paraId="7FF691FB" w14:textId="12DBF663" w:rsidR="00F93375" w:rsidRPr="00F93375" w:rsidRDefault="00F93375" w:rsidP="00F93375">
      <w:r w:rsidRPr="00F93375">
        <w:t>Sobral, T., Galvão, T. and Borges, J., 2019. Visualization of urban mobility data from intelligent transportation systems. </w:t>
      </w:r>
      <w:r w:rsidRPr="00F93375">
        <w:rPr>
          <w:i/>
          <w:iCs/>
        </w:rPr>
        <w:t>Sensors</w:t>
      </w:r>
      <w:r w:rsidRPr="00F93375">
        <w:t>, </w:t>
      </w:r>
      <w:r w:rsidRPr="00F93375">
        <w:rPr>
          <w:i/>
          <w:iCs/>
        </w:rPr>
        <w:t>19</w:t>
      </w:r>
      <w:r w:rsidRPr="00F93375">
        <w:t>(2), p.332.</w:t>
      </w:r>
      <w:r>
        <w:t xml:space="preserve"> </w:t>
      </w:r>
      <w:hyperlink r:id="rId13" w:history="1">
        <w:r w:rsidRPr="004D0A13">
          <w:rPr>
            <w:rStyle w:val="Hyperlink"/>
          </w:rPr>
          <w:t>https://www.mdpi.com/1424-8220/19/2/332</w:t>
        </w:r>
      </w:hyperlink>
    </w:p>
    <w:p w14:paraId="69E387DC" w14:textId="62F584DA" w:rsidR="00EB3839" w:rsidRDefault="00EB3839">
      <w:pPr>
        <w:spacing w:before="200" w:after="200"/>
      </w:pPr>
      <w:r>
        <w:rPr>
          <w:color w:val="222222"/>
          <w:highlight w:val="white"/>
        </w:rPr>
        <w:t xml:space="preserve">Awan, N.A. and Abbas, M., 2025. Organizational socialization strategies and newcomers' identity development: A social identity perspective. </w:t>
      </w:r>
      <w:r>
        <w:rPr>
          <w:i/>
          <w:iCs/>
          <w:color w:val="222222"/>
          <w:highlight w:val="white"/>
        </w:rPr>
        <w:t>Human Resource Development Quarterly</w:t>
      </w:r>
      <w:r>
        <w:rPr>
          <w:color w:val="222222"/>
          <w:highlight w:val="white"/>
        </w:rPr>
        <w:t xml:space="preserve">, </w:t>
      </w:r>
      <w:r>
        <w:rPr>
          <w:i/>
          <w:iCs/>
          <w:color w:val="222222"/>
          <w:highlight w:val="white"/>
        </w:rPr>
        <w:t>36</w:t>
      </w:r>
      <w:r>
        <w:rPr>
          <w:color w:val="222222"/>
          <w:highlight w:val="white"/>
        </w:rPr>
        <w:t>(1), pp.69-87.</w:t>
      </w:r>
      <w:hyperlink r:id="rId14">
        <w:r>
          <w:rPr>
            <w:color w:val="1155CC"/>
            <w:u w:val="single"/>
          </w:rPr>
          <w:t>https://www.researchgate.net/profile/Muhammad-Abbas-39/publication/379907906_Organizational_socialization_strategies_and_newcomers'_identity_development_A_social_identity_perspective/links/6643a6aa3524304153a739e3/Organizational-socialization-strategies-and-newcomers-identity-development-A-social-identity-perspective.pdf</w:t>
        </w:r>
      </w:hyperlink>
      <w:r>
        <w:t xml:space="preserve"> </w:t>
      </w:r>
    </w:p>
    <w:p w14:paraId="58DFF962" w14:textId="77777777" w:rsidR="00EB3839" w:rsidRDefault="00EB3839">
      <w:pPr>
        <w:spacing w:before="200" w:after="200"/>
      </w:pPr>
      <w:r>
        <w:rPr>
          <w:color w:val="222222"/>
          <w:highlight w:val="white"/>
        </w:rPr>
        <w:t xml:space="preserve">Bauer, T.N., Erdogan, B., Ellis, A.M., Truxillo, D.M., Brady, G.M. and Bodner, T., 2025. New horizons for newcomer organizational socialization: A review, meta-analysis, and future research directions. </w:t>
      </w:r>
      <w:r>
        <w:rPr>
          <w:i/>
          <w:iCs/>
          <w:color w:val="222222"/>
          <w:highlight w:val="white"/>
        </w:rPr>
        <w:t>Journal of Management</w:t>
      </w:r>
      <w:r>
        <w:rPr>
          <w:color w:val="222222"/>
          <w:highlight w:val="white"/>
        </w:rPr>
        <w:t xml:space="preserve">, </w:t>
      </w:r>
      <w:r>
        <w:rPr>
          <w:i/>
          <w:iCs/>
          <w:color w:val="222222"/>
          <w:highlight w:val="white"/>
        </w:rPr>
        <w:t>51</w:t>
      </w:r>
      <w:r>
        <w:rPr>
          <w:color w:val="222222"/>
          <w:highlight w:val="white"/>
        </w:rPr>
        <w:t>(1), pp.344-382.</w:t>
      </w:r>
      <w:hyperlink r:id="rId15">
        <w:r>
          <w:rPr>
            <w:color w:val="1155CC"/>
            <w:u w:val="single"/>
          </w:rPr>
          <w:t>https://journals.sagepub.com/doi/pdf/10.1177/01492063241277168</w:t>
        </w:r>
      </w:hyperlink>
      <w:r>
        <w:t xml:space="preserve"> </w:t>
      </w:r>
    </w:p>
    <w:p w14:paraId="236F051C" w14:textId="77777777" w:rsidR="00EB3839" w:rsidRDefault="00EB3839">
      <w:pPr>
        <w:spacing w:before="200" w:after="200"/>
      </w:pPr>
      <w:r>
        <w:rPr>
          <w:color w:val="222222"/>
          <w:highlight w:val="white"/>
        </w:rPr>
        <w:t xml:space="preserve">Biancone, P.P., </w:t>
      </w:r>
      <w:proofErr w:type="spellStart"/>
      <w:r>
        <w:rPr>
          <w:color w:val="222222"/>
          <w:highlight w:val="white"/>
        </w:rPr>
        <w:t>Secinaro</w:t>
      </w:r>
      <w:proofErr w:type="spellEnd"/>
      <w:r>
        <w:rPr>
          <w:color w:val="222222"/>
          <w:highlight w:val="white"/>
        </w:rPr>
        <w:t xml:space="preserve">, S., Brescia, V. and Calandra, D., 2024. Which direction for stakeholder capitalism? Approaches and reporting towards POP accounting. </w:t>
      </w:r>
      <w:r>
        <w:rPr>
          <w:i/>
          <w:iCs/>
          <w:color w:val="222222"/>
          <w:highlight w:val="white"/>
        </w:rPr>
        <w:t>Sustainable Development</w:t>
      </w:r>
      <w:r>
        <w:rPr>
          <w:color w:val="222222"/>
          <w:highlight w:val="white"/>
        </w:rPr>
        <w:t xml:space="preserve">, </w:t>
      </w:r>
      <w:r>
        <w:rPr>
          <w:i/>
          <w:iCs/>
          <w:color w:val="222222"/>
          <w:highlight w:val="white"/>
        </w:rPr>
        <w:t>32</w:t>
      </w:r>
      <w:r>
        <w:rPr>
          <w:color w:val="222222"/>
          <w:highlight w:val="white"/>
        </w:rPr>
        <w:t>(6), pp.6579-6594.</w:t>
      </w:r>
      <w:hyperlink r:id="rId16">
        <w:r>
          <w:rPr>
            <w:color w:val="1155CC"/>
            <w:u w:val="single"/>
          </w:rPr>
          <w:t>https://onlinelibrary.wiley.com/doi/pdf/10.1002/sd.3052</w:t>
        </w:r>
      </w:hyperlink>
      <w:r>
        <w:t xml:space="preserve"> </w:t>
      </w:r>
    </w:p>
    <w:p w14:paraId="7523DB36" w14:textId="77777777" w:rsidR="00EB3839" w:rsidRDefault="00EB3839">
      <w:pPr>
        <w:spacing w:before="200" w:after="200"/>
      </w:pPr>
      <w:proofErr w:type="spellStart"/>
      <w:r>
        <w:rPr>
          <w:color w:val="222222"/>
          <w:highlight w:val="white"/>
        </w:rPr>
        <w:t>Cayrat</w:t>
      </w:r>
      <w:proofErr w:type="spellEnd"/>
      <w:r>
        <w:rPr>
          <w:color w:val="222222"/>
          <w:highlight w:val="white"/>
        </w:rPr>
        <w:t xml:space="preserve">, C. and Boxall, P., 2023. The roles of the HR function: A systematic review of tensions, continuity and change. </w:t>
      </w:r>
      <w:r>
        <w:rPr>
          <w:i/>
          <w:iCs/>
          <w:color w:val="222222"/>
          <w:highlight w:val="white"/>
        </w:rPr>
        <w:t>Human Resource Management Review</w:t>
      </w:r>
      <w:r>
        <w:rPr>
          <w:color w:val="222222"/>
          <w:highlight w:val="white"/>
        </w:rPr>
        <w:t xml:space="preserve">, </w:t>
      </w:r>
      <w:r>
        <w:rPr>
          <w:i/>
          <w:iCs/>
          <w:color w:val="222222"/>
          <w:highlight w:val="white"/>
        </w:rPr>
        <w:t>33</w:t>
      </w:r>
      <w:r>
        <w:rPr>
          <w:color w:val="222222"/>
          <w:highlight w:val="white"/>
        </w:rPr>
        <w:t>(4), p.100984.</w:t>
      </w:r>
      <w:hyperlink r:id="rId17">
        <w:r>
          <w:rPr>
            <w:color w:val="1155CC"/>
            <w:u w:val="single"/>
          </w:rPr>
          <w:t>https://www.sciencedirect.com/science/article/pii/S1053482223000372</w:t>
        </w:r>
      </w:hyperlink>
      <w:r>
        <w:t xml:space="preserve"> </w:t>
      </w:r>
    </w:p>
    <w:p w14:paraId="7B9D90DD" w14:textId="77777777" w:rsidR="00EB3839" w:rsidRDefault="00EB3839">
      <w:pPr>
        <w:spacing w:before="200" w:after="200"/>
      </w:pPr>
      <w:proofErr w:type="spellStart"/>
      <w:r>
        <w:rPr>
          <w:color w:val="222222"/>
          <w:highlight w:val="white"/>
        </w:rPr>
        <w:t>Cotič</w:t>
      </w:r>
      <w:proofErr w:type="spellEnd"/>
      <w:r>
        <w:rPr>
          <w:color w:val="222222"/>
          <w:highlight w:val="white"/>
        </w:rPr>
        <w:t xml:space="preserve">, L.P., Man, M.M.K., Soga, L.R., Konstantopoulou, A. and </w:t>
      </w:r>
      <w:proofErr w:type="spellStart"/>
      <w:r>
        <w:rPr>
          <w:color w:val="222222"/>
          <w:highlight w:val="white"/>
        </w:rPr>
        <w:t>Lodorfos</w:t>
      </w:r>
      <w:proofErr w:type="spellEnd"/>
      <w:r>
        <w:rPr>
          <w:color w:val="222222"/>
          <w:highlight w:val="white"/>
        </w:rPr>
        <w:t xml:space="preserve">, G., 2025. Job characteristics for work engagement: autonomy, feedback, skill variety, task identity, and task </w:t>
      </w:r>
      <w:r>
        <w:rPr>
          <w:color w:val="222222"/>
          <w:highlight w:val="white"/>
        </w:rPr>
        <w:lastRenderedPageBreak/>
        <w:t xml:space="preserve">significance. </w:t>
      </w:r>
      <w:r>
        <w:rPr>
          <w:i/>
          <w:iCs/>
          <w:color w:val="222222"/>
          <w:highlight w:val="white"/>
        </w:rPr>
        <w:t>Global Business and Organizational Excellence</w:t>
      </w:r>
      <w:r>
        <w:rPr>
          <w:color w:val="222222"/>
          <w:highlight w:val="white"/>
        </w:rPr>
        <w:t xml:space="preserve">, </w:t>
      </w:r>
      <w:r>
        <w:rPr>
          <w:i/>
          <w:iCs/>
          <w:color w:val="222222"/>
          <w:highlight w:val="white"/>
        </w:rPr>
        <w:t>44</w:t>
      </w:r>
      <w:r>
        <w:rPr>
          <w:color w:val="222222"/>
          <w:highlight w:val="white"/>
        </w:rPr>
        <w:t>(5), pp.75-85.</w:t>
      </w:r>
      <w:hyperlink r:id="rId18">
        <w:r>
          <w:rPr>
            <w:color w:val="1155CC"/>
            <w:u w:val="single"/>
          </w:rPr>
          <w:t>https://onlinelibrary.wiley.com/doi/pdf/10.1002/joe.22295</w:t>
        </w:r>
      </w:hyperlink>
      <w:r>
        <w:t xml:space="preserve"> </w:t>
      </w:r>
    </w:p>
    <w:p w14:paraId="66CB5E00" w14:textId="77777777" w:rsidR="00EB3839" w:rsidRDefault="00EB3839">
      <w:pPr>
        <w:spacing w:before="200" w:after="200"/>
      </w:pPr>
      <w:r>
        <w:rPr>
          <w:color w:val="222222"/>
          <w:highlight w:val="white"/>
        </w:rPr>
        <w:t xml:space="preserve">Gray, T.W., Zabinski, A.M., Fu, S. and Darden, T.R., 2025. That's Not What I Was Promised! Psychological Contracts and Quiet Quitting. </w:t>
      </w:r>
      <w:r>
        <w:rPr>
          <w:i/>
          <w:iCs/>
          <w:color w:val="222222"/>
          <w:highlight w:val="white"/>
        </w:rPr>
        <w:t>Human Resource Management</w:t>
      </w:r>
      <w:r>
        <w:rPr>
          <w:color w:val="222222"/>
          <w:highlight w:val="white"/>
        </w:rPr>
        <w:t xml:space="preserve">, </w:t>
      </w:r>
      <w:r>
        <w:rPr>
          <w:i/>
          <w:iCs/>
          <w:color w:val="222222"/>
          <w:highlight w:val="white"/>
        </w:rPr>
        <w:t>64</w:t>
      </w:r>
      <w:r>
        <w:rPr>
          <w:color w:val="222222"/>
          <w:highlight w:val="white"/>
        </w:rPr>
        <w:t>(6), pp.1833-1863.</w:t>
      </w:r>
      <w:hyperlink r:id="rId19">
        <w:r>
          <w:rPr>
            <w:color w:val="1155CC"/>
            <w:u w:val="single"/>
          </w:rPr>
          <w:t>https://onlinelibrary.wiley.com/doi/pdf/10.1002/hrm.70011</w:t>
        </w:r>
      </w:hyperlink>
      <w:r>
        <w:t xml:space="preserve"> </w:t>
      </w:r>
    </w:p>
    <w:p w14:paraId="22E21F9C" w14:textId="77777777" w:rsidR="00EB3839" w:rsidRDefault="00EB3839">
      <w:pPr>
        <w:spacing w:before="200" w:after="200"/>
      </w:pPr>
      <w:r>
        <w:rPr>
          <w:color w:val="222222"/>
          <w:highlight w:val="white"/>
        </w:rPr>
        <w:t xml:space="preserve">Harney, B. and Gubbins, C., 2024. Human Resource Development (HRD) meets Human Resource Management (HRM): A </w:t>
      </w:r>
      <w:proofErr w:type="gramStart"/>
      <w:r>
        <w:rPr>
          <w:color w:val="222222"/>
          <w:highlight w:val="white"/>
        </w:rPr>
        <w:t>skills based</w:t>
      </w:r>
      <w:proofErr w:type="gramEnd"/>
      <w:r>
        <w:rPr>
          <w:color w:val="222222"/>
          <w:highlight w:val="white"/>
        </w:rPr>
        <w:t xml:space="preserve"> agenda for a FRAGILE world order. </w:t>
      </w:r>
      <w:r>
        <w:rPr>
          <w:i/>
          <w:iCs/>
          <w:color w:val="222222"/>
          <w:highlight w:val="white"/>
        </w:rPr>
        <w:t>Advances in Developing Human Resources</w:t>
      </w:r>
      <w:r>
        <w:rPr>
          <w:color w:val="222222"/>
          <w:highlight w:val="white"/>
        </w:rPr>
        <w:t xml:space="preserve">, </w:t>
      </w:r>
      <w:r>
        <w:rPr>
          <w:i/>
          <w:iCs/>
          <w:color w:val="222222"/>
          <w:highlight w:val="white"/>
        </w:rPr>
        <w:t>26</w:t>
      </w:r>
      <w:r>
        <w:rPr>
          <w:color w:val="222222"/>
          <w:highlight w:val="white"/>
        </w:rPr>
        <w:t>(4), pp.160-178.</w:t>
      </w:r>
      <w:hyperlink r:id="rId20">
        <w:r>
          <w:rPr>
            <w:color w:val="1155CC"/>
            <w:u w:val="single"/>
          </w:rPr>
          <w:t>https://journals.sagepub.com/doi/pdf/10.1177/15234223241267922</w:t>
        </w:r>
      </w:hyperlink>
      <w:r>
        <w:t xml:space="preserve"> </w:t>
      </w:r>
    </w:p>
    <w:p w14:paraId="57E375F1" w14:textId="77777777" w:rsidR="00EB3839" w:rsidRDefault="00EB3839">
      <w:pPr>
        <w:spacing w:before="200" w:after="200"/>
      </w:pPr>
      <w:r>
        <w:rPr>
          <w:color w:val="222222"/>
          <w:highlight w:val="white"/>
        </w:rPr>
        <w:t xml:space="preserve">Holman, D., Escaffi‐Schwarz, M., Vasquez, C.A., Irmer, J.P. and Zapf, D., 2024. Does job crafting affect employee outcomes via job characteristics? A meta‐analytic test of a key job crafting mechanism. </w:t>
      </w:r>
      <w:r>
        <w:rPr>
          <w:i/>
          <w:iCs/>
          <w:color w:val="222222"/>
          <w:highlight w:val="white"/>
        </w:rPr>
        <w:t>Journal of Occupational and Organizational Psychology</w:t>
      </w:r>
      <w:r>
        <w:rPr>
          <w:color w:val="222222"/>
          <w:highlight w:val="white"/>
        </w:rPr>
        <w:t xml:space="preserve">, </w:t>
      </w:r>
      <w:r>
        <w:rPr>
          <w:i/>
          <w:iCs/>
          <w:color w:val="222222"/>
          <w:highlight w:val="white"/>
        </w:rPr>
        <w:t>97</w:t>
      </w:r>
      <w:r>
        <w:rPr>
          <w:color w:val="222222"/>
          <w:highlight w:val="white"/>
        </w:rPr>
        <w:t>(1), pp.47-73.</w:t>
      </w:r>
      <w:hyperlink r:id="rId21">
        <w:r>
          <w:rPr>
            <w:color w:val="1155CC"/>
            <w:u w:val="single"/>
          </w:rPr>
          <w:t>https://bpspsychub.onlinelibrary.wiley.com/doi/pdfdirect/10.1111/joop.12450</w:t>
        </w:r>
      </w:hyperlink>
      <w:r>
        <w:t xml:space="preserve"> </w:t>
      </w:r>
    </w:p>
    <w:p w14:paraId="4C308953" w14:textId="77777777" w:rsidR="00EB3839" w:rsidRDefault="00EB3839">
      <w:pPr>
        <w:spacing w:before="200" w:after="200"/>
      </w:pPr>
      <w:r>
        <w:rPr>
          <w:color w:val="222222"/>
          <w:highlight w:val="white"/>
        </w:rPr>
        <w:t xml:space="preserve">Jia, N., Luo, X., Fang, Z. and Liao, C., 2024. When and how artificial intelligence augments employee creativity. </w:t>
      </w:r>
      <w:r>
        <w:rPr>
          <w:i/>
          <w:iCs/>
          <w:color w:val="222222"/>
          <w:highlight w:val="white"/>
        </w:rPr>
        <w:t>Academy of Management journal</w:t>
      </w:r>
      <w:r>
        <w:rPr>
          <w:color w:val="222222"/>
          <w:highlight w:val="white"/>
        </w:rPr>
        <w:t xml:space="preserve">, </w:t>
      </w:r>
      <w:r>
        <w:rPr>
          <w:i/>
          <w:iCs/>
          <w:color w:val="222222"/>
          <w:highlight w:val="white"/>
        </w:rPr>
        <w:t>67</w:t>
      </w:r>
      <w:r>
        <w:rPr>
          <w:color w:val="222222"/>
          <w:highlight w:val="white"/>
        </w:rPr>
        <w:t>(1), pp.5-32.</w:t>
      </w:r>
      <w:hyperlink r:id="rId22">
        <w:r>
          <w:rPr>
            <w:color w:val="1155CC"/>
            <w:u w:val="single"/>
          </w:rPr>
          <w:t>https://papers.ssrn.com/sol3/Delivery.cfm?abstractid=4397280</w:t>
        </w:r>
      </w:hyperlink>
      <w:r>
        <w:t xml:space="preserve"> </w:t>
      </w:r>
    </w:p>
    <w:p w14:paraId="7D1108C5" w14:textId="77777777" w:rsidR="00EB3839" w:rsidRDefault="00EB3839">
      <w:pPr>
        <w:spacing w:before="200" w:after="200"/>
      </w:pPr>
      <w:r>
        <w:rPr>
          <w:color w:val="222222"/>
          <w:highlight w:val="white"/>
        </w:rPr>
        <w:t xml:space="preserve">Jooss, S., Collings, D.G., McMackin, J. and Dickmann, M., 2024. A skills‐matching perspective on talent management: Developing strategic agility. </w:t>
      </w:r>
      <w:r>
        <w:rPr>
          <w:i/>
          <w:iCs/>
          <w:color w:val="222222"/>
          <w:highlight w:val="white"/>
        </w:rPr>
        <w:t>Human Resource Management</w:t>
      </w:r>
      <w:r>
        <w:rPr>
          <w:color w:val="222222"/>
          <w:highlight w:val="white"/>
        </w:rPr>
        <w:t xml:space="preserve">, </w:t>
      </w:r>
      <w:r>
        <w:rPr>
          <w:i/>
          <w:iCs/>
          <w:color w:val="222222"/>
          <w:highlight w:val="white"/>
        </w:rPr>
        <w:t>63</w:t>
      </w:r>
      <w:r>
        <w:rPr>
          <w:color w:val="222222"/>
          <w:highlight w:val="white"/>
        </w:rPr>
        <w:t>(1), pp.141-157.</w:t>
      </w:r>
      <w:hyperlink r:id="rId23">
        <w:r>
          <w:rPr>
            <w:color w:val="1155CC"/>
            <w:u w:val="single"/>
          </w:rPr>
          <w:t>https://onlinelibrary.wiley.com/doi/pdfdirect/10.1002/hrm.22192</w:t>
        </w:r>
      </w:hyperlink>
      <w:r>
        <w:t xml:space="preserve"> </w:t>
      </w:r>
    </w:p>
    <w:p w14:paraId="118A62AF" w14:textId="77777777" w:rsidR="00EB3839" w:rsidRDefault="00EB3839">
      <w:pPr>
        <w:spacing w:before="200" w:after="200"/>
      </w:pPr>
      <w:r>
        <w:rPr>
          <w:color w:val="222222"/>
          <w:highlight w:val="white"/>
        </w:rPr>
        <w:t xml:space="preserve">Kim, S., </w:t>
      </w:r>
      <w:proofErr w:type="spellStart"/>
      <w:r>
        <w:rPr>
          <w:color w:val="222222"/>
          <w:highlight w:val="white"/>
        </w:rPr>
        <w:t>Khoreva</w:t>
      </w:r>
      <w:proofErr w:type="spellEnd"/>
      <w:r>
        <w:rPr>
          <w:color w:val="222222"/>
          <w:highlight w:val="white"/>
        </w:rPr>
        <w:t xml:space="preserve">, V. and </w:t>
      </w:r>
      <w:proofErr w:type="spellStart"/>
      <w:r>
        <w:rPr>
          <w:color w:val="222222"/>
          <w:highlight w:val="white"/>
        </w:rPr>
        <w:t>Vaiman</w:t>
      </w:r>
      <w:proofErr w:type="spellEnd"/>
      <w:r>
        <w:rPr>
          <w:color w:val="222222"/>
          <w:highlight w:val="white"/>
        </w:rPr>
        <w:t xml:space="preserve">, V., 2025. Strategic human resource management in the era of algorithmic technologies: key insights and future research agenda. </w:t>
      </w:r>
      <w:r>
        <w:rPr>
          <w:i/>
          <w:iCs/>
          <w:color w:val="222222"/>
          <w:highlight w:val="white"/>
        </w:rPr>
        <w:t>Human Resource Management</w:t>
      </w:r>
      <w:r>
        <w:rPr>
          <w:color w:val="222222"/>
          <w:highlight w:val="white"/>
        </w:rPr>
        <w:t xml:space="preserve">, </w:t>
      </w:r>
      <w:r>
        <w:rPr>
          <w:i/>
          <w:iCs/>
          <w:color w:val="222222"/>
          <w:highlight w:val="white"/>
        </w:rPr>
        <w:t>64</w:t>
      </w:r>
      <w:r>
        <w:rPr>
          <w:color w:val="222222"/>
          <w:highlight w:val="white"/>
        </w:rPr>
        <w:t>(2), pp.447-464.</w:t>
      </w:r>
      <w:hyperlink r:id="rId24">
        <w:r>
          <w:rPr>
            <w:color w:val="1155CC"/>
            <w:u w:val="single"/>
          </w:rPr>
          <w:t>https://onlinelibrary.wiley.com/doi/pdf/10.1002/hrm.22268</w:t>
        </w:r>
      </w:hyperlink>
      <w:r>
        <w:t xml:space="preserve"> </w:t>
      </w:r>
    </w:p>
    <w:p w14:paraId="04F88375" w14:textId="77777777" w:rsidR="00EB3839" w:rsidRDefault="00EB3839">
      <w:pPr>
        <w:spacing w:before="200" w:after="200"/>
      </w:pPr>
      <w:r>
        <w:rPr>
          <w:color w:val="222222"/>
          <w:highlight w:val="white"/>
        </w:rPr>
        <w:t xml:space="preserve">Mosquera, P. and Soares, M.E., 2025. Onboarding: a key to employee retention and workplace well-being. </w:t>
      </w:r>
      <w:r>
        <w:rPr>
          <w:i/>
          <w:iCs/>
          <w:color w:val="222222"/>
          <w:highlight w:val="white"/>
        </w:rPr>
        <w:t>Review of Managerial Science</w:t>
      </w:r>
      <w:r>
        <w:rPr>
          <w:color w:val="222222"/>
          <w:highlight w:val="white"/>
        </w:rPr>
        <w:t xml:space="preserve">, </w:t>
      </w:r>
      <w:r>
        <w:rPr>
          <w:i/>
          <w:iCs/>
          <w:color w:val="222222"/>
          <w:highlight w:val="white"/>
        </w:rPr>
        <w:t>19</w:t>
      </w:r>
      <w:r>
        <w:rPr>
          <w:color w:val="222222"/>
          <w:highlight w:val="white"/>
        </w:rPr>
        <w:t>(12), pp.3687-3711.</w:t>
      </w:r>
      <w:hyperlink r:id="rId25">
        <w:r>
          <w:rPr>
            <w:color w:val="1155CC"/>
            <w:u w:val="single"/>
          </w:rPr>
          <w:t>https://link.springer.com/content/pdf/10.1007/s11846-025-00864-3.pdf</w:t>
        </w:r>
      </w:hyperlink>
      <w:r>
        <w:t xml:space="preserve"> </w:t>
      </w:r>
    </w:p>
    <w:p w14:paraId="4CD7D59A" w14:textId="77777777" w:rsidR="00EB3839" w:rsidRDefault="00EB3839">
      <w:pPr>
        <w:spacing w:before="200" w:after="200"/>
      </w:pPr>
      <w:r>
        <w:rPr>
          <w:color w:val="222222"/>
          <w:highlight w:val="white"/>
        </w:rPr>
        <w:t xml:space="preserve">Presbitero, A., Fujimoto, Y. and Lim, W.M., 2025. Employee engagement and retention in multicultural work groups: The interplay of employee and supervisory cultural intelligence. </w:t>
      </w:r>
      <w:r>
        <w:rPr>
          <w:i/>
          <w:iCs/>
          <w:color w:val="222222"/>
          <w:highlight w:val="white"/>
        </w:rPr>
        <w:lastRenderedPageBreak/>
        <w:t>Journal of Business Research</w:t>
      </w:r>
      <w:r>
        <w:rPr>
          <w:color w:val="222222"/>
          <w:highlight w:val="white"/>
        </w:rPr>
        <w:t xml:space="preserve">, </w:t>
      </w:r>
      <w:r>
        <w:rPr>
          <w:i/>
          <w:iCs/>
          <w:color w:val="222222"/>
          <w:highlight w:val="white"/>
        </w:rPr>
        <w:t>186</w:t>
      </w:r>
      <w:r>
        <w:rPr>
          <w:color w:val="222222"/>
          <w:highlight w:val="white"/>
        </w:rPr>
        <w:t>, p.115012.</w:t>
      </w:r>
      <w:hyperlink r:id="rId26">
        <w:r>
          <w:rPr>
            <w:color w:val="1155CC"/>
            <w:u w:val="single"/>
          </w:rPr>
          <w:t>https://www.sciencedirect.com/science/article/pii/S0148296324005162</w:t>
        </w:r>
      </w:hyperlink>
      <w:r>
        <w:t xml:space="preserve"> </w:t>
      </w:r>
    </w:p>
    <w:p w14:paraId="0F2A5455" w14:textId="77777777" w:rsidR="00EB3839" w:rsidRDefault="00EB3839">
      <w:pPr>
        <w:spacing w:before="200" w:after="200"/>
      </w:pPr>
      <w:r>
        <w:rPr>
          <w:color w:val="222222"/>
          <w:highlight w:val="white"/>
        </w:rPr>
        <w:t xml:space="preserve">Ridgway, M. and </w:t>
      </w:r>
      <w:proofErr w:type="spellStart"/>
      <w:r>
        <w:rPr>
          <w:color w:val="222222"/>
          <w:highlight w:val="white"/>
        </w:rPr>
        <w:t>Langinier</w:t>
      </w:r>
      <w:proofErr w:type="spellEnd"/>
      <w:r>
        <w:rPr>
          <w:color w:val="222222"/>
          <w:highlight w:val="white"/>
        </w:rPr>
        <w:t xml:space="preserve">, H., 2023. The evolving field of global mobility: responses to global volatility (2013–2022). </w:t>
      </w:r>
      <w:r>
        <w:rPr>
          <w:i/>
          <w:iCs/>
          <w:color w:val="222222"/>
          <w:highlight w:val="white"/>
        </w:rPr>
        <w:t>Journal of Global Mobility: The Home of Expatriate Management Research</w:t>
      </w:r>
      <w:r>
        <w:rPr>
          <w:color w:val="222222"/>
          <w:highlight w:val="white"/>
        </w:rPr>
        <w:t xml:space="preserve">, </w:t>
      </w:r>
      <w:r>
        <w:rPr>
          <w:i/>
          <w:iCs/>
          <w:color w:val="222222"/>
          <w:highlight w:val="white"/>
        </w:rPr>
        <w:t>11</w:t>
      </w:r>
      <w:r>
        <w:rPr>
          <w:color w:val="222222"/>
          <w:highlight w:val="white"/>
        </w:rPr>
        <w:t>(3), pp.300-328.</w:t>
      </w:r>
      <w:hyperlink r:id="rId27">
        <w:r>
          <w:rPr>
            <w:color w:val="1155CC"/>
            <w:u w:val="single"/>
          </w:rPr>
          <w:t>https://irep.ntu.ac.uk/id/eprint/49006/1/1759291_Ridgway.PDF</w:t>
        </w:r>
      </w:hyperlink>
      <w:r>
        <w:t xml:space="preserve"> </w:t>
      </w:r>
    </w:p>
    <w:p w14:paraId="06CD5479" w14:textId="0F88699A" w:rsidR="00F67D52" w:rsidRDefault="00EB3839">
      <w:pPr>
        <w:spacing w:before="200" w:after="200"/>
      </w:pPr>
      <w:r>
        <w:rPr>
          <w:color w:val="222222"/>
          <w:highlight w:val="white"/>
        </w:rPr>
        <w:t xml:space="preserve">Rodgers, W., Murray, J.M., Stefanidis, A., </w:t>
      </w:r>
      <w:proofErr w:type="spellStart"/>
      <w:r>
        <w:rPr>
          <w:color w:val="222222"/>
          <w:highlight w:val="white"/>
        </w:rPr>
        <w:t>Degbey</w:t>
      </w:r>
      <w:proofErr w:type="spellEnd"/>
      <w:r>
        <w:rPr>
          <w:color w:val="222222"/>
          <w:highlight w:val="white"/>
        </w:rPr>
        <w:t xml:space="preserve">, W.Y. and </w:t>
      </w:r>
      <w:proofErr w:type="spellStart"/>
      <w:r>
        <w:rPr>
          <w:color w:val="222222"/>
          <w:highlight w:val="white"/>
        </w:rPr>
        <w:t>Tarba</w:t>
      </w:r>
      <w:proofErr w:type="spellEnd"/>
      <w:r>
        <w:rPr>
          <w:color w:val="222222"/>
          <w:highlight w:val="white"/>
        </w:rPr>
        <w:t xml:space="preserve">, S.Y., 2023. An artificial intelligence algorithmic approach to ethical decision-making in human resource management processes. </w:t>
      </w:r>
      <w:r>
        <w:rPr>
          <w:i/>
          <w:iCs/>
          <w:color w:val="222222"/>
          <w:highlight w:val="white"/>
        </w:rPr>
        <w:t>Human resource management review</w:t>
      </w:r>
      <w:r>
        <w:rPr>
          <w:color w:val="222222"/>
          <w:highlight w:val="white"/>
        </w:rPr>
        <w:t xml:space="preserve">, </w:t>
      </w:r>
      <w:r>
        <w:rPr>
          <w:i/>
          <w:iCs/>
          <w:color w:val="222222"/>
          <w:highlight w:val="white"/>
        </w:rPr>
        <w:t>33</w:t>
      </w:r>
      <w:r>
        <w:rPr>
          <w:color w:val="222222"/>
          <w:highlight w:val="white"/>
        </w:rPr>
        <w:t>(1), p.100925.</w:t>
      </w:r>
      <w:hyperlink r:id="rId28">
        <w:r>
          <w:rPr>
            <w:color w:val="1155CC"/>
            <w:u w:val="single"/>
          </w:rPr>
          <w:t>https://www.sciencedirect.com/science/article/pii/S1053482222000432</w:t>
        </w:r>
      </w:hyperlink>
      <w:r>
        <w:t xml:space="preserve"> </w:t>
      </w:r>
    </w:p>
    <w:sectPr w:rsidR="00F67D52">
      <w:footerReference w:type="default" r:id="rId29"/>
      <w:headerReference w:type="first" r:id="rId30"/>
      <w:footerReference w:type="first" r:id="rId31"/>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55D34" w14:textId="77777777" w:rsidR="00F473B4" w:rsidRDefault="00F473B4">
      <w:pPr>
        <w:spacing w:before="0" w:after="0" w:line="240" w:lineRule="auto"/>
      </w:pPr>
      <w:r>
        <w:separator/>
      </w:r>
    </w:p>
  </w:endnote>
  <w:endnote w:type="continuationSeparator" w:id="0">
    <w:p w14:paraId="01506F85" w14:textId="77777777" w:rsidR="00F473B4" w:rsidRDefault="00F473B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A8757F22-3C8A-440C-8C56-E897292A86CA}"/>
    <w:embedBold r:id="rId2" w:fontKey="{D52DC065-3247-447B-A3A0-11FAABCBB7B7}"/>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3" w:fontKey="{88586DC5-B483-4A0B-B593-239D30C1375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C0DD9D" w14:textId="77777777" w:rsidR="00F67D52" w:rsidRDefault="00000000">
    <w:pPr>
      <w:jc w:val="right"/>
    </w:pPr>
    <w:r>
      <w:fldChar w:fldCharType="begin"/>
    </w:r>
    <w:r>
      <w:instrText>PAGE</w:instrText>
    </w:r>
    <w:r>
      <w:fldChar w:fldCharType="separate"/>
    </w:r>
    <w:r w:rsidR="00EB3839">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58B4AA" w14:textId="77777777" w:rsidR="00F67D52" w:rsidRDefault="00F67D5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141D3F" w14:textId="77777777" w:rsidR="00F473B4" w:rsidRDefault="00F473B4">
      <w:pPr>
        <w:spacing w:before="0" w:after="0" w:line="240" w:lineRule="auto"/>
      </w:pPr>
      <w:r>
        <w:separator/>
      </w:r>
    </w:p>
  </w:footnote>
  <w:footnote w:type="continuationSeparator" w:id="0">
    <w:p w14:paraId="7CF38BF8" w14:textId="77777777" w:rsidR="00F473B4" w:rsidRDefault="00F473B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5ED59" w14:textId="77777777" w:rsidR="00F67D52" w:rsidRDefault="00F67D5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7D52"/>
    <w:rsid w:val="0008789E"/>
    <w:rsid w:val="00157224"/>
    <w:rsid w:val="006328EF"/>
    <w:rsid w:val="00635B28"/>
    <w:rsid w:val="006917C5"/>
    <w:rsid w:val="00886F8C"/>
    <w:rsid w:val="00EB3839"/>
    <w:rsid w:val="00F473B4"/>
    <w:rsid w:val="00F67D52"/>
    <w:rsid w:val="00F70F2C"/>
    <w:rsid w:val="00F9337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46AE1"/>
  <w15:docId w15:val="{2937FFEA-7B3C-4188-8766-5A670546B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outlineLvl w:val="0"/>
    </w:pPr>
    <w:rPr>
      <w:b/>
      <w:bCs/>
      <w:sz w:val="28"/>
      <w:szCs w:val="28"/>
    </w:rPr>
  </w:style>
  <w:style w:type="paragraph" w:styleId="Heading2">
    <w:name w:val="heading 2"/>
    <w:basedOn w:val="Normal"/>
    <w:next w:val="Normal"/>
    <w:uiPriority w:val="9"/>
    <w:unhideWhenUsed/>
    <w:qFormat/>
    <w:pPr>
      <w:keepNext/>
      <w:keepLines/>
      <w:spacing w:after="8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1">
    <w:name w:val="toc 1"/>
    <w:basedOn w:val="Normal"/>
    <w:next w:val="Normal"/>
    <w:autoRedefine/>
    <w:uiPriority w:val="39"/>
    <w:unhideWhenUsed/>
    <w:rsid w:val="00635B28"/>
    <w:pPr>
      <w:spacing w:after="100"/>
    </w:pPr>
  </w:style>
  <w:style w:type="paragraph" w:styleId="TOC2">
    <w:name w:val="toc 2"/>
    <w:basedOn w:val="Normal"/>
    <w:next w:val="Normal"/>
    <w:autoRedefine/>
    <w:uiPriority w:val="39"/>
    <w:unhideWhenUsed/>
    <w:rsid w:val="00635B28"/>
    <w:pPr>
      <w:spacing w:after="100"/>
      <w:ind w:left="240"/>
    </w:pPr>
  </w:style>
  <w:style w:type="character" w:styleId="Hyperlink">
    <w:name w:val="Hyperlink"/>
    <w:basedOn w:val="DefaultParagraphFont"/>
    <w:uiPriority w:val="99"/>
    <w:unhideWhenUsed/>
    <w:rsid w:val="00635B28"/>
    <w:rPr>
      <w:color w:val="0000FF" w:themeColor="hyperlink"/>
      <w:u w:val="single"/>
    </w:rPr>
  </w:style>
  <w:style w:type="paragraph" w:styleId="NoSpacing">
    <w:name w:val="No Spacing"/>
    <w:uiPriority w:val="1"/>
    <w:qFormat/>
    <w:rsid w:val="00F70F2C"/>
    <w:pPr>
      <w:spacing w:before="0" w:after="0" w:line="240" w:lineRule="auto"/>
      <w:jc w:val="left"/>
    </w:pPr>
    <w:rPr>
      <w:rFonts w:asciiTheme="minorHAnsi" w:eastAsiaTheme="minorHAnsi" w:hAnsiTheme="minorHAnsi" w:cstheme="minorBidi"/>
      <w:kern w:val="2"/>
      <w:sz w:val="22"/>
      <w:szCs w:val="22"/>
      <w:lang w:val="en-IN" w:eastAsia="en-US"/>
      <w14:ligatures w14:val="standardContextual"/>
    </w:rPr>
  </w:style>
  <w:style w:type="character" w:styleId="UnresolvedMention">
    <w:name w:val="Unresolved Mention"/>
    <w:basedOn w:val="DefaultParagraphFont"/>
    <w:uiPriority w:val="99"/>
    <w:semiHidden/>
    <w:unhideWhenUsed/>
    <w:rsid w:val="00886F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mdpi.com/1424-8220/19/2/332" TargetMode="External"/><Relationship Id="rId18" Type="http://schemas.openxmlformats.org/officeDocument/2006/relationships/hyperlink" Target="https://onlinelibrary.wiley.com/doi/pdf/10.1002/joe.22295" TargetMode="External"/><Relationship Id="rId26" Type="http://schemas.openxmlformats.org/officeDocument/2006/relationships/hyperlink" Target="https://www.sciencedirect.com/science/article/pii/S0148296324005162" TargetMode="External"/><Relationship Id="rId3" Type="http://schemas.openxmlformats.org/officeDocument/2006/relationships/settings" Target="settings.xml"/><Relationship Id="rId21" Type="http://schemas.openxmlformats.org/officeDocument/2006/relationships/hyperlink" Target="https://bpspsychub.onlinelibrary.wiley.com/doi/pdfdirect/10.1111/joop.12450" TargetMode="External"/><Relationship Id="rId7" Type="http://schemas.openxmlformats.org/officeDocument/2006/relationships/image" Target="media/image1.png"/><Relationship Id="rId12" Type="http://schemas.openxmlformats.org/officeDocument/2006/relationships/hyperlink" Target="https://elearningindustry.com/70-20-10-methodology-part-3" TargetMode="External"/><Relationship Id="rId17" Type="http://schemas.openxmlformats.org/officeDocument/2006/relationships/hyperlink" Target="https://www.sciencedirect.com/science/article/pii/S1053482223000372" TargetMode="External"/><Relationship Id="rId25" Type="http://schemas.openxmlformats.org/officeDocument/2006/relationships/hyperlink" Target="https://link.springer.com/content/pdf/10.1007/s11846-025-00864-3.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onlinelibrary.wiley.com/doi/pdf/10.1002/sd.3052" TargetMode="External"/><Relationship Id="rId20" Type="http://schemas.openxmlformats.org/officeDocument/2006/relationships/hyperlink" Target="https://journals.sagepub.com/doi/pdf/10.1177/15234223241267922"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rontiersin.org/journals/psychology/articles/10.3389/fpsyg.2019.00137/pdf" TargetMode="External"/><Relationship Id="rId24" Type="http://schemas.openxmlformats.org/officeDocument/2006/relationships/hyperlink" Target="https://onlinelibrary.wiley.com/doi/pdf/10.1002/hrm.22268"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journals.sagepub.com/doi/pdf/10.1177/01492063241277168" TargetMode="External"/><Relationship Id="rId23" Type="http://schemas.openxmlformats.org/officeDocument/2006/relationships/hyperlink" Target="https://onlinelibrary.wiley.com/doi/pdfdirect/10.1002/hrm.22192" TargetMode="External"/><Relationship Id="rId28" Type="http://schemas.openxmlformats.org/officeDocument/2006/relationships/hyperlink" Target="https://www.sciencedirect.com/science/article/pii/S1053482222000432" TargetMode="External"/><Relationship Id="rId10" Type="http://schemas.openxmlformats.org/officeDocument/2006/relationships/image" Target="media/image4.png"/><Relationship Id="rId19" Type="http://schemas.openxmlformats.org/officeDocument/2006/relationships/hyperlink" Target="https://onlinelibrary.wiley.com/doi/pdf/10.1002/hrm.70011"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Muhammad-Abbas-39/publication/379907906_Organizational_socialization_strategies_and_newcomers'_identity_development_A_social_identity_perspective/links/6643a6aa3524304153a739e3/Organizational-socialization-strategies-and-newcomers-identity-development-A-social-identity-perspective.pdf" TargetMode="External"/><Relationship Id="rId22" Type="http://schemas.openxmlformats.org/officeDocument/2006/relationships/hyperlink" Target="https://papers.ssrn.com/sol3/Delivery.cfm?abstractid=4397280" TargetMode="External"/><Relationship Id="rId27" Type="http://schemas.openxmlformats.org/officeDocument/2006/relationships/hyperlink" Target="https://irep.ntu.ac.uk/id/eprint/49006/1/1759291_Ridgway.PDF" TargetMode="External"/><Relationship Id="rId30" Type="http://schemas.openxmlformats.org/officeDocument/2006/relationships/header" Target="header1.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0E8F79-0C35-4600-8315-017B1A526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16</Pages>
  <Words>3932</Words>
  <Characters>22419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soyamsingh08@outlook.com</cp:lastModifiedBy>
  <cp:revision>5</cp:revision>
  <dcterms:created xsi:type="dcterms:W3CDTF">2026-07-10T17:27:00Z</dcterms:created>
  <dcterms:modified xsi:type="dcterms:W3CDTF">2026-07-16T05:24:00Z</dcterms:modified>
</cp:coreProperties>
</file>