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8C56A" w14:textId="77777777" w:rsidR="001E5411" w:rsidRDefault="00000000">
      <w:pPr>
        <w:spacing w:after="50" w:line="374" w:lineRule="auto"/>
        <w:ind w:left="4217" w:right="2709" w:hanging="1428"/>
        <w:jc w:val="left"/>
      </w:pPr>
      <w:r>
        <w:rPr>
          <w:noProof/>
        </w:rPr>
        <w:drawing>
          <wp:inline distT="0" distB="0" distL="0" distR="0" wp14:anchorId="00FA400A" wp14:editId="1B777DE7">
            <wp:extent cx="1809750" cy="723900"/>
            <wp:effectExtent l="0" t="0" r="0" b="0"/>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4"/>
                    <a:stretch>
                      <a:fillRect/>
                    </a:stretch>
                  </pic:blipFill>
                  <pic:spPr>
                    <a:xfrm>
                      <a:off x="0" y="0"/>
                      <a:ext cx="1809750" cy="723900"/>
                    </a:xfrm>
                    <a:prstGeom prst="rect">
                      <a:avLst/>
                    </a:prstGeom>
                  </pic:spPr>
                </pic:pic>
              </a:graphicData>
            </a:graphic>
          </wp:inline>
        </w:drawing>
      </w:r>
      <w:r>
        <w:rPr>
          <w:b/>
        </w:rPr>
        <w:t xml:space="preserve">  </w:t>
      </w:r>
    </w:p>
    <w:p w14:paraId="5CEA6180" w14:textId="0EC1FBC4" w:rsidR="001E5411" w:rsidRDefault="0001669E">
      <w:pPr>
        <w:spacing w:after="182" w:line="259" w:lineRule="auto"/>
        <w:ind w:left="20" w:right="2"/>
        <w:jc w:val="center"/>
      </w:pPr>
      <w:r>
        <w:rPr>
          <w:b/>
        </w:rPr>
        <w:t>Care Bridge</w:t>
      </w:r>
      <w:r w:rsidR="00000000">
        <w:rPr>
          <w:b/>
        </w:rPr>
        <w:t xml:space="preserve"> </w:t>
      </w:r>
    </w:p>
    <w:p w14:paraId="26AB5E38" w14:textId="77777777" w:rsidR="001E5411" w:rsidRDefault="00000000">
      <w:pPr>
        <w:spacing w:after="182" w:line="259" w:lineRule="auto"/>
        <w:ind w:left="0" w:firstLine="0"/>
        <w:jc w:val="left"/>
      </w:pPr>
      <w:r>
        <w:rPr>
          <w:b/>
        </w:rPr>
        <w:t xml:space="preserve">A Digital Care Navigation Platform for Older Adults in the United Kingdom </w:t>
      </w:r>
    </w:p>
    <w:p w14:paraId="174A4158" w14:textId="77777777" w:rsidR="001E5411" w:rsidRDefault="00000000">
      <w:pPr>
        <w:spacing w:after="177" w:line="259" w:lineRule="auto"/>
        <w:ind w:left="82" w:firstLine="0"/>
        <w:jc w:val="center"/>
      </w:pPr>
      <w:r>
        <w:rPr>
          <w:b/>
        </w:rPr>
        <w:t xml:space="preserve"> </w:t>
      </w:r>
    </w:p>
    <w:p w14:paraId="16B98CE3" w14:textId="77777777" w:rsidR="001E5411" w:rsidRDefault="00000000">
      <w:pPr>
        <w:spacing w:after="182" w:line="259" w:lineRule="auto"/>
        <w:ind w:left="82" w:firstLine="0"/>
        <w:jc w:val="center"/>
      </w:pPr>
      <w:r>
        <w:rPr>
          <w:b/>
        </w:rPr>
        <w:t xml:space="preserve"> </w:t>
      </w:r>
    </w:p>
    <w:p w14:paraId="675E919E" w14:textId="77777777" w:rsidR="001E5411" w:rsidRDefault="00000000">
      <w:pPr>
        <w:spacing w:after="182" w:line="259" w:lineRule="auto"/>
        <w:ind w:left="82" w:firstLine="0"/>
        <w:jc w:val="center"/>
      </w:pPr>
      <w:r>
        <w:t xml:space="preserve"> </w:t>
      </w:r>
    </w:p>
    <w:p w14:paraId="32053A3C" w14:textId="77777777" w:rsidR="001E5411" w:rsidRDefault="00000000">
      <w:pPr>
        <w:spacing w:after="182" w:line="259" w:lineRule="auto"/>
        <w:ind w:left="20" w:right="2"/>
        <w:jc w:val="center"/>
      </w:pPr>
      <w:r>
        <w:rPr>
          <w:b/>
        </w:rPr>
        <w:t>Module Title:</w:t>
      </w:r>
      <w:r>
        <w:t xml:space="preserve"> BMHP5014 – Changemakers: Creativity and Value Creation </w:t>
      </w:r>
    </w:p>
    <w:p w14:paraId="0D97CF7D" w14:textId="77777777" w:rsidR="001E5411" w:rsidRDefault="00000000">
      <w:pPr>
        <w:spacing w:after="22" w:line="259" w:lineRule="auto"/>
        <w:ind w:left="82" w:firstLine="0"/>
        <w:jc w:val="center"/>
      </w:pPr>
      <w:r>
        <w:t xml:space="preserve"> </w:t>
      </w:r>
    </w:p>
    <w:p w14:paraId="13FFB106" w14:textId="77777777" w:rsidR="001E5411" w:rsidRDefault="00000000">
      <w:pPr>
        <w:spacing w:after="182" w:line="259" w:lineRule="auto"/>
        <w:ind w:left="20"/>
        <w:jc w:val="center"/>
      </w:pPr>
      <w:r>
        <w:rPr>
          <w:b/>
        </w:rPr>
        <w:t>Component:</w:t>
      </w:r>
      <w:r>
        <w:t xml:space="preserve"> Component 2 – Academic Poster and Written Pitch </w:t>
      </w:r>
    </w:p>
    <w:p w14:paraId="5336F903" w14:textId="77777777" w:rsidR="001E5411" w:rsidRDefault="00000000">
      <w:pPr>
        <w:spacing w:after="182" w:line="259" w:lineRule="auto"/>
        <w:ind w:left="82" w:firstLine="0"/>
        <w:jc w:val="center"/>
      </w:pPr>
      <w:r>
        <w:t xml:space="preserve"> </w:t>
      </w:r>
    </w:p>
    <w:p w14:paraId="7EFBCD04" w14:textId="77777777" w:rsidR="001E5411" w:rsidRDefault="00000000">
      <w:pPr>
        <w:spacing w:after="182" w:line="259" w:lineRule="auto"/>
        <w:ind w:left="82" w:firstLine="0"/>
        <w:jc w:val="center"/>
      </w:pPr>
      <w:r>
        <w:t xml:space="preserve"> </w:t>
      </w:r>
    </w:p>
    <w:p w14:paraId="1CF505FF" w14:textId="04C61FCF" w:rsidR="001E5411" w:rsidRDefault="00000000">
      <w:pPr>
        <w:spacing w:after="182" w:line="259" w:lineRule="auto"/>
        <w:ind w:left="20" w:right="2"/>
        <w:jc w:val="center"/>
      </w:pPr>
      <w:r>
        <w:rPr>
          <w:b/>
        </w:rPr>
        <w:t>Student Name:</w:t>
      </w:r>
      <w:r>
        <w:t xml:space="preserve"> </w:t>
      </w:r>
      <w:r w:rsidR="0001669E">
        <w:t>Naushaba Yaqoob Raja</w:t>
      </w:r>
      <w:r>
        <w:t xml:space="preserve"> </w:t>
      </w:r>
    </w:p>
    <w:p w14:paraId="7EF3BEB5" w14:textId="77777777" w:rsidR="001E5411" w:rsidRDefault="00000000">
      <w:pPr>
        <w:spacing w:after="23" w:line="259" w:lineRule="auto"/>
        <w:ind w:left="82" w:firstLine="0"/>
        <w:jc w:val="center"/>
      </w:pPr>
      <w:r>
        <w:t xml:space="preserve"> </w:t>
      </w:r>
    </w:p>
    <w:p w14:paraId="67E812FF" w14:textId="06A10D41" w:rsidR="001E5411" w:rsidRDefault="00000000">
      <w:pPr>
        <w:spacing w:after="182" w:line="259" w:lineRule="auto"/>
        <w:ind w:left="20"/>
        <w:jc w:val="center"/>
      </w:pPr>
      <w:r>
        <w:rPr>
          <w:b/>
        </w:rPr>
        <w:t>Student ID:</w:t>
      </w:r>
      <w:r>
        <w:t xml:space="preserve">  </w:t>
      </w:r>
      <w:r w:rsidR="0001669E">
        <w:t>2326745</w:t>
      </w:r>
    </w:p>
    <w:p w14:paraId="4D2DBA8B" w14:textId="5777F680" w:rsidR="001E5411" w:rsidRDefault="0001669E">
      <w:pPr>
        <w:spacing w:after="182" w:line="259" w:lineRule="auto"/>
        <w:ind w:left="82" w:firstLine="0"/>
        <w:jc w:val="center"/>
      </w:pPr>
      <w:r>
        <w:t>Tutor Name: Danni Dunne</w:t>
      </w:r>
      <w:r w:rsidR="00000000">
        <w:t xml:space="preserve"> </w:t>
      </w:r>
    </w:p>
    <w:p w14:paraId="6E5A54A3" w14:textId="77777777" w:rsidR="001E5411" w:rsidRDefault="00000000">
      <w:pPr>
        <w:spacing w:after="182" w:line="259" w:lineRule="auto"/>
        <w:ind w:left="82" w:firstLine="0"/>
        <w:jc w:val="center"/>
      </w:pPr>
      <w:r>
        <w:t xml:space="preserve"> </w:t>
      </w:r>
    </w:p>
    <w:p w14:paraId="1A6DF1DF" w14:textId="77777777" w:rsidR="001E5411" w:rsidRDefault="00000000">
      <w:pPr>
        <w:spacing w:after="22" w:line="259" w:lineRule="auto"/>
        <w:ind w:left="82" w:firstLine="0"/>
        <w:jc w:val="center"/>
      </w:pPr>
      <w:r>
        <w:t xml:space="preserve"> </w:t>
      </w:r>
    </w:p>
    <w:p w14:paraId="0CE1741B" w14:textId="63928E04" w:rsidR="001E5411" w:rsidRDefault="00000000" w:rsidP="0001669E">
      <w:pPr>
        <w:spacing w:after="22" w:line="259" w:lineRule="auto"/>
        <w:ind w:left="82" w:firstLine="0"/>
        <w:jc w:val="center"/>
      </w:pPr>
      <w:r>
        <w:t xml:space="preserve"> </w:t>
      </w:r>
    </w:p>
    <w:p w14:paraId="402FD5CC" w14:textId="77777777" w:rsidR="001E5411" w:rsidRDefault="00000000">
      <w:pPr>
        <w:spacing w:after="0" w:line="259" w:lineRule="auto"/>
        <w:ind w:left="82" w:firstLine="0"/>
        <w:jc w:val="center"/>
      </w:pPr>
      <w:r>
        <w:t xml:space="preserve"> </w:t>
      </w:r>
    </w:p>
    <w:p w14:paraId="0629D079" w14:textId="77777777" w:rsidR="001E5411" w:rsidRDefault="001E5411">
      <w:pPr>
        <w:sectPr w:rsidR="001E5411">
          <w:pgSz w:w="12240" w:h="15840"/>
          <w:pgMar w:top="1440" w:right="1916" w:bottom="1440" w:left="1906" w:header="720" w:footer="720" w:gutter="0"/>
          <w:cols w:space="720"/>
        </w:sectPr>
      </w:pPr>
    </w:p>
    <w:p w14:paraId="0D2F71E0" w14:textId="77777777" w:rsidR="001E5411" w:rsidRDefault="00000000">
      <w:pPr>
        <w:spacing w:after="0" w:line="259" w:lineRule="auto"/>
        <w:ind w:left="0" w:firstLine="0"/>
        <w:jc w:val="left"/>
      </w:pPr>
      <w:r>
        <w:rPr>
          <w:noProof/>
        </w:rPr>
        <w:lastRenderedPageBreak/>
        <w:drawing>
          <wp:inline distT="0" distB="0" distL="0" distR="0" wp14:anchorId="5225B839" wp14:editId="0C19359E">
            <wp:extent cx="5815965" cy="8229600"/>
            <wp:effectExtent l="0" t="0" r="0" b="0"/>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
                    <a:stretch>
                      <a:fillRect/>
                    </a:stretch>
                  </pic:blipFill>
                  <pic:spPr>
                    <a:xfrm>
                      <a:off x="0" y="0"/>
                      <a:ext cx="5815965" cy="8229600"/>
                    </a:xfrm>
                    <a:prstGeom prst="rect">
                      <a:avLst/>
                    </a:prstGeom>
                  </pic:spPr>
                </pic:pic>
              </a:graphicData>
            </a:graphic>
          </wp:inline>
        </w:drawing>
      </w:r>
    </w:p>
    <w:p w14:paraId="70304F86" w14:textId="77777777" w:rsidR="001E5411" w:rsidRDefault="001E5411">
      <w:pPr>
        <w:sectPr w:rsidR="001E5411">
          <w:pgSz w:w="12240" w:h="15840"/>
          <w:pgMar w:top="1440" w:right="1440" w:bottom="1440" w:left="1440" w:header="720" w:footer="720" w:gutter="0"/>
          <w:cols w:space="720"/>
        </w:sectPr>
      </w:pPr>
    </w:p>
    <w:p w14:paraId="0867CDE1" w14:textId="77777777" w:rsidR="001E5411" w:rsidRDefault="00000000">
      <w:pPr>
        <w:pStyle w:val="Heading1"/>
        <w:ind w:left="-5"/>
      </w:pPr>
      <w:r>
        <w:lastRenderedPageBreak/>
        <w:t xml:space="preserve">Introduction </w:t>
      </w:r>
    </w:p>
    <w:p w14:paraId="1151F081" w14:textId="59D92D62" w:rsidR="001E5411" w:rsidRDefault="00000000">
      <w:pPr>
        <w:spacing w:after="319"/>
        <w:ind w:left="-5"/>
      </w:pPr>
      <w:r>
        <w:t xml:space="preserve">Good morning. </w:t>
      </w:r>
      <w:r w:rsidR="0001669E">
        <w:t>Care Bridge</w:t>
      </w:r>
      <w:r>
        <w:t xml:space="preserve"> is an online care navigation service that I am presenting today to enhance the accessibility of health and social care among elderly people in the United Kingdom. The UK is also undergoing high population ageing, and policy comparisons reveal that there are current difficulties in the successful integration of services to older people (Aujla et al., 2023). Simultaneously, the NHS is speeding up digital transformation through systems (NHS Confederation, 2025). Nevertheless, the advancement in digital does not necessarily guarantee equal access. Remaining digitally unreachable, </w:t>
      </w:r>
      <w:proofErr w:type="gramStart"/>
      <w:r>
        <w:t>many</w:t>
      </w:r>
      <w:proofErr w:type="gramEnd"/>
      <w:r>
        <w:t xml:space="preserve"> older adults face the threat of increased disparity in healthcare access (Mee et al., 2024). A response to this gap </w:t>
      </w:r>
      <w:r w:rsidR="0001669E">
        <w:t>Care Bridge</w:t>
      </w:r>
      <w:r>
        <w:t xml:space="preserve"> provides is to bring together the modes of inclusive digital design and built-in care coordination to enhance independence, reduce preventable subsequent hospitalisation and enhance communication among patients, </w:t>
      </w:r>
      <w:proofErr w:type="gramStart"/>
      <w:r>
        <w:t>carers</w:t>
      </w:r>
      <w:proofErr w:type="gramEnd"/>
      <w:r>
        <w:t xml:space="preserve"> and professionals. </w:t>
      </w:r>
    </w:p>
    <w:p w14:paraId="0F844E72" w14:textId="77777777" w:rsidR="001E5411" w:rsidRDefault="00000000">
      <w:pPr>
        <w:pStyle w:val="Heading1"/>
        <w:ind w:left="-5"/>
      </w:pPr>
      <w:r>
        <w:t xml:space="preserve">Context and Problem Identification </w:t>
      </w:r>
    </w:p>
    <w:p w14:paraId="61C22D20" w14:textId="77777777" w:rsidR="001E5411" w:rsidRDefault="00000000">
      <w:pPr>
        <w:spacing w:after="319"/>
        <w:ind w:left="-5"/>
      </w:pPr>
      <w:r>
        <w:t xml:space="preserve">The health and social care systems are still not unified, especially among older adults with multiple conditions. Comparative analogy to UK regions shows that structural coordination problems that have a direct impact on older populations are in place (Aujla et al., 2023). It has </w:t>
      </w:r>
      <w:proofErr w:type="gramStart"/>
      <w:r>
        <w:t>been found</w:t>
      </w:r>
      <w:proofErr w:type="gramEnd"/>
      <w:r>
        <w:t xml:space="preserve"> that digital exclusion is socioeconomic and geographic in nature; that is, </w:t>
      </w:r>
      <w:proofErr w:type="gramStart"/>
      <w:r>
        <w:t>some</w:t>
      </w:r>
      <w:proofErr w:type="gramEnd"/>
      <w:r>
        <w:t xml:space="preserve"> older adults are disproportionately disadvantaged (Mee et al., 2024). Moreover, the NHS has realised that comprehensive digital healthcare will not </w:t>
      </w:r>
      <w:proofErr w:type="gramStart"/>
      <w:r>
        <w:t>be achieved</w:t>
      </w:r>
      <w:proofErr w:type="gramEnd"/>
      <w:r>
        <w:t xml:space="preserve"> without specific measures that ensure that disparities will not increase (NHS England, 2023). Unless we have inclusive frameworks, the digital transformation can </w:t>
      </w:r>
      <w:proofErr w:type="gramStart"/>
      <w:r>
        <w:t>actually increase</w:t>
      </w:r>
      <w:proofErr w:type="gramEnd"/>
      <w:r>
        <w:t xml:space="preserve"> inequalities in health instead of reducing them. Hence, any innovation should incorporate principles of inclusion since its design. </w:t>
      </w:r>
    </w:p>
    <w:p w14:paraId="714A09ED" w14:textId="6F3DF7E1" w:rsidR="001E5411" w:rsidRDefault="00000000">
      <w:pPr>
        <w:spacing w:after="215" w:line="259" w:lineRule="auto"/>
        <w:ind w:left="-5"/>
        <w:jc w:val="left"/>
      </w:pPr>
      <w:r>
        <w:rPr>
          <w:b/>
          <w:sz w:val="28"/>
        </w:rPr>
        <w:t xml:space="preserve">The Innovation – What is </w:t>
      </w:r>
      <w:r w:rsidR="0001669E">
        <w:rPr>
          <w:b/>
          <w:sz w:val="28"/>
        </w:rPr>
        <w:t>Care Bridge</w:t>
      </w:r>
      <w:r>
        <w:rPr>
          <w:b/>
          <w:sz w:val="28"/>
        </w:rPr>
        <w:t xml:space="preserve">? </w:t>
      </w:r>
    </w:p>
    <w:p w14:paraId="406BB91E" w14:textId="050C32FA" w:rsidR="001E5411" w:rsidRDefault="0001669E">
      <w:pPr>
        <w:spacing w:after="318"/>
        <w:ind w:left="-5"/>
      </w:pPr>
      <w:r>
        <w:t>Care Bridge</w:t>
      </w:r>
      <w:r w:rsidR="00000000">
        <w:t xml:space="preserve"> is an online-enhanced care navigation platform designed to match the needs of adults aged </w:t>
      </w:r>
      <w:proofErr w:type="gramStart"/>
      <w:r w:rsidR="00000000">
        <w:t>65</w:t>
      </w:r>
      <w:proofErr w:type="gramEnd"/>
      <w:r w:rsidR="00000000">
        <w:t xml:space="preserve"> and over. It also combines the GP appointments, medication warnings, social care </w:t>
      </w:r>
      <w:proofErr w:type="gramStart"/>
      <w:r w:rsidR="00000000">
        <w:t>coordination</w:t>
      </w:r>
      <w:proofErr w:type="gramEnd"/>
      <w:r w:rsidR="00000000">
        <w:t xml:space="preserve"> and community encounter opportunities into a single dashboard </w:t>
      </w:r>
      <w:r w:rsidR="00000000">
        <w:lastRenderedPageBreak/>
        <w:t>that is easily accessible. There is evidence that digital technologies may enhance access to health and social care when developed so that this scenario suits older people (</w:t>
      </w:r>
      <w:r>
        <w:t>Kananga</w:t>
      </w:r>
      <w:r w:rsidR="00000000">
        <w:t xml:space="preserve"> et al., 2021). Digital Inclusion Action Plan of the Government also states the importance of having systematic support in place in the implementation of digital public services (GOV.UK, 2025). </w:t>
      </w:r>
      <w:r>
        <w:t>Care Bridge</w:t>
      </w:r>
      <w:r w:rsidR="00000000">
        <w:t xml:space="preserve"> supports this idea by adopting assisted digital onboarding and easy interface design. Instead of substituting the traditional care paths, it enhances the interactions between the two. </w:t>
      </w:r>
    </w:p>
    <w:p w14:paraId="7FA97CA6" w14:textId="35AEE2FA" w:rsidR="001E5411" w:rsidRDefault="00000000">
      <w:pPr>
        <w:pStyle w:val="Heading1"/>
        <w:ind w:left="-5"/>
      </w:pPr>
      <w:r>
        <w:t xml:space="preserve">How </w:t>
      </w:r>
      <w:r w:rsidR="0001669E">
        <w:t>Care Bridge</w:t>
      </w:r>
      <w:r>
        <w:t xml:space="preserve"> Works </w:t>
      </w:r>
    </w:p>
    <w:p w14:paraId="241FFAD2" w14:textId="6DD6979D" w:rsidR="001E5411" w:rsidRDefault="0001669E">
      <w:pPr>
        <w:spacing w:after="277" w:line="259" w:lineRule="auto"/>
        <w:ind w:left="-5"/>
      </w:pPr>
      <w:r>
        <w:t>Care Bridge</w:t>
      </w:r>
      <w:r w:rsidR="00000000">
        <w:t xml:space="preserve"> is a four-stage provider. </w:t>
      </w:r>
    </w:p>
    <w:p w14:paraId="79E61058" w14:textId="77777777" w:rsidR="001E5411" w:rsidRDefault="00000000">
      <w:pPr>
        <w:ind w:left="-5"/>
      </w:pPr>
      <w:r>
        <w:rPr>
          <w:b/>
        </w:rPr>
        <w:t>First</w:t>
      </w:r>
      <w:r>
        <w:t xml:space="preserve">, registration at GP ensures the enrolment processes via Primary care channels that </w:t>
      </w:r>
      <w:proofErr w:type="gramStart"/>
      <w:r>
        <w:t>are believed</w:t>
      </w:r>
      <w:proofErr w:type="gramEnd"/>
      <w:r>
        <w:t xml:space="preserve">. This promotes trust and professional supervision. </w:t>
      </w:r>
    </w:p>
    <w:p w14:paraId="0A0DF9CE" w14:textId="36EC74E0" w:rsidR="001E5411" w:rsidRDefault="00000000">
      <w:pPr>
        <w:ind w:left="-5"/>
      </w:pPr>
      <w:r>
        <w:rPr>
          <w:b/>
        </w:rPr>
        <w:t>Second</w:t>
      </w:r>
      <w:r>
        <w:t xml:space="preserve">, the personalised care dashboard provides a consolidated view of appointments, medication regimen, social management </w:t>
      </w:r>
      <w:proofErr w:type="gramStart"/>
      <w:r>
        <w:t>visits</w:t>
      </w:r>
      <w:proofErr w:type="gramEnd"/>
      <w:r>
        <w:t xml:space="preserve"> and local assistance services. According to qualitative research, older people prefer clarity, simplicity, and personalisation in the context of using digital platforms during the general practise (</w:t>
      </w:r>
      <w:r w:rsidR="0001669E">
        <w:t>Konerus</w:t>
      </w:r>
      <w:r>
        <w:t xml:space="preserve"> et al., 2024). </w:t>
      </w:r>
    </w:p>
    <w:p w14:paraId="553514CC" w14:textId="1D2496E3" w:rsidR="001E5411" w:rsidRDefault="00000000">
      <w:pPr>
        <w:ind w:left="-5"/>
      </w:pPr>
      <w:r>
        <w:rPr>
          <w:b/>
        </w:rPr>
        <w:t>Third</w:t>
      </w:r>
      <w:r>
        <w:t xml:space="preserve">, medication adherence and attendance at appointments </w:t>
      </w:r>
      <w:proofErr w:type="gramStart"/>
      <w:r>
        <w:t>are enhanced</w:t>
      </w:r>
      <w:proofErr w:type="gramEnd"/>
      <w:r>
        <w:t xml:space="preserve"> </w:t>
      </w:r>
      <w:r w:rsidR="0001669E">
        <w:t>using</w:t>
      </w:r>
      <w:r>
        <w:t xml:space="preserve"> automated reminders and alerts. Studies note that there is an increasing role of integrating digital data to allow the provision of </w:t>
      </w:r>
      <w:proofErr w:type="gramStart"/>
      <w:r>
        <w:t>proactive</w:t>
      </w:r>
      <w:proofErr w:type="gramEnd"/>
      <w:r>
        <w:t xml:space="preserve"> and preventative care to older adults (Masoli et al., 2023). </w:t>
      </w:r>
    </w:p>
    <w:p w14:paraId="706BC274" w14:textId="77777777" w:rsidR="001E5411" w:rsidRDefault="00000000">
      <w:pPr>
        <w:spacing w:after="200"/>
        <w:ind w:left="-5"/>
      </w:pPr>
      <w:r>
        <w:rPr>
          <w:b/>
        </w:rPr>
        <w:t>Lastly</w:t>
      </w:r>
      <w:r>
        <w:t xml:space="preserve">, there is social connection integration, mapping local organisations and volunteering. It has </w:t>
      </w:r>
      <w:proofErr w:type="gramStart"/>
      <w:r>
        <w:t>been shown</w:t>
      </w:r>
      <w:proofErr w:type="gramEnd"/>
      <w:r>
        <w:t xml:space="preserve"> that digital care technologies are feasible to decrease isolation and enhance social connections in older adults (Gibson et al., 2025). This aspect makes sure that CareBridge does not just deal with the medical care, but also with overall well-being. </w:t>
      </w:r>
    </w:p>
    <w:p w14:paraId="710FCF01" w14:textId="77777777" w:rsidR="001E5411" w:rsidRDefault="00000000">
      <w:pPr>
        <w:pStyle w:val="Heading1"/>
        <w:spacing w:after="253"/>
        <w:ind w:left="-5"/>
      </w:pPr>
      <w:r>
        <w:t>Target Demographic and Impact</w:t>
      </w:r>
      <w:r>
        <w:rPr>
          <w:b w:val="0"/>
          <w:sz w:val="24"/>
        </w:rPr>
        <w:t xml:space="preserve"> </w:t>
      </w:r>
    </w:p>
    <w:p w14:paraId="068544BD" w14:textId="4B9D02AC" w:rsidR="001E5411" w:rsidRDefault="00000000">
      <w:pPr>
        <w:spacing w:after="320"/>
        <w:ind w:left="-5"/>
      </w:pPr>
      <w:r>
        <w:t xml:space="preserve">Its main beneficiaries are adults who are 65 years and older, with most living independently and taking care of their chronic conditions. Family caregivers, GP </w:t>
      </w:r>
      <w:proofErr w:type="gramStart"/>
      <w:r>
        <w:t>practises</w:t>
      </w:r>
      <w:proofErr w:type="gramEnd"/>
      <w:r>
        <w:t xml:space="preserve"> </w:t>
      </w:r>
      <w:r>
        <w:lastRenderedPageBreak/>
        <w:t>and social care professionals are the second line of beneficiaries. Research indicates that the elderly are varied in their choices on the use of digital services, which supports the idea of a need for flexible and adaptable systems (</w:t>
      </w:r>
      <w:proofErr w:type="spellStart"/>
      <w:r>
        <w:t>Laukka</w:t>
      </w:r>
      <w:proofErr w:type="spellEnd"/>
      <w:r>
        <w:t xml:space="preserve"> et al., 2024). Besides, it is necessary to conduct a systematic identification of digitally excluded persons to make interventions effective (Brundle et al., 2025). </w:t>
      </w:r>
      <w:r w:rsidR="0001669E">
        <w:t>Care Bridge</w:t>
      </w:r>
      <w:r>
        <w:t xml:space="preserve"> uses a digital needs assessment on registration to guarantee specific help. The platform would minimise missed appointments and tackle the access and communication challenge </w:t>
      </w:r>
      <w:r w:rsidR="0001669E">
        <w:t>altogether and</w:t>
      </w:r>
      <w:r>
        <w:t xml:space="preserve"> thus maximise medication adherence and inter-service communication. </w:t>
      </w:r>
    </w:p>
    <w:p w14:paraId="41AAC560" w14:textId="77777777" w:rsidR="001E5411" w:rsidRDefault="00000000">
      <w:pPr>
        <w:pStyle w:val="Heading1"/>
        <w:ind w:left="-5"/>
      </w:pPr>
      <w:r>
        <w:t xml:space="preserve">Technology and Inclusion </w:t>
      </w:r>
    </w:p>
    <w:p w14:paraId="4F62CEFD" w14:textId="7B2BED9D" w:rsidR="001E5411" w:rsidRDefault="00000000">
      <w:pPr>
        <w:spacing w:after="319"/>
        <w:ind w:left="-5"/>
      </w:pPr>
      <w:r>
        <w:t xml:space="preserve">The factors that affect the digital adoption of older adults consist of various barriers, such as the issue of usability, health literacy, and the complexity of chronic disease management (Hepburn et al., 2025). According to a policy analysis by The King’s Fund, digital health </w:t>
      </w:r>
      <w:proofErr w:type="gramStart"/>
      <w:r>
        <w:t xml:space="preserve">is </w:t>
      </w:r>
      <w:r w:rsidR="0001669E">
        <w:t>required</w:t>
      </w:r>
      <w:proofErr w:type="gramEnd"/>
      <w:r>
        <w:t xml:space="preserve"> to proceed with greater motion between exclusion and inclusion via purposeful design (Mistry and </w:t>
      </w:r>
      <w:proofErr w:type="spellStart"/>
      <w:r>
        <w:t>Jabbal</w:t>
      </w:r>
      <w:proofErr w:type="spellEnd"/>
      <w:r>
        <w:t xml:space="preserve">, 2023). CareBridge realises the philosophy of inclusive architecture by adopting it in the initial stages. The platform has met the standards of NHS digital infrastructure and adhered to the rules of secure data governance. CareBridge enhances system resilience and maintains equity as it complies with national priorities of digital transformation (NHS Confederation, 2025). </w:t>
      </w:r>
    </w:p>
    <w:p w14:paraId="1CAB94F5" w14:textId="77777777" w:rsidR="001E5411" w:rsidRDefault="00000000">
      <w:pPr>
        <w:pStyle w:val="Heading1"/>
        <w:ind w:left="-5"/>
      </w:pPr>
      <w:r>
        <w:t xml:space="preserve">Value to the Health and Social Care System </w:t>
      </w:r>
    </w:p>
    <w:p w14:paraId="7D7E34B2" w14:textId="77777777" w:rsidR="001E5411" w:rsidRDefault="00000000">
      <w:pPr>
        <w:spacing w:after="319"/>
        <w:ind w:left="-5"/>
      </w:pPr>
      <w:r>
        <w:t xml:space="preserve">CareBridge provides patient, professional and system value. It enhances independence, builds on integrated care and prevention-oriented healthcare provision. It minimises unnecessary strain on the service </w:t>
      </w:r>
      <w:proofErr w:type="gramStart"/>
      <w:r>
        <w:t>and also</w:t>
      </w:r>
      <w:proofErr w:type="gramEnd"/>
      <w:r>
        <w:t xml:space="preserve"> complements patient experience by increasing communication capacity and improving navigation. Importantly, it is compatible with the GH inclusive digital frameworks and helps to transform nations in terms of change. </w:t>
      </w:r>
    </w:p>
    <w:p w14:paraId="6DB88B9E" w14:textId="77777777" w:rsidR="001E5411" w:rsidRDefault="00000000">
      <w:pPr>
        <w:pStyle w:val="Heading1"/>
        <w:ind w:left="-5"/>
      </w:pPr>
      <w:r>
        <w:t xml:space="preserve">Conclusion </w:t>
      </w:r>
    </w:p>
    <w:p w14:paraId="5BD12F72" w14:textId="77777777" w:rsidR="001E5411" w:rsidRDefault="00000000">
      <w:pPr>
        <w:spacing w:after="317"/>
        <w:ind w:left="-5"/>
      </w:pPr>
      <w:r>
        <w:t xml:space="preserve">CareBridge embodies the non-discriminatory, </w:t>
      </w:r>
      <w:proofErr w:type="gramStart"/>
      <w:r>
        <w:t>scalable</w:t>
      </w:r>
      <w:proofErr w:type="gramEnd"/>
      <w:r>
        <w:t xml:space="preserve"> and policy-balanced solution to the mounting pressures in the UK health and social care. It enhances access and protects </w:t>
      </w:r>
      <w:r>
        <w:lastRenderedPageBreak/>
        <w:t xml:space="preserve">equity by integrating personalised coordination and structured inclusion strategies and digital navigation. CareBridge would enhance independence, prevent </w:t>
      </w:r>
      <w:proofErr w:type="gramStart"/>
      <w:r>
        <w:t>fragmentation</w:t>
      </w:r>
      <w:proofErr w:type="gramEnd"/>
      <w:r>
        <w:t xml:space="preserve"> and favour sustainable transformation towards the system. </w:t>
      </w:r>
    </w:p>
    <w:p w14:paraId="03161CC8" w14:textId="77777777" w:rsidR="001E5411" w:rsidRDefault="00000000">
      <w:pPr>
        <w:pStyle w:val="Heading1"/>
        <w:ind w:left="-5"/>
      </w:pPr>
      <w:r>
        <w:t xml:space="preserve">References </w:t>
      </w:r>
    </w:p>
    <w:p w14:paraId="025ADB82" w14:textId="77777777" w:rsidR="001E5411" w:rsidRDefault="00000000">
      <w:pPr>
        <w:spacing w:after="15"/>
        <w:ind w:left="-5"/>
      </w:pPr>
      <w:r>
        <w:t xml:space="preserve">Aujla, N., Frost, H., Guthrie, B., Hanratty, B., Kaner, E., O’Donnell, A., Ogden, M.E., Pain, H.G., </w:t>
      </w:r>
      <w:proofErr w:type="spellStart"/>
      <w:r>
        <w:t>Shenkin</w:t>
      </w:r>
      <w:proofErr w:type="spellEnd"/>
      <w:r>
        <w:t xml:space="preserve">, S.D. and Mercer, S.W. (2023). A Comparative Overview of Health and Social Care Policy for Older People in England and Scotland, United Kingdom </w:t>
      </w:r>
    </w:p>
    <w:p w14:paraId="72A3BC34" w14:textId="77777777" w:rsidR="001E5411" w:rsidRDefault="00000000">
      <w:pPr>
        <w:ind w:left="-5"/>
      </w:pPr>
      <w:r>
        <w:t xml:space="preserve">(UK). </w:t>
      </w:r>
      <w:r>
        <w:rPr>
          <w:i/>
        </w:rPr>
        <w:t xml:space="preserve">Health </w:t>
      </w:r>
      <w:r>
        <w:rPr>
          <w:i/>
        </w:rPr>
        <w:tab/>
        <w:t>Policy</w:t>
      </w:r>
      <w:r>
        <w:t xml:space="preserve">, </w:t>
      </w:r>
      <w:r>
        <w:tab/>
        <w:t xml:space="preserve">132(132), </w:t>
      </w:r>
      <w:r>
        <w:tab/>
        <w:t xml:space="preserve">pp.104814–104814. </w:t>
      </w:r>
      <w:proofErr w:type="spellStart"/>
      <w:proofErr w:type="gramStart"/>
      <w:r>
        <w:t>doi:https</w:t>
      </w:r>
      <w:proofErr w:type="spellEnd"/>
      <w:r>
        <w:t>://doi.org/10.1016/j.healthpol.2023.104814</w:t>
      </w:r>
      <w:proofErr w:type="gramEnd"/>
      <w:r>
        <w:t xml:space="preserve">. </w:t>
      </w:r>
    </w:p>
    <w:p w14:paraId="0E780DA7" w14:textId="77777777" w:rsidR="001E5411" w:rsidRDefault="00000000">
      <w:pPr>
        <w:ind w:left="-5"/>
      </w:pPr>
      <w:r>
        <w:t xml:space="preserve">Brundle, C., Johansson, J.F., Best, K., Clegg, A., Forster, A., Atkinson, T., Foster, M., Humphrey, S., Iliff, A., Inglis, J., Walker, </w:t>
      </w:r>
      <w:proofErr w:type="gramStart"/>
      <w:r>
        <w:t>C.</w:t>
      </w:r>
      <w:proofErr w:type="gramEnd"/>
      <w:r>
        <w:t xml:space="preserve"> and Graham, L. (2025). Development of methods to identify digitally excluded older people, and tailoring of interventions to meet their digital needs: a protocol for a mixed-methods study (the INCLUDE study). </w:t>
      </w:r>
      <w:r>
        <w:rPr>
          <w:i/>
        </w:rPr>
        <w:t>BMJ Open</w:t>
      </w:r>
      <w:r>
        <w:t xml:space="preserve">, [online] 15(9), p.e102723. </w:t>
      </w:r>
      <w:proofErr w:type="spellStart"/>
      <w:proofErr w:type="gramStart"/>
      <w:r>
        <w:t>doi:https</w:t>
      </w:r>
      <w:proofErr w:type="spellEnd"/>
      <w:r>
        <w:t>://doi.org/10.1136/bmjopen-2025-102723</w:t>
      </w:r>
      <w:proofErr w:type="gramEnd"/>
      <w:r>
        <w:t xml:space="preserve">. </w:t>
      </w:r>
    </w:p>
    <w:p w14:paraId="2EB067C2" w14:textId="77777777" w:rsidR="001E5411" w:rsidRDefault="00000000">
      <w:pPr>
        <w:spacing w:after="20"/>
        <w:ind w:left="-5"/>
      </w:pPr>
      <w:r>
        <w:t xml:space="preserve">Gibson, G., Lariviere, M., </w:t>
      </w:r>
      <w:proofErr w:type="spellStart"/>
      <w:r>
        <w:t>Steils</w:t>
      </w:r>
      <w:proofErr w:type="spellEnd"/>
      <w:r>
        <w:t xml:space="preserve">, N., Marston, H., Wilson-Nash, C., Lynch, J., Brittain, K., Henderson, C., Thorn, J., Worthington, J., Pike, </w:t>
      </w:r>
      <w:proofErr w:type="gramStart"/>
      <w:r>
        <w:t>K.</w:t>
      </w:r>
      <w:proofErr w:type="gramEnd"/>
      <w:r>
        <w:t xml:space="preserve"> and Mehta, R. (2025). DIALOGUE: Digital care technologies for social connection, </w:t>
      </w:r>
      <w:proofErr w:type="gramStart"/>
      <w:r>
        <w:t>care</w:t>
      </w:r>
      <w:proofErr w:type="gramEnd"/>
      <w:r>
        <w:t xml:space="preserve"> and support of older adults</w:t>
      </w:r>
      <w:proofErr w:type="gramStart"/>
      <w:r>
        <w:t xml:space="preserve">.  </w:t>
      </w:r>
      <w:proofErr w:type="gramEnd"/>
      <w:r>
        <w:t xml:space="preserve">Final </w:t>
      </w:r>
    </w:p>
    <w:p w14:paraId="408937C5" w14:textId="77777777" w:rsidR="001E5411" w:rsidRDefault="00000000">
      <w:pPr>
        <w:ind w:left="-5"/>
      </w:pPr>
      <w:r>
        <w:t xml:space="preserve">Project </w:t>
      </w:r>
      <w:r>
        <w:tab/>
        <w:t xml:space="preserve">Report. </w:t>
      </w:r>
      <w:r>
        <w:rPr>
          <w:i/>
        </w:rPr>
        <w:t xml:space="preserve">NIHR </w:t>
      </w:r>
      <w:r>
        <w:rPr>
          <w:i/>
        </w:rPr>
        <w:tab/>
        <w:t xml:space="preserve">Open </w:t>
      </w:r>
      <w:r>
        <w:rPr>
          <w:i/>
        </w:rPr>
        <w:tab/>
        <w:t>Research</w:t>
      </w:r>
      <w:r>
        <w:t xml:space="preserve">, </w:t>
      </w:r>
      <w:r>
        <w:tab/>
        <w:t xml:space="preserve">[online] </w:t>
      </w:r>
      <w:r>
        <w:tab/>
      </w:r>
      <w:proofErr w:type="gramStart"/>
      <w:r>
        <w:t>5</w:t>
      </w:r>
      <w:proofErr w:type="gramEnd"/>
      <w:r>
        <w:t xml:space="preserve">, </w:t>
      </w:r>
      <w:r>
        <w:tab/>
        <w:t xml:space="preserve">p.95. </w:t>
      </w:r>
      <w:proofErr w:type="spellStart"/>
      <w:proofErr w:type="gramStart"/>
      <w:r>
        <w:t>doi:https</w:t>
      </w:r>
      <w:proofErr w:type="spellEnd"/>
      <w:r>
        <w:t>://doi.org/10.3310/nihropenres.13994.1</w:t>
      </w:r>
      <w:proofErr w:type="gramEnd"/>
      <w:r>
        <w:t xml:space="preserve">. </w:t>
      </w:r>
    </w:p>
    <w:p w14:paraId="6B2D668B" w14:textId="77777777" w:rsidR="001E5411" w:rsidRDefault="00000000">
      <w:pPr>
        <w:spacing w:after="117" w:line="259" w:lineRule="auto"/>
        <w:ind w:left="-5"/>
      </w:pPr>
      <w:r>
        <w:t xml:space="preserve">GOV.UK (2025). </w:t>
      </w:r>
      <w:r>
        <w:rPr>
          <w:i/>
        </w:rPr>
        <w:t>Digital Inclusion Action Plan: First Steps</w:t>
      </w:r>
      <w:r>
        <w:t xml:space="preserve">. [online] GOV.UK. Available at: </w:t>
      </w:r>
    </w:p>
    <w:p w14:paraId="47C3C481" w14:textId="77777777" w:rsidR="001E5411" w:rsidRDefault="00000000">
      <w:pPr>
        <w:ind w:left="-5"/>
      </w:pPr>
      <w:r>
        <w:t xml:space="preserve">https://www.gov.uk/government/publications/digital-inclusion-action-plan-firststeps/digital-inclusion-action-plan-first-steps. </w:t>
      </w:r>
    </w:p>
    <w:p w14:paraId="3C5652D1" w14:textId="77777777" w:rsidR="001E5411" w:rsidRDefault="00000000">
      <w:pPr>
        <w:ind w:left="-5"/>
      </w:pPr>
      <w:r>
        <w:t xml:space="preserve">Hepburn, J., Williams, </w:t>
      </w:r>
      <w:proofErr w:type="gramStart"/>
      <w:r>
        <w:t>L.</w:t>
      </w:r>
      <w:proofErr w:type="gramEnd"/>
      <w:r>
        <w:t xml:space="preserve"> and McCann, L. (2025). ‘Barriers and Facilitators to Digital Health Technology Adoption Among Older Adults with Chronic Disease: An Updated Systematic Review’ (Preprint). </w:t>
      </w:r>
      <w:r>
        <w:rPr>
          <w:i/>
        </w:rPr>
        <w:t>JMIR Aging</w:t>
      </w:r>
      <w:r>
        <w:t xml:space="preserve">, 8, </w:t>
      </w:r>
      <w:proofErr w:type="gramStart"/>
      <w:r>
        <w:t>pp.e</w:t>
      </w:r>
      <w:proofErr w:type="gramEnd"/>
      <w:r>
        <w:t xml:space="preserve">80000–e80000. </w:t>
      </w:r>
      <w:proofErr w:type="spellStart"/>
      <w:proofErr w:type="gramStart"/>
      <w:r>
        <w:t>doi:https</w:t>
      </w:r>
      <w:proofErr w:type="spellEnd"/>
      <w:r>
        <w:t>://doi.org/10.2196/80000</w:t>
      </w:r>
      <w:proofErr w:type="gramEnd"/>
      <w:r>
        <w:t xml:space="preserve">. </w:t>
      </w:r>
    </w:p>
    <w:p w14:paraId="56B4007A" w14:textId="77777777" w:rsidR="001E5411" w:rsidRDefault="00000000">
      <w:pPr>
        <w:spacing w:after="117" w:line="259" w:lineRule="auto"/>
        <w:ind w:left="-5"/>
      </w:pPr>
      <w:proofErr w:type="spellStart"/>
      <w:r>
        <w:t>Knotnerus</w:t>
      </w:r>
      <w:proofErr w:type="spellEnd"/>
      <w:r>
        <w:t xml:space="preserve">, H.R., Ngo, H.T.N., </w:t>
      </w:r>
      <w:proofErr w:type="spellStart"/>
      <w:r>
        <w:t>Maarsingh</w:t>
      </w:r>
      <w:proofErr w:type="spellEnd"/>
      <w:r>
        <w:t xml:space="preserve">, O.R. and Vincent (2024). Understanding Older </w:t>
      </w:r>
    </w:p>
    <w:p w14:paraId="52833F61" w14:textId="77777777" w:rsidR="001E5411" w:rsidRDefault="00000000">
      <w:pPr>
        <w:ind w:left="-5"/>
      </w:pPr>
      <w:r>
        <w:lastRenderedPageBreak/>
        <w:t xml:space="preserve">Adults’ Experiences </w:t>
      </w:r>
      <w:proofErr w:type="gramStart"/>
      <w:r>
        <w:t>With</w:t>
      </w:r>
      <w:proofErr w:type="gramEnd"/>
      <w:r>
        <w:t xml:space="preserve"> a Digital Health Platform in General Practice: Qualitative Interview </w:t>
      </w:r>
      <w:r>
        <w:tab/>
        <w:t xml:space="preserve">Study. </w:t>
      </w:r>
      <w:r>
        <w:rPr>
          <w:i/>
        </w:rPr>
        <w:t xml:space="preserve">JMIR </w:t>
      </w:r>
      <w:r>
        <w:rPr>
          <w:i/>
        </w:rPr>
        <w:tab/>
        <w:t>Aging</w:t>
      </w:r>
      <w:r>
        <w:t xml:space="preserve">, </w:t>
      </w:r>
      <w:r>
        <w:tab/>
        <w:t xml:space="preserve">[online] </w:t>
      </w:r>
      <w:r>
        <w:tab/>
      </w:r>
      <w:proofErr w:type="gramStart"/>
      <w:r>
        <w:t>7</w:t>
      </w:r>
      <w:proofErr w:type="gramEnd"/>
      <w:r>
        <w:t xml:space="preserve">, </w:t>
      </w:r>
      <w:r>
        <w:tab/>
      </w:r>
      <w:proofErr w:type="gramStart"/>
      <w:r>
        <w:t>pp.e</w:t>
      </w:r>
      <w:proofErr w:type="gramEnd"/>
      <w:r>
        <w:t xml:space="preserve">59168–e59168. </w:t>
      </w:r>
      <w:proofErr w:type="spellStart"/>
      <w:proofErr w:type="gramStart"/>
      <w:r>
        <w:t>doi:https</w:t>
      </w:r>
      <w:proofErr w:type="spellEnd"/>
      <w:r>
        <w:t>://doi.org/10.2196/59168</w:t>
      </w:r>
      <w:proofErr w:type="gramEnd"/>
      <w:r>
        <w:t xml:space="preserve">. </w:t>
      </w:r>
    </w:p>
    <w:p w14:paraId="10235E22" w14:textId="77777777" w:rsidR="001E5411" w:rsidRDefault="00000000">
      <w:pPr>
        <w:spacing w:after="26" w:line="357" w:lineRule="auto"/>
        <w:ind w:left="0" w:firstLine="0"/>
        <w:jc w:val="left"/>
      </w:pPr>
      <w:proofErr w:type="spellStart"/>
      <w:r>
        <w:t>Kunonga</w:t>
      </w:r>
      <w:proofErr w:type="spellEnd"/>
      <w:r>
        <w:t xml:space="preserve">, T.P., Gemma, M., Spiers, F., Beyer, F.R. and Dawn (2021). </w:t>
      </w:r>
      <w:r>
        <w:rPr>
          <w:i/>
        </w:rPr>
        <w:t>Effects of Digital Technologies on Older People’s Access to Health and Social Care: Umbrella Review</w:t>
      </w:r>
      <w:r>
        <w:t xml:space="preserve">. </w:t>
      </w:r>
    </w:p>
    <w:p w14:paraId="37DEF56D" w14:textId="77777777" w:rsidR="001E5411" w:rsidRDefault="00000000">
      <w:pPr>
        <w:tabs>
          <w:tab w:val="center" w:pos="3493"/>
          <w:tab w:val="center" w:pos="6699"/>
          <w:tab w:val="right" w:pos="9370"/>
        </w:tabs>
        <w:spacing w:after="124" w:line="259" w:lineRule="auto"/>
        <w:ind w:left="-15" w:firstLine="0"/>
        <w:jc w:val="left"/>
      </w:pPr>
      <w:r>
        <w:t xml:space="preserve">[online] </w:t>
      </w:r>
      <w:r>
        <w:tab/>
        <w:t xml:space="preserve">ResearchGate. </w:t>
      </w:r>
      <w:r>
        <w:tab/>
        <w:t xml:space="preserve">Available </w:t>
      </w:r>
      <w:r>
        <w:tab/>
        <w:t xml:space="preserve">at: </w:t>
      </w:r>
    </w:p>
    <w:p w14:paraId="7F7A1D7A" w14:textId="77777777" w:rsidR="001E5411" w:rsidRDefault="00000000">
      <w:pPr>
        <w:ind w:left="-5"/>
      </w:pPr>
      <w:r>
        <w:t>https://www.researchgate.net/publication/356565675_Effects_of_Digital_Technologies_ on_Older_People%</w:t>
      </w:r>
      <w:proofErr w:type="gramStart"/>
      <w:r>
        <w:t>27s</w:t>
      </w:r>
      <w:proofErr w:type="gramEnd"/>
      <w:r>
        <w:t xml:space="preserve">_Access_to_Health_and_Social_Care_Umbrella_Review. </w:t>
      </w:r>
    </w:p>
    <w:p w14:paraId="0AC9CB15" w14:textId="77777777" w:rsidR="001E5411" w:rsidRDefault="00000000">
      <w:pPr>
        <w:ind w:left="-5"/>
      </w:pPr>
      <w:proofErr w:type="spellStart"/>
      <w:r>
        <w:t>Laukka</w:t>
      </w:r>
      <w:proofErr w:type="spellEnd"/>
      <w:r>
        <w:t xml:space="preserve">, E., </w:t>
      </w:r>
      <w:proofErr w:type="spellStart"/>
      <w:r>
        <w:t>Lakoma</w:t>
      </w:r>
      <w:proofErr w:type="spellEnd"/>
      <w:r>
        <w:t xml:space="preserve">, S., </w:t>
      </w:r>
      <w:proofErr w:type="spellStart"/>
      <w:r>
        <w:t>Harjumaa</w:t>
      </w:r>
      <w:proofErr w:type="spellEnd"/>
      <w:r>
        <w:t xml:space="preserve">, M., Hiltunen, S., Härkönen, H., Jansson, M., Leskelä, R.-L., Martikainen, S., Pennanen, P., </w:t>
      </w:r>
      <w:proofErr w:type="spellStart"/>
      <w:r>
        <w:t>Verho</w:t>
      </w:r>
      <w:proofErr w:type="spellEnd"/>
      <w:r>
        <w:t xml:space="preserve">, A. and </w:t>
      </w:r>
      <w:proofErr w:type="spellStart"/>
      <w:r>
        <w:t>Torkki</w:t>
      </w:r>
      <w:proofErr w:type="spellEnd"/>
      <w:r>
        <w:t xml:space="preserve">, P. (2024). Older adults’ preferences in the utilization of digital health and social services: a qualitative analysis of responses to open-ended questions. </w:t>
      </w:r>
      <w:r>
        <w:rPr>
          <w:i/>
        </w:rPr>
        <w:t>BMC Health Services Research</w:t>
      </w:r>
      <w:r>
        <w:t xml:space="preserve">, 24(1). </w:t>
      </w:r>
      <w:proofErr w:type="spellStart"/>
      <w:proofErr w:type="gramStart"/>
      <w:r>
        <w:t>doi:https</w:t>
      </w:r>
      <w:proofErr w:type="spellEnd"/>
      <w:r>
        <w:t>://doi.org/10.1186/s12913-024-11564-1</w:t>
      </w:r>
      <w:proofErr w:type="gramEnd"/>
      <w:r>
        <w:t xml:space="preserve">. </w:t>
      </w:r>
    </w:p>
    <w:p w14:paraId="7A809E8C" w14:textId="77777777" w:rsidR="001E5411" w:rsidRDefault="00000000">
      <w:pPr>
        <w:ind w:left="-5"/>
      </w:pPr>
      <w:r>
        <w:t xml:space="preserve">Masoli, J.A.H., Todd, O., Burton, J.K., Wolff, C., </w:t>
      </w:r>
      <w:proofErr w:type="spellStart"/>
      <w:r>
        <w:t>Walesby</w:t>
      </w:r>
      <w:proofErr w:type="spellEnd"/>
      <w:r>
        <w:t xml:space="preserve">, K.E., Hewitt, J., Conroy, S., Oppen, J. van , Wilkinson, C., Evans, R., Anand, A., Hollinghurst, J., Bhanu, C., Keevil, V.L., Emma, Anand, A., Burton, J.K., Bhanu, C., Butler, M. and Clegg, A. (2023). New horizons in the role of digital data in the healthcare of older people. </w:t>
      </w:r>
      <w:r>
        <w:rPr>
          <w:i/>
        </w:rPr>
        <w:t>Age and ageing</w:t>
      </w:r>
      <w:r>
        <w:t xml:space="preserve">, 52(8). </w:t>
      </w:r>
      <w:proofErr w:type="spellStart"/>
      <w:proofErr w:type="gramStart"/>
      <w:r>
        <w:t>doi:https</w:t>
      </w:r>
      <w:proofErr w:type="spellEnd"/>
      <w:r>
        <w:t>://doi.org/10.1093/ageing/afad134</w:t>
      </w:r>
      <w:proofErr w:type="gramEnd"/>
      <w:r>
        <w:t xml:space="preserve">. </w:t>
      </w:r>
    </w:p>
    <w:p w14:paraId="334F4A5C" w14:textId="77777777" w:rsidR="001E5411" w:rsidRDefault="00000000">
      <w:pPr>
        <w:ind w:left="-5"/>
      </w:pPr>
      <w:r>
        <w:t xml:space="preserve">Mee, P., Gussy, M., Huntley, P., Kenny, A., Jarratt, T., Kenward, N., Ward, </w:t>
      </w:r>
      <w:proofErr w:type="gramStart"/>
      <w:r>
        <w:t>D.</w:t>
      </w:r>
      <w:proofErr w:type="gramEnd"/>
      <w:r>
        <w:t xml:space="preserve"> and Vaughan, A. (2024). Digital exclusion as a barrier to accessing healthcare: a summary composite indicator and online tool to explore and quantify local differences in levels of exclusion. </w:t>
      </w:r>
      <w:r>
        <w:rPr>
          <w:i/>
        </w:rPr>
        <w:t>Universal Access in the Information Society</w:t>
      </w:r>
      <w:r>
        <w:t xml:space="preserve">. </w:t>
      </w:r>
      <w:proofErr w:type="spellStart"/>
      <w:proofErr w:type="gramStart"/>
      <w:r>
        <w:t>doi:https</w:t>
      </w:r>
      <w:proofErr w:type="spellEnd"/>
      <w:r>
        <w:t>://doi.org/10.1007/s10209-024-01148-5</w:t>
      </w:r>
      <w:proofErr w:type="gramEnd"/>
      <w:r>
        <w:t xml:space="preserve">. </w:t>
      </w:r>
    </w:p>
    <w:p w14:paraId="03E47BAD" w14:textId="77777777" w:rsidR="001E5411" w:rsidRDefault="00000000">
      <w:pPr>
        <w:spacing w:after="160" w:line="361" w:lineRule="auto"/>
        <w:ind w:left="0" w:firstLine="0"/>
        <w:jc w:val="left"/>
      </w:pPr>
      <w:r>
        <w:t xml:space="preserve">Mistry, P. and </w:t>
      </w:r>
      <w:proofErr w:type="spellStart"/>
      <w:r>
        <w:t>Jabbal</w:t>
      </w:r>
      <w:proofErr w:type="spellEnd"/>
      <w:r>
        <w:t xml:space="preserve">, J. (2023). </w:t>
      </w:r>
      <w:r>
        <w:rPr>
          <w:i/>
        </w:rPr>
        <w:t xml:space="preserve">Moving From Exclusion </w:t>
      </w:r>
      <w:proofErr w:type="gramStart"/>
      <w:r>
        <w:rPr>
          <w:i/>
        </w:rPr>
        <w:t>To</w:t>
      </w:r>
      <w:proofErr w:type="gramEnd"/>
      <w:r>
        <w:rPr>
          <w:i/>
        </w:rPr>
        <w:t xml:space="preserve"> Inclusion </w:t>
      </w:r>
      <w:proofErr w:type="gramStart"/>
      <w:r>
        <w:rPr>
          <w:i/>
        </w:rPr>
        <w:t>In</w:t>
      </w:r>
      <w:proofErr w:type="gramEnd"/>
      <w:r>
        <w:rPr>
          <w:i/>
        </w:rPr>
        <w:t xml:space="preserve"> Digital Health </w:t>
      </w:r>
      <w:proofErr w:type="gramStart"/>
      <w:r>
        <w:rPr>
          <w:i/>
        </w:rPr>
        <w:t>And</w:t>
      </w:r>
      <w:proofErr w:type="gramEnd"/>
      <w:r>
        <w:rPr>
          <w:i/>
        </w:rPr>
        <w:t xml:space="preserve"> Care</w:t>
      </w:r>
      <w:r>
        <w:t xml:space="preserve">. [online] The King’s Fund. Available at: https://www.kingsfund.org.uk/insightand-analysis/long-reads/exclusion-inclusion-digital-health-care. </w:t>
      </w:r>
    </w:p>
    <w:p w14:paraId="6F693D90" w14:textId="77777777" w:rsidR="001E5411" w:rsidRDefault="00000000">
      <w:pPr>
        <w:ind w:left="-5"/>
      </w:pPr>
      <w:r>
        <w:lastRenderedPageBreak/>
        <w:t xml:space="preserve">NHS Confederation (2025). </w:t>
      </w:r>
      <w:r>
        <w:rPr>
          <w:i/>
        </w:rPr>
        <w:t>Digital transformation in the NHS: a reference guide</w:t>
      </w:r>
      <w:r>
        <w:t xml:space="preserve">. [online] NHS Confederation. Available at: https://www.nhsconfed.org/publications/digitaltransformation-nhs-reference-guide. </w:t>
      </w:r>
    </w:p>
    <w:p w14:paraId="336BB37A" w14:textId="77777777" w:rsidR="001E5411" w:rsidRDefault="00000000">
      <w:pPr>
        <w:ind w:left="-5"/>
      </w:pPr>
      <w:r>
        <w:t xml:space="preserve">NHS England (2023). </w:t>
      </w:r>
      <w:r>
        <w:rPr>
          <w:i/>
        </w:rPr>
        <w:t>Inclusive digital healthcare: a framework for NHS action on digital inclusion</w:t>
      </w:r>
      <w:r>
        <w:t xml:space="preserve">. [online] www.england.nhs.uk. Available at: https://www.england.nhs.uk/longread/inclusive-digital-healthcare-a-framework-for-nhs-action-on-digital-inclusion. </w:t>
      </w:r>
    </w:p>
    <w:p w14:paraId="45D11408" w14:textId="77777777" w:rsidR="001E5411" w:rsidRDefault="00000000">
      <w:pPr>
        <w:spacing w:after="0" w:line="259" w:lineRule="auto"/>
        <w:ind w:left="0" w:firstLine="0"/>
        <w:jc w:val="left"/>
      </w:pPr>
      <w:r>
        <w:t xml:space="preserve"> </w:t>
      </w:r>
    </w:p>
    <w:sectPr w:rsidR="001E5411">
      <w:pgSz w:w="12240" w:h="15840"/>
      <w:pgMar w:top="1491" w:right="1429" w:bottom="144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411"/>
    <w:rsid w:val="0001669E"/>
    <w:rsid w:val="001E5411"/>
    <w:rsid w:val="00EF58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36776"/>
  <w15:docId w15:val="{43FB97AF-5FA7-47C3-AAFB-F8B1B9BE1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362" w:lineRule="auto"/>
      <w:ind w:left="18"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15" w:line="259" w:lineRule="auto"/>
      <w:ind w:left="10" w:hanging="10"/>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1645</Words>
  <Characters>9378</Characters>
  <Application>Microsoft Office Word</Application>
  <DocSecurity>0</DocSecurity>
  <Lines>78</Lines>
  <Paragraphs>22</Paragraphs>
  <ScaleCrop>false</ScaleCrop>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Naushaba Yaqoob Raja (2326745)</dc:creator>
  <cp:keywords/>
  <cp:lastModifiedBy>Naushaba Yaqoob Raja (2326745)</cp:lastModifiedBy>
  <cp:revision>2</cp:revision>
  <dcterms:created xsi:type="dcterms:W3CDTF">2026-03-15T13:10:00Z</dcterms:created>
  <dcterms:modified xsi:type="dcterms:W3CDTF">2026-03-15T13:10:00Z</dcterms:modified>
</cp:coreProperties>
</file>