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465DC" w14:textId="39E70F4D" w:rsidR="00DB1117" w:rsidRDefault="00DB1117" w:rsidP="00DB1117">
      <w:pPr>
        <w:spacing w:line="360" w:lineRule="auto"/>
        <w:jc w:val="center"/>
        <w:rPr>
          <w:rFonts w:cs="Times New Roman"/>
          <w:b/>
          <w:bCs/>
          <w:i/>
          <w:iCs/>
          <w:sz w:val="40"/>
          <w:szCs w:val="40"/>
        </w:rPr>
      </w:pPr>
    </w:p>
    <w:p w14:paraId="7042DAC8" w14:textId="77777777" w:rsidR="00DB1117" w:rsidRDefault="00DB1117" w:rsidP="00DB1117">
      <w:pPr>
        <w:spacing w:line="360" w:lineRule="auto"/>
        <w:jc w:val="center"/>
        <w:rPr>
          <w:rFonts w:cs="Times New Roman"/>
          <w:b/>
          <w:bCs/>
          <w:i/>
          <w:iCs/>
          <w:sz w:val="40"/>
          <w:szCs w:val="40"/>
        </w:rPr>
      </w:pPr>
    </w:p>
    <w:p w14:paraId="524DE623" w14:textId="77777777" w:rsidR="00DB1117" w:rsidRDefault="00DB1117" w:rsidP="00DB1117">
      <w:pPr>
        <w:spacing w:line="360" w:lineRule="auto"/>
        <w:jc w:val="center"/>
        <w:rPr>
          <w:rFonts w:cs="Times New Roman"/>
          <w:b/>
          <w:bCs/>
          <w:i/>
          <w:iCs/>
          <w:sz w:val="40"/>
          <w:szCs w:val="40"/>
        </w:rPr>
      </w:pPr>
    </w:p>
    <w:p w14:paraId="1C6DE4E4" w14:textId="2FA46F48" w:rsidR="00DB1117" w:rsidRPr="00DB1117" w:rsidRDefault="00DB1117" w:rsidP="00DB1117">
      <w:pPr>
        <w:spacing w:line="360" w:lineRule="auto"/>
        <w:jc w:val="center"/>
        <w:rPr>
          <w:rFonts w:cs="Times New Roman"/>
          <w:b/>
          <w:bCs/>
          <w:sz w:val="40"/>
          <w:szCs w:val="40"/>
        </w:rPr>
      </w:pPr>
      <w:r w:rsidRPr="00DB1117">
        <w:rPr>
          <w:rFonts w:cs="Times New Roman"/>
          <w:b/>
          <w:bCs/>
          <w:i/>
          <w:iCs/>
          <w:sz w:val="40"/>
          <w:szCs w:val="40"/>
        </w:rPr>
        <w:t>Introduction to Operating Hotel Facilities</w:t>
      </w:r>
    </w:p>
    <w:p w14:paraId="3EF2CF00" w14:textId="77777777" w:rsidR="00DB1117" w:rsidRPr="00DB1117" w:rsidRDefault="00DB1117" w:rsidP="00DB1117">
      <w:pPr>
        <w:spacing w:line="360" w:lineRule="auto"/>
        <w:jc w:val="center"/>
        <w:rPr>
          <w:rFonts w:cs="Times New Roman"/>
          <w:b/>
          <w:bCs/>
          <w:sz w:val="40"/>
          <w:szCs w:val="40"/>
        </w:rPr>
      </w:pPr>
      <w:r w:rsidRPr="00DB1117">
        <w:rPr>
          <w:rFonts w:cs="Times New Roman"/>
          <w:b/>
          <w:bCs/>
          <w:i/>
          <w:iCs/>
          <w:sz w:val="40"/>
          <w:szCs w:val="40"/>
        </w:rPr>
        <w:t>BMIH4006</w:t>
      </w:r>
    </w:p>
    <w:p w14:paraId="7B3F69A4" w14:textId="2B01BEB1" w:rsidR="00745C29" w:rsidRDefault="00DB1117" w:rsidP="00745C29">
      <w:pPr>
        <w:spacing w:line="360" w:lineRule="auto"/>
        <w:jc w:val="center"/>
        <w:rPr>
          <w:rFonts w:cs="Times New Roman"/>
          <w:b/>
          <w:bCs/>
          <w:sz w:val="40"/>
          <w:szCs w:val="40"/>
        </w:rPr>
      </w:pPr>
      <w:r>
        <w:rPr>
          <w:rFonts w:cs="Times New Roman"/>
          <w:b/>
          <w:bCs/>
          <w:sz w:val="40"/>
          <w:szCs w:val="40"/>
        </w:rPr>
        <w:t>Student Journal</w:t>
      </w:r>
    </w:p>
    <w:p w14:paraId="77C68444" w14:textId="77777777" w:rsidR="00745C29" w:rsidRDefault="00745C29" w:rsidP="00745C29">
      <w:pPr>
        <w:spacing w:line="360" w:lineRule="auto"/>
        <w:jc w:val="center"/>
        <w:rPr>
          <w:rFonts w:cs="Times New Roman"/>
          <w:b/>
          <w:bCs/>
          <w:sz w:val="40"/>
          <w:szCs w:val="40"/>
        </w:rPr>
      </w:pPr>
    </w:p>
    <w:p w14:paraId="77C0649D" w14:textId="77777777" w:rsidR="00745C29" w:rsidRDefault="00745C29" w:rsidP="00745C29">
      <w:pPr>
        <w:spacing w:line="360" w:lineRule="auto"/>
        <w:jc w:val="center"/>
        <w:rPr>
          <w:rFonts w:cs="Times New Roman"/>
          <w:b/>
          <w:bCs/>
          <w:sz w:val="40"/>
          <w:szCs w:val="40"/>
        </w:rPr>
      </w:pPr>
    </w:p>
    <w:p w14:paraId="0BACCE80" w14:textId="77777777" w:rsidR="00745C29" w:rsidRDefault="00745C29" w:rsidP="00745C29">
      <w:pPr>
        <w:spacing w:line="360" w:lineRule="auto"/>
        <w:jc w:val="center"/>
        <w:rPr>
          <w:rFonts w:cs="Times New Roman"/>
          <w:b/>
          <w:bCs/>
          <w:sz w:val="40"/>
          <w:szCs w:val="40"/>
        </w:rPr>
      </w:pPr>
    </w:p>
    <w:p w14:paraId="20FC6E7D" w14:textId="77777777" w:rsidR="00745C29" w:rsidRDefault="00745C29" w:rsidP="00745C29">
      <w:pPr>
        <w:spacing w:line="360" w:lineRule="auto"/>
        <w:jc w:val="center"/>
        <w:rPr>
          <w:rFonts w:cs="Times New Roman"/>
          <w:b/>
          <w:bCs/>
          <w:sz w:val="40"/>
          <w:szCs w:val="40"/>
        </w:rPr>
      </w:pPr>
    </w:p>
    <w:p w14:paraId="4921BB2E" w14:textId="2B5B170B" w:rsidR="00745C29" w:rsidRDefault="00DB1117" w:rsidP="00DB1117">
      <w:pPr>
        <w:spacing w:line="360" w:lineRule="auto"/>
        <w:jc w:val="left"/>
        <w:rPr>
          <w:rFonts w:cs="Times New Roman"/>
          <w:sz w:val="32"/>
          <w:szCs w:val="28"/>
        </w:rPr>
      </w:pPr>
      <w:r>
        <w:rPr>
          <w:rFonts w:cs="Times New Roman"/>
          <w:sz w:val="32"/>
          <w:szCs w:val="28"/>
        </w:rPr>
        <w:t>Student name: Roxana Elena Chelaru</w:t>
      </w:r>
    </w:p>
    <w:p w14:paraId="41EA9457" w14:textId="5A81740F" w:rsidR="00DB1117" w:rsidRPr="00745C29" w:rsidRDefault="00DB1117" w:rsidP="00DB1117">
      <w:pPr>
        <w:spacing w:line="360" w:lineRule="auto"/>
        <w:jc w:val="left"/>
        <w:rPr>
          <w:rFonts w:cs="Times New Roman"/>
          <w:sz w:val="32"/>
          <w:szCs w:val="28"/>
        </w:rPr>
      </w:pPr>
      <w:r>
        <w:rPr>
          <w:rFonts w:cs="Times New Roman"/>
          <w:sz w:val="32"/>
          <w:szCs w:val="28"/>
        </w:rPr>
        <w:t>Student ID: 2118844</w:t>
      </w:r>
    </w:p>
    <w:p w14:paraId="3588BD5B" w14:textId="77777777" w:rsidR="00745C29" w:rsidRDefault="00745C29">
      <w:pPr>
        <w:spacing w:line="259" w:lineRule="auto"/>
        <w:jc w:val="left"/>
      </w:pPr>
      <w:r>
        <w:br w:type="page"/>
      </w:r>
    </w:p>
    <w:p w14:paraId="459A6A90" w14:textId="00CB4E5C" w:rsidR="00745C29" w:rsidRDefault="006324D5" w:rsidP="00745C29">
      <w:pPr>
        <w:spacing w:line="360" w:lineRule="auto"/>
      </w:pPr>
      <w:r>
        <w:rPr>
          <w:b/>
          <w:bCs/>
        </w:rPr>
        <w:lastRenderedPageBreak/>
        <w:t>The topic</w:t>
      </w:r>
      <w:r w:rsidR="00745C29" w:rsidRPr="006324D5">
        <w:rPr>
          <w:b/>
          <w:bCs/>
        </w:rPr>
        <w:t xml:space="preserve"> of choice:</w:t>
      </w:r>
      <w:r w:rsidR="00745C29">
        <w:t xml:space="preserve"> Health and </w:t>
      </w:r>
      <w:r>
        <w:t>well-being</w:t>
      </w:r>
      <w:r w:rsidR="00745C29">
        <w:t xml:space="preserve"> – Emerging trend within the industry</w:t>
      </w:r>
    </w:p>
    <w:p w14:paraId="2B8FC3D4" w14:textId="34B2ACC2" w:rsidR="00CF0363" w:rsidRDefault="00866759" w:rsidP="00745C29">
      <w:pPr>
        <w:spacing w:line="360" w:lineRule="auto"/>
      </w:pPr>
      <w:r w:rsidRPr="00866759">
        <w:t xml:space="preserve">More and more people today are thinking about how their food and lifestyle decisions affect their health. Moreover, the current COVID-19 epidemic has prompted individuals to reconsider their diet and way of life. Due to clients' increased focus on health, the hospitality sector has had to rethink several of its long-standing traditions. Recent shifts in health and wellness have had a profound impact on the hospitality sector (Shin and Mattila, 2019). The world-famous MGM Grand Hotel and Casino in Las Vegas, for instance, offers special "Stay Well" suites equipped with a number of convenient amenities designed to appeal to the needs of health-conscious guests. You'll find electromagnetism shielding, blackout drapes, and vitamin-infused shower water in these rooms. clients who are concerned about their health and well-being are prepared to spend the premium prices for these rooms. According to studies commissioned by Even Hotels, around 30% of all vacationers are interested in health and wellbeing. Approximately 15 million of these health-conscious clients have a hard time maintaining their eating habits and staying active, leading many hotels to reevaluate their approaches. I learned a lot from our in-depth conversation on this issue, which I had previously known very little about. For instance, I found out that the percentage of hotels with gyms and workout facilities went from 60% in 2005 to approximately 90% in 2017. I discovered that many modern hotels provide in-room gym equipment, yoga mats, exercise balls, and other fitness-related products (Chang, 2020). Likewise, they are always looking for ways to improve the standard of their beds and sleeping environments. Some hotels even provide their minibars with nutritious snacks and organic products to appeal to health-conscious guests. Further, they are using recently established methods to enhance their pre-existing health and well-being infrastructure. Yoga mats and shoes, for instance, may be found at many hotels at no extra charge these days. They also provide a variety of group activities, including yoga, organised runs, and more. I've done a lot of research on current hotel business trends related to guests' physical and mental wellness. There were a few publications that shared my opinion that more hotels should provide organic and healthy cuisine alternatives. Those concerned about their diets will appreciate that they have options that are free of wheat, sugar, and gluten (Shin et al., 2019). I read in a magazine that many hotels are working to increase their ventilation and use of natural light. They have come to terms with the reality that modern vacationers prefer activities that do not compromise their health to those that do, and have tailored their offerings accordingly. From what I've gleaned from several scholarly papers and articles, it's clear that the wellness craze is an excellent tool for hotels to maintain their financial health and popularity for the long haul. </w:t>
      </w:r>
      <w:r w:rsidRPr="00866759">
        <w:lastRenderedPageBreak/>
        <w:t>It was brought to my attention that some hotels have begun offering customised services in an effort to boost visitor happiness. Guests and travellers alike have traditionally placed a premium on receiving individualised service. Incorporating customizable features has helped businesses like hotels meet guests' unique needs while also accommodating their preferences, timetables, and financial constraints. The hospitality sector has come to appreciate the significance of mental health and wellbeing alongside physical comfort and safety. From what I've read in many publications, including books, journals, and articles, I can say that the idea of mental health as a whole is beginning to get the attention and acceptance it deserves. Hotels have been implementing a variety of initiatives to better meet the needs of health-conscious guests, including those who are concerned about their mental well-being. In various group sessions offered by several hotels, guests are encouraged to share the struggles they're now experiencing with one another (Shin and Mattila, 2019). By dividing the load among the other visitors, they have a larger sense of relief. A recent podcast I listened to made me understand that hotels have come to know that services and design, in addition to cutting-edge amenities, greatly contribute to instilling a feeling of wellbeing among customers and travellers. Hotels have made major investments in natural lighting, menus, furniture arrangements, and colour palettes to appeal to health-conscious guests. As I dug into the research for my major subject—the latest health and wellness fads in the hospitality business—I discovered something interesting: fashions fade rapidly, particularly in the health and wellness sector. However, hotels' growth and development rely heavily on their early acceptance of these trends. They'll have a longer length of time in which they can maintain profitability and viability under intense market rivalry.</w:t>
      </w:r>
    </w:p>
    <w:p w14:paraId="778BDAC8" w14:textId="6C6F5F91" w:rsidR="00745C29" w:rsidRDefault="00745C29" w:rsidP="00745C29">
      <w:pPr>
        <w:pStyle w:val="Heading1"/>
      </w:pPr>
      <w:r>
        <w:t>References</w:t>
      </w:r>
    </w:p>
    <w:p w14:paraId="355BD4FE"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Chang, C., 2020. Self-control-centered empowerment model: Health consciousness and health</w:t>
      </w:r>
    </w:p>
    <w:p w14:paraId="1F06F1F0" w14:textId="77777777" w:rsidR="00745C29" w:rsidRPr="00745C29" w:rsidRDefault="00745C29" w:rsidP="00745C29">
      <w:pPr>
        <w:autoSpaceDE w:val="0"/>
        <w:autoSpaceDN w:val="0"/>
        <w:adjustRightInd w:val="0"/>
        <w:spacing w:after="0" w:line="360" w:lineRule="auto"/>
        <w:rPr>
          <w:rFonts w:cs="Times New Roman"/>
          <w:i/>
          <w:iCs/>
          <w:szCs w:val="24"/>
        </w:rPr>
      </w:pPr>
      <w:r w:rsidRPr="00745C29">
        <w:rPr>
          <w:rFonts w:cs="Times New Roman"/>
          <w:szCs w:val="24"/>
        </w:rPr>
        <w:t xml:space="preserve">knowledge as drivers of empowerment-seeking through health communication. </w:t>
      </w:r>
      <w:r w:rsidRPr="00745C29">
        <w:rPr>
          <w:rFonts w:cs="Times New Roman"/>
          <w:i/>
          <w:iCs/>
          <w:szCs w:val="24"/>
        </w:rPr>
        <w:t>Health</w:t>
      </w:r>
    </w:p>
    <w:p w14:paraId="687C399C"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i/>
          <w:iCs/>
          <w:szCs w:val="24"/>
        </w:rPr>
        <w:t>communication</w:t>
      </w:r>
      <w:r w:rsidRPr="00745C29">
        <w:rPr>
          <w:rFonts w:cs="Times New Roman"/>
          <w:szCs w:val="24"/>
        </w:rPr>
        <w:t xml:space="preserve">, </w:t>
      </w:r>
      <w:r w:rsidRPr="00745C29">
        <w:rPr>
          <w:rFonts w:cs="Times New Roman"/>
          <w:i/>
          <w:iCs/>
          <w:szCs w:val="24"/>
        </w:rPr>
        <w:t>35</w:t>
      </w:r>
      <w:r w:rsidRPr="00745C29">
        <w:rPr>
          <w:rFonts w:cs="Times New Roman"/>
          <w:szCs w:val="24"/>
        </w:rPr>
        <w:t>(12), pp.1497-1508.</w:t>
      </w:r>
    </w:p>
    <w:p w14:paraId="00BB0312"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Chi, C.G.Q., Chi, O.H. and Ouyang, Z., 2020. Wellness hotel: Conceptualization, scale</w:t>
      </w:r>
    </w:p>
    <w:p w14:paraId="21718483"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 xml:space="preserve">development, and validation. </w:t>
      </w:r>
      <w:r w:rsidRPr="00745C29">
        <w:rPr>
          <w:rFonts w:cs="Times New Roman"/>
          <w:i/>
          <w:iCs/>
          <w:szCs w:val="24"/>
        </w:rPr>
        <w:t>International Journal of Hospitality Management</w:t>
      </w:r>
      <w:r w:rsidRPr="00745C29">
        <w:rPr>
          <w:rFonts w:cs="Times New Roman"/>
          <w:szCs w:val="24"/>
        </w:rPr>
        <w:t xml:space="preserve">, </w:t>
      </w:r>
      <w:r w:rsidRPr="00745C29">
        <w:rPr>
          <w:rFonts w:cs="Times New Roman"/>
          <w:i/>
          <w:iCs/>
          <w:szCs w:val="24"/>
        </w:rPr>
        <w:t>89</w:t>
      </w:r>
      <w:r w:rsidRPr="00745C29">
        <w:rPr>
          <w:rFonts w:cs="Times New Roman"/>
          <w:szCs w:val="24"/>
        </w:rPr>
        <w:t>, p.102404.</w:t>
      </w:r>
    </w:p>
    <w:p w14:paraId="1AF54732"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Cozzio, C., Bullini Orlandi, L. and Zardini, A., 2018. Food sustainability as a strategic value</w:t>
      </w:r>
    </w:p>
    <w:p w14:paraId="4EB91195"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 xml:space="preserve">driver in the hotel industry. </w:t>
      </w:r>
      <w:r w:rsidRPr="00745C29">
        <w:rPr>
          <w:rFonts w:cs="Times New Roman"/>
          <w:i/>
          <w:iCs/>
          <w:szCs w:val="24"/>
        </w:rPr>
        <w:t>Sustainability</w:t>
      </w:r>
      <w:r w:rsidRPr="00745C29">
        <w:rPr>
          <w:rFonts w:cs="Times New Roman"/>
          <w:szCs w:val="24"/>
        </w:rPr>
        <w:t xml:space="preserve">, </w:t>
      </w:r>
      <w:r w:rsidRPr="00745C29">
        <w:rPr>
          <w:rFonts w:cs="Times New Roman"/>
          <w:i/>
          <w:iCs/>
          <w:szCs w:val="24"/>
        </w:rPr>
        <w:t>10</w:t>
      </w:r>
      <w:r w:rsidRPr="00745C29">
        <w:rPr>
          <w:rFonts w:cs="Times New Roman"/>
          <w:szCs w:val="24"/>
        </w:rPr>
        <w:t>(10), p.3404.</w:t>
      </w:r>
    </w:p>
    <w:p w14:paraId="2CE45D1B"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Shin, J. and Mattila, A.S., 2019. When organic food choices shape subsequent food choices:</w:t>
      </w:r>
    </w:p>
    <w:p w14:paraId="4FD49A0B" w14:textId="77777777" w:rsidR="00745C29" w:rsidRPr="00745C29" w:rsidRDefault="00745C29" w:rsidP="00745C29">
      <w:pPr>
        <w:autoSpaceDE w:val="0"/>
        <w:autoSpaceDN w:val="0"/>
        <w:adjustRightInd w:val="0"/>
        <w:spacing w:after="0" w:line="360" w:lineRule="auto"/>
        <w:rPr>
          <w:rFonts w:cs="Times New Roman"/>
          <w:i/>
          <w:iCs/>
          <w:szCs w:val="24"/>
        </w:rPr>
      </w:pPr>
      <w:r w:rsidRPr="00745C29">
        <w:rPr>
          <w:rFonts w:cs="Times New Roman"/>
          <w:szCs w:val="24"/>
        </w:rPr>
        <w:t xml:space="preserve">The interplay of gender and health consciousness. </w:t>
      </w:r>
      <w:r w:rsidRPr="00745C29">
        <w:rPr>
          <w:rFonts w:cs="Times New Roman"/>
          <w:i/>
          <w:iCs/>
          <w:szCs w:val="24"/>
        </w:rPr>
        <w:t>International Journal of Hospitality</w:t>
      </w:r>
    </w:p>
    <w:p w14:paraId="2A266B8B"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i/>
          <w:iCs/>
          <w:szCs w:val="24"/>
        </w:rPr>
        <w:t>Management</w:t>
      </w:r>
      <w:r w:rsidRPr="00745C29">
        <w:rPr>
          <w:rFonts w:cs="Times New Roman"/>
          <w:szCs w:val="24"/>
        </w:rPr>
        <w:t xml:space="preserve">, </w:t>
      </w:r>
      <w:r w:rsidRPr="00745C29">
        <w:rPr>
          <w:rFonts w:cs="Times New Roman"/>
          <w:i/>
          <w:iCs/>
          <w:szCs w:val="24"/>
        </w:rPr>
        <w:t>76</w:t>
      </w:r>
      <w:r w:rsidRPr="00745C29">
        <w:rPr>
          <w:rFonts w:cs="Times New Roman"/>
          <w:szCs w:val="24"/>
        </w:rPr>
        <w:t>, pp.94-101.</w:t>
      </w:r>
    </w:p>
    <w:p w14:paraId="1EF87B48"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lastRenderedPageBreak/>
        <w:t>Shin, Y.H., Im, J., Jung, S.E. and Severt, K., 2019. Motivations behind consumers’ organic</w:t>
      </w:r>
    </w:p>
    <w:p w14:paraId="3D9E2D15" w14:textId="77777777" w:rsidR="00745C29" w:rsidRPr="00745C29" w:rsidRDefault="00745C29" w:rsidP="00745C29">
      <w:pPr>
        <w:autoSpaceDE w:val="0"/>
        <w:autoSpaceDN w:val="0"/>
        <w:adjustRightInd w:val="0"/>
        <w:spacing w:after="0" w:line="360" w:lineRule="auto"/>
        <w:rPr>
          <w:rFonts w:cs="Times New Roman"/>
          <w:szCs w:val="24"/>
        </w:rPr>
      </w:pPr>
      <w:r w:rsidRPr="00745C29">
        <w:rPr>
          <w:rFonts w:cs="Times New Roman"/>
          <w:szCs w:val="24"/>
        </w:rPr>
        <w:t>menu choices: the role of environmental concern, social value, and health</w:t>
      </w:r>
    </w:p>
    <w:p w14:paraId="62237F57" w14:textId="783453BF" w:rsidR="00745C29" w:rsidRPr="00745C29" w:rsidRDefault="00745C29" w:rsidP="00745C29">
      <w:pPr>
        <w:spacing w:line="360" w:lineRule="auto"/>
        <w:rPr>
          <w:rFonts w:cs="Times New Roman"/>
        </w:rPr>
      </w:pPr>
      <w:r w:rsidRPr="00745C29">
        <w:rPr>
          <w:rFonts w:cs="Times New Roman"/>
          <w:szCs w:val="24"/>
        </w:rPr>
        <w:t xml:space="preserve">consciousness. </w:t>
      </w:r>
      <w:r w:rsidRPr="00745C29">
        <w:rPr>
          <w:rFonts w:cs="Times New Roman"/>
          <w:i/>
          <w:iCs/>
          <w:szCs w:val="24"/>
        </w:rPr>
        <w:t>Journal of Quality Assurance in Hospitality &amp; Tourism</w:t>
      </w:r>
      <w:r w:rsidRPr="00745C29">
        <w:rPr>
          <w:rFonts w:cs="Times New Roman"/>
          <w:szCs w:val="24"/>
        </w:rPr>
        <w:t xml:space="preserve">, </w:t>
      </w:r>
      <w:r w:rsidRPr="00745C29">
        <w:rPr>
          <w:rFonts w:cs="Times New Roman"/>
          <w:i/>
          <w:iCs/>
          <w:szCs w:val="24"/>
        </w:rPr>
        <w:t>20</w:t>
      </w:r>
      <w:r w:rsidRPr="00745C29">
        <w:rPr>
          <w:rFonts w:cs="Times New Roman"/>
          <w:szCs w:val="24"/>
        </w:rPr>
        <w:t>(1), pp.107-122.</w:t>
      </w:r>
    </w:p>
    <w:sectPr w:rsidR="00745C29" w:rsidRPr="00745C2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354CB" w14:textId="77777777" w:rsidR="00D6268F" w:rsidRDefault="00D6268F" w:rsidP="004E500E">
      <w:pPr>
        <w:spacing w:after="0"/>
      </w:pPr>
      <w:r>
        <w:separator/>
      </w:r>
    </w:p>
  </w:endnote>
  <w:endnote w:type="continuationSeparator" w:id="0">
    <w:p w14:paraId="3803438C" w14:textId="77777777" w:rsidR="00D6268F" w:rsidRDefault="00D6268F" w:rsidP="004E500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E53CE" w14:textId="77777777" w:rsidR="00B05AC6" w:rsidRDefault="00B05A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417123"/>
      <w:docPartObj>
        <w:docPartGallery w:val="Page Numbers (Bottom of Page)"/>
        <w:docPartUnique/>
      </w:docPartObj>
    </w:sdtPr>
    <w:sdtEndPr>
      <w:rPr>
        <w:noProof/>
      </w:rPr>
    </w:sdtEndPr>
    <w:sdtContent>
      <w:p w14:paraId="07828CF2" w14:textId="7A29837B" w:rsidR="00B05AC6" w:rsidRDefault="00B05A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07B654" w14:textId="77777777" w:rsidR="00B05AC6" w:rsidRDefault="00B05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0715" w14:textId="77777777" w:rsidR="00B05AC6" w:rsidRDefault="00B05A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6E3FB" w14:textId="77777777" w:rsidR="00D6268F" w:rsidRDefault="00D6268F" w:rsidP="004E500E">
      <w:pPr>
        <w:spacing w:after="0"/>
      </w:pPr>
      <w:r>
        <w:separator/>
      </w:r>
    </w:p>
  </w:footnote>
  <w:footnote w:type="continuationSeparator" w:id="0">
    <w:p w14:paraId="4A46C975" w14:textId="77777777" w:rsidR="00D6268F" w:rsidRDefault="00D6268F" w:rsidP="004E500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FD4B" w14:textId="77777777" w:rsidR="00B05AC6" w:rsidRDefault="00B05A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8AFE3" w14:textId="77777777" w:rsidR="00B05AC6" w:rsidRDefault="00B05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181E2" w14:textId="77777777" w:rsidR="00B05AC6" w:rsidRDefault="00B05A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80"/>
    <w:rsid w:val="001B0F22"/>
    <w:rsid w:val="002A7E51"/>
    <w:rsid w:val="004E500E"/>
    <w:rsid w:val="005E7159"/>
    <w:rsid w:val="006324D5"/>
    <w:rsid w:val="00672609"/>
    <w:rsid w:val="00745C29"/>
    <w:rsid w:val="00866759"/>
    <w:rsid w:val="00A46E6C"/>
    <w:rsid w:val="00B05AC6"/>
    <w:rsid w:val="00CF0363"/>
    <w:rsid w:val="00D03280"/>
    <w:rsid w:val="00D6268F"/>
    <w:rsid w:val="00DB1117"/>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474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F22"/>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1B0F22"/>
    <w:pPr>
      <w:keepNext/>
      <w:keepLines/>
      <w:spacing w:before="240" w:after="0" w:line="360" w:lineRule="auto"/>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1B0F22"/>
    <w:pPr>
      <w:keepNext/>
      <w:keepLines/>
      <w:spacing w:before="40" w:after="0" w:line="360" w:lineRule="auto"/>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F22"/>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semiHidden/>
    <w:rsid w:val="001B0F22"/>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4E500E"/>
    <w:pPr>
      <w:tabs>
        <w:tab w:val="center" w:pos="4513"/>
        <w:tab w:val="right" w:pos="9026"/>
      </w:tabs>
      <w:spacing w:after="0"/>
    </w:pPr>
  </w:style>
  <w:style w:type="character" w:customStyle="1" w:styleId="HeaderChar">
    <w:name w:val="Header Char"/>
    <w:basedOn w:val="DefaultParagraphFont"/>
    <w:link w:val="Header"/>
    <w:uiPriority w:val="99"/>
    <w:rsid w:val="004E500E"/>
    <w:rPr>
      <w:rFonts w:ascii="Times New Roman" w:hAnsi="Times New Roman"/>
      <w:sz w:val="24"/>
    </w:rPr>
  </w:style>
  <w:style w:type="paragraph" w:styleId="Footer">
    <w:name w:val="footer"/>
    <w:basedOn w:val="Normal"/>
    <w:link w:val="FooterChar"/>
    <w:uiPriority w:val="99"/>
    <w:unhideWhenUsed/>
    <w:rsid w:val="004E500E"/>
    <w:pPr>
      <w:tabs>
        <w:tab w:val="center" w:pos="4513"/>
        <w:tab w:val="right" w:pos="9026"/>
      </w:tabs>
      <w:spacing w:after="0"/>
    </w:pPr>
  </w:style>
  <w:style w:type="character" w:customStyle="1" w:styleId="FooterChar">
    <w:name w:val="Footer Char"/>
    <w:basedOn w:val="DefaultParagraphFont"/>
    <w:link w:val="Footer"/>
    <w:uiPriority w:val="99"/>
    <w:rsid w:val="004E500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924</Words>
  <Characters>5268</Characters>
  <Application>Microsoft Office Word</Application>
  <DocSecurity>0</DocSecurity>
  <Lines>43</Lines>
  <Paragraphs>12</Paragraphs>
  <ScaleCrop>false</ScaleCrop>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2022-10-26T08:10:00Z</dcterms:created>
  <dcterms:modified xsi:type="dcterms:W3CDTF">2022-10-27T20:21:00Z</dcterms:modified>
</cp:coreProperties>
</file>