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5E417" w14:textId="57F0DAE3" w:rsidR="00E851DA" w:rsidRDefault="008008B7" w:rsidP="00F5375F">
      <w:pPr>
        <w:rPr>
          <w:rFonts w:ascii="Arial" w:hAnsi="Arial" w:cs="Arial"/>
          <w:b/>
          <w:bCs/>
          <w:sz w:val="32"/>
          <w:szCs w:val="32"/>
          <w:lang w:val="nl-NL"/>
        </w:rPr>
      </w:pPr>
      <w:r w:rsidRPr="00EB1F76">
        <w:rPr>
          <w:rFonts w:ascii="Arial" w:hAnsi="Arial" w:cs="Arial"/>
          <w:b/>
          <w:bCs/>
          <w:sz w:val="32"/>
          <w:szCs w:val="32"/>
          <w:lang w:val="nl-NL"/>
        </w:rPr>
        <w:t xml:space="preserve">Student </w:t>
      </w:r>
      <w:r w:rsidR="0010330F" w:rsidRPr="00EB1F76">
        <w:rPr>
          <w:rFonts w:ascii="Arial" w:hAnsi="Arial" w:cs="Arial"/>
          <w:b/>
          <w:bCs/>
          <w:sz w:val="32"/>
          <w:szCs w:val="32"/>
          <w:lang w:val="nl-NL"/>
        </w:rPr>
        <w:t xml:space="preserve">name: Sabad </w:t>
      </w:r>
      <w:proofErr w:type="spellStart"/>
      <w:r w:rsidR="0010330F" w:rsidRPr="00EB1F76">
        <w:rPr>
          <w:rFonts w:ascii="Arial" w:hAnsi="Arial" w:cs="Arial"/>
          <w:b/>
          <w:bCs/>
          <w:sz w:val="32"/>
          <w:szCs w:val="32"/>
          <w:lang w:val="nl-NL"/>
        </w:rPr>
        <w:t>Noreen</w:t>
      </w:r>
      <w:proofErr w:type="spellEnd"/>
      <w:r w:rsidR="0010330F" w:rsidRPr="00EB1F76">
        <w:rPr>
          <w:rFonts w:ascii="Arial" w:hAnsi="Arial" w:cs="Arial"/>
          <w:b/>
          <w:bCs/>
          <w:sz w:val="32"/>
          <w:szCs w:val="32"/>
          <w:lang w:val="nl-NL"/>
        </w:rPr>
        <w:t xml:space="preserve"> </w:t>
      </w:r>
      <w:r w:rsidR="00EB1F76" w:rsidRPr="00EB1F76">
        <w:rPr>
          <w:rFonts w:ascii="Arial" w:hAnsi="Arial" w:cs="Arial"/>
          <w:b/>
          <w:bCs/>
          <w:sz w:val="32"/>
          <w:szCs w:val="32"/>
          <w:lang w:val="nl-NL"/>
        </w:rPr>
        <w:t>Af</w:t>
      </w:r>
      <w:r w:rsidR="00EB1F76">
        <w:rPr>
          <w:rFonts w:ascii="Arial" w:hAnsi="Arial" w:cs="Arial"/>
          <w:b/>
          <w:bCs/>
          <w:sz w:val="32"/>
          <w:szCs w:val="32"/>
          <w:lang w:val="nl-NL"/>
        </w:rPr>
        <w:t>sar</w:t>
      </w:r>
    </w:p>
    <w:p w14:paraId="76F1A609" w14:textId="3FEFEF8F" w:rsidR="00EB1F76" w:rsidRDefault="00EB1F76" w:rsidP="00F5375F">
      <w:pPr>
        <w:rPr>
          <w:rFonts w:ascii="Arial" w:hAnsi="Arial" w:cs="Arial"/>
          <w:b/>
          <w:bCs/>
          <w:sz w:val="32"/>
          <w:szCs w:val="32"/>
          <w:lang w:val="nl-NL"/>
        </w:rPr>
      </w:pPr>
      <w:r>
        <w:rPr>
          <w:rFonts w:ascii="Arial" w:hAnsi="Arial" w:cs="Arial"/>
          <w:b/>
          <w:bCs/>
          <w:sz w:val="32"/>
          <w:szCs w:val="32"/>
          <w:lang w:val="nl-NL"/>
        </w:rPr>
        <w:t xml:space="preserve">Student </w:t>
      </w:r>
      <w:r w:rsidR="002A5904">
        <w:rPr>
          <w:rFonts w:ascii="Arial" w:hAnsi="Arial" w:cs="Arial"/>
          <w:b/>
          <w:bCs/>
          <w:sz w:val="32"/>
          <w:szCs w:val="32"/>
          <w:lang w:val="nl-NL"/>
        </w:rPr>
        <w:t>ID: 2419308</w:t>
      </w:r>
    </w:p>
    <w:p w14:paraId="3272066A" w14:textId="21947FCC" w:rsidR="002A5904" w:rsidRDefault="00637FDD" w:rsidP="00F5375F">
      <w:pPr>
        <w:rPr>
          <w:rFonts w:ascii="Arial" w:hAnsi="Arial" w:cs="Arial"/>
          <w:b/>
          <w:bCs/>
          <w:sz w:val="32"/>
          <w:szCs w:val="32"/>
        </w:rPr>
      </w:pPr>
      <w:r w:rsidRPr="001B080C">
        <w:rPr>
          <w:rFonts w:ascii="Arial" w:hAnsi="Arial" w:cs="Arial"/>
          <w:b/>
          <w:bCs/>
          <w:sz w:val="32"/>
          <w:szCs w:val="32"/>
        </w:rPr>
        <w:t>Module: P</w:t>
      </w:r>
      <w:r w:rsidR="001B080C" w:rsidRPr="001B080C">
        <w:rPr>
          <w:rFonts w:ascii="Arial" w:hAnsi="Arial" w:cs="Arial"/>
          <w:b/>
          <w:bCs/>
          <w:sz w:val="32"/>
          <w:szCs w:val="32"/>
        </w:rPr>
        <w:t>sychology in Health a</w:t>
      </w:r>
      <w:r w:rsidR="001B080C">
        <w:rPr>
          <w:rFonts w:ascii="Arial" w:hAnsi="Arial" w:cs="Arial"/>
          <w:b/>
          <w:bCs/>
          <w:sz w:val="32"/>
          <w:szCs w:val="32"/>
        </w:rPr>
        <w:t>n</w:t>
      </w:r>
      <w:r w:rsidR="00E972E3">
        <w:rPr>
          <w:rFonts w:ascii="Arial" w:hAnsi="Arial" w:cs="Arial"/>
          <w:b/>
          <w:bCs/>
          <w:sz w:val="32"/>
          <w:szCs w:val="32"/>
        </w:rPr>
        <w:t>d Social Care</w:t>
      </w:r>
    </w:p>
    <w:p w14:paraId="2ABB42E4" w14:textId="61015687" w:rsidR="00E972E3" w:rsidRDefault="00D94914" w:rsidP="00F5375F">
      <w:pPr>
        <w:rPr>
          <w:rFonts w:ascii="Arial" w:hAnsi="Arial" w:cs="Arial"/>
          <w:b/>
          <w:bCs/>
          <w:sz w:val="32"/>
          <w:szCs w:val="32"/>
        </w:rPr>
      </w:pPr>
      <w:r>
        <w:rPr>
          <w:rFonts w:ascii="Arial" w:hAnsi="Arial" w:cs="Arial"/>
          <w:b/>
          <w:bCs/>
          <w:sz w:val="32"/>
          <w:szCs w:val="32"/>
        </w:rPr>
        <w:t>Module code:</w:t>
      </w:r>
      <w:r w:rsidR="00586740">
        <w:rPr>
          <w:rFonts w:ascii="Arial" w:hAnsi="Arial" w:cs="Arial"/>
          <w:b/>
          <w:bCs/>
          <w:sz w:val="32"/>
          <w:szCs w:val="32"/>
        </w:rPr>
        <w:t xml:space="preserve"> LCHS4010</w:t>
      </w:r>
    </w:p>
    <w:p w14:paraId="3489822A" w14:textId="1317081C" w:rsidR="00586740" w:rsidRDefault="00353D22" w:rsidP="00F5375F">
      <w:pPr>
        <w:rPr>
          <w:rFonts w:ascii="Arial" w:hAnsi="Arial" w:cs="Arial"/>
          <w:b/>
          <w:bCs/>
          <w:sz w:val="32"/>
          <w:szCs w:val="32"/>
        </w:rPr>
      </w:pPr>
      <w:r>
        <w:rPr>
          <w:rFonts w:ascii="Arial" w:hAnsi="Arial" w:cs="Arial"/>
          <w:b/>
          <w:bCs/>
          <w:sz w:val="32"/>
          <w:szCs w:val="32"/>
        </w:rPr>
        <w:t xml:space="preserve">Module lead: </w:t>
      </w:r>
      <w:r w:rsidR="006A7515">
        <w:rPr>
          <w:rFonts w:ascii="Arial" w:hAnsi="Arial" w:cs="Arial"/>
          <w:b/>
          <w:bCs/>
          <w:sz w:val="32"/>
          <w:szCs w:val="32"/>
        </w:rPr>
        <w:t>Neale Haddon</w:t>
      </w:r>
    </w:p>
    <w:p w14:paraId="68865F01" w14:textId="5B0ED960" w:rsidR="006A7515" w:rsidRDefault="0080354B" w:rsidP="00F5375F">
      <w:pPr>
        <w:rPr>
          <w:rFonts w:ascii="Arial" w:hAnsi="Arial" w:cs="Arial"/>
          <w:b/>
          <w:bCs/>
          <w:sz w:val="32"/>
          <w:szCs w:val="32"/>
        </w:rPr>
      </w:pPr>
      <w:r>
        <w:rPr>
          <w:rFonts w:ascii="Arial" w:hAnsi="Arial" w:cs="Arial"/>
          <w:b/>
          <w:bCs/>
          <w:sz w:val="32"/>
          <w:szCs w:val="32"/>
        </w:rPr>
        <w:t>Lecturer:</w:t>
      </w:r>
      <w:r w:rsidR="00A83F15">
        <w:rPr>
          <w:rFonts w:ascii="Arial" w:hAnsi="Arial" w:cs="Arial"/>
          <w:b/>
          <w:bCs/>
          <w:sz w:val="32"/>
          <w:szCs w:val="32"/>
        </w:rPr>
        <w:t xml:space="preserve"> Kal </w:t>
      </w:r>
      <w:proofErr w:type="spellStart"/>
      <w:r w:rsidR="004C2CBB">
        <w:rPr>
          <w:rFonts w:ascii="Arial" w:hAnsi="Arial" w:cs="Arial"/>
          <w:b/>
          <w:bCs/>
          <w:sz w:val="32"/>
          <w:szCs w:val="32"/>
        </w:rPr>
        <w:t>Alnababtah</w:t>
      </w:r>
      <w:proofErr w:type="spellEnd"/>
    </w:p>
    <w:p w14:paraId="234F9F30" w14:textId="2751442D" w:rsidR="00FB2690" w:rsidRDefault="00FB2690" w:rsidP="00F5375F">
      <w:pPr>
        <w:rPr>
          <w:rFonts w:ascii="Arial" w:hAnsi="Arial" w:cs="Arial"/>
          <w:b/>
          <w:bCs/>
          <w:sz w:val="32"/>
          <w:szCs w:val="32"/>
        </w:rPr>
      </w:pPr>
      <w:r>
        <w:rPr>
          <w:rFonts w:ascii="Arial" w:hAnsi="Arial" w:cs="Arial"/>
          <w:b/>
          <w:bCs/>
          <w:sz w:val="32"/>
          <w:szCs w:val="32"/>
        </w:rPr>
        <w:t>Assig</w:t>
      </w:r>
      <w:r w:rsidR="00AE252A">
        <w:rPr>
          <w:rFonts w:ascii="Arial" w:hAnsi="Arial" w:cs="Arial"/>
          <w:b/>
          <w:bCs/>
          <w:sz w:val="32"/>
          <w:szCs w:val="32"/>
        </w:rPr>
        <w:t xml:space="preserve">nment Title: Written </w:t>
      </w:r>
      <w:r w:rsidR="00162A18">
        <w:rPr>
          <w:rFonts w:ascii="Arial" w:hAnsi="Arial" w:cs="Arial"/>
          <w:b/>
          <w:bCs/>
          <w:sz w:val="32"/>
          <w:szCs w:val="32"/>
        </w:rPr>
        <w:t>Task</w:t>
      </w:r>
    </w:p>
    <w:p w14:paraId="73D01E97" w14:textId="56E66435" w:rsidR="00162A18" w:rsidRPr="001B080C" w:rsidRDefault="00162A18" w:rsidP="00F5375F">
      <w:pPr>
        <w:rPr>
          <w:rFonts w:ascii="Arial" w:hAnsi="Arial" w:cs="Arial"/>
          <w:b/>
          <w:bCs/>
          <w:sz w:val="36"/>
          <w:szCs w:val="36"/>
        </w:rPr>
      </w:pPr>
      <w:r>
        <w:rPr>
          <w:rFonts w:ascii="Arial" w:hAnsi="Arial" w:cs="Arial"/>
          <w:b/>
          <w:bCs/>
          <w:sz w:val="32"/>
          <w:szCs w:val="32"/>
        </w:rPr>
        <w:t>Submission date</w:t>
      </w:r>
      <w:r w:rsidR="00917373">
        <w:rPr>
          <w:rFonts w:ascii="Arial" w:hAnsi="Arial" w:cs="Arial"/>
          <w:b/>
          <w:bCs/>
          <w:sz w:val="32"/>
          <w:szCs w:val="32"/>
        </w:rPr>
        <w:t>:18/11/25</w:t>
      </w:r>
    </w:p>
    <w:p w14:paraId="725884AB" w14:textId="62A2BAE2" w:rsidR="00940355" w:rsidRPr="001B080C" w:rsidRDefault="00940355" w:rsidP="00940355">
      <w:pPr>
        <w:jc w:val="center"/>
        <w:rPr>
          <w:rFonts w:ascii="Arial" w:hAnsi="Arial" w:cs="Arial"/>
          <w:i/>
          <w:iCs/>
          <w:sz w:val="22"/>
          <w:szCs w:val="22"/>
        </w:rPr>
      </w:pPr>
    </w:p>
    <w:p w14:paraId="17E848E5" w14:textId="77777777" w:rsidR="00940355" w:rsidRPr="001B080C" w:rsidRDefault="00940355" w:rsidP="00940355">
      <w:pPr>
        <w:jc w:val="left"/>
        <w:rPr>
          <w:rFonts w:ascii="Arial" w:hAnsi="Arial" w:cs="Arial"/>
          <w:i/>
          <w:iCs/>
          <w:sz w:val="22"/>
          <w:szCs w:val="22"/>
        </w:rPr>
      </w:pPr>
      <w:r w:rsidRPr="001B080C">
        <w:rPr>
          <w:rFonts w:ascii="Arial" w:hAnsi="Arial" w:cs="Arial"/>
          <w:i/>
          <w:iCs/>
          <w:sz w:val="22"/>
          <w:szCs w:val="22"/>
        </w:rPr>
        <w:br w:type="page"/>
      </w:r>
    </w:p>
    <w:sdt>
      <w:sdtPr>
        <w:rPr>
          <w:rFonts w:ascii="Arial" w:eastAsiaTheme="minorHAnsi" w:hAnsi="Arial" w:cs="Arial"/>
          <w:color w:val="auto"/>
          <w:kern w:val="2"/>
          <w:sz w:val="22"/>
          <w:szCs w:val="22"/>
          <w:lang w:val="en-GB"/>
          <w14:ligatures w14:val="standardContextual"/>
        </w:rPr>
        <w:id w:val="-2064776532"/>
        <w:docPartObj>
          <w:docPartGallery w:val="Table of Contents"/>
          <w:docPartUnique/>
        </w:docPartObj>
      </w:sdtPr>
      <w:sdtEndPr>
        <w:rPr>
          <w:b/>
          <w:bCs/>
          <w:noProof/>
        </w:rPr>
      </w:sdtEndPr>
      <w:sdtContent>
        <w:p w14:paraId="11E43FD5" w14:textId="632E7BF9" w:rsidR="00940355" w:rsidRPr="00AD15BF" w:rsidRDefault="00940355" w:rsidP="003A0060">
          <w:pPr>
            <w:pStyle w:val="TOCHeading"/>
            <w:spacing w:line="360" w:lineRule="auto"/>
            <w:jc w:val="center"/>
            <w:rPr>
              <w:rFonts w:ascii="Arial" w:hAnsi="Arial" w:cs="Arial"/>
              <w:b/>
              <w:bCs/>
              <w:sz w:val="36"/>
              <w:szCs w:val="36"/>
            </w:rPr>
          </w:pPr>
          <w:r w:rsidRPr="007827FB">
            <w:rPr>
              <w:rFonts w:ascii="Arial" w:hAnsi="Arial" w:cs="Arial"/>
              <w:b/>
              <w:bCs/>
              <w:sz w:val="22"/>
              <w:szCs w:val="22"/>
            </w:rPr>
            <w:t xml:space="preserve"> </w:t>
          </w:r>
          <w:r w:rsidR="005A493A">
            <w:rPr>
              <w:rFonts w:ascii="Arial" w:hAnsi="Arial" w:cs="Arial"/>
              <w:b/>
              <w:bCs/>
              <w:sz w:val="22"/>
              <w:szCs w:val="22"/>
            </w:rPr>
            <w:t>Contents</w:t>
          </w:r>
        </w:p>
        <w:p w14:paraId="23DAEBEC" w14:textId="4D50D279" w:rsidR="002C500E" w:rsidRPr="002C500E" w:rsidRDefault="00940355">
          <w:pPr>
            <w:pStyle w:val="TOC1"/>
            <w:tabs>
              <w:tab w:val="right" w:leader="dot" w:pos="9016"/>
            </w:tabs>
            <w:rPr>
              <w:rFonts w:asciiTheme="minorHAnsi" w:eastAsiaTheme="minorEastAsia" w:hAnsiTheme="minorHAnsi"/>
              <w:noProof/>
              <w:sz w:val="22"/>
              <w:szCs w:val="22"/>
            </w:rPr>
          </w:pPr>
          <w:r w:rsidRPr="00940355">
            <w:rPr>
              <w:rFonts w:ascii="Arial" w:hAnsi="Arial" w:cs="Arial"/>
              <w:sz w:val="22"/>
              <w:szCs w:val="22"/>
            </w:rPr>
            <w:fldChar w:fldCharType="begin"/>
          </w:r>
          <w:r w:rsidRPr="00940355">
            <w:rPr>
              <w:rFonts w:ascii="Arial" w:hAnsi="Arial" w:cs="Arial"/>
              <w:sz w:val="22"/>
              <w:szCs w:val="22"/>
            </w:rPr>
            <w:instrText xml:space="preserve"> TOC \o "1-3" \h \z \u </w:instrText>
          </w:r>
          <w:r w:rsidRPr="00940355">
            <w:rPr>
              <w:rFonts w:ascii="Arial" w:hAnsi="Arial" w:cs="Arial"/>
              <w:sz w:val="22"/>
              <w:szCs w:val="22"/>
            </w:rPr>
            <w:fldChar w:fldCharType="separate"/>
          </w:r>
          <w:r w:rsidR="00B45790">
            <w:rPr>
              <w:rFonts w:ascii="Arial" w:hAnsi="Arial" w:cs="Arial"/>
              <w:sz w:val="22"/>
              <w:szCs w:val="22"/>
            </w:rPr>
            <w:t>Introduction</w:t>
          </w:r>
          <w:r w:rsidR="006D0C71">
            <w:t>……………………………………………………………………………………3</w:t>
          </w:r>
        </w:p>
        <w:p w14:paraId="209984BE" w14:textId="4583C5A3" w:rsidR="002C500E" w:rsidRPr="00132254" w:rsidRDefault="00132254">
          <w:pPr>
            <w:pStyle w:val="TOC1"/>
            <w:tabs>
              <w:tab w:val="right" w:leader="dot" w:pos="9016"/>
            </w:tabs>
            <w:rPr>
              <w:rFonts w:ascii="Arial" w:eastAsiaTheme="minorEastAsia" w:hAnsi="Arial" w:cs="Arial"/>
              <w:noProof/>
              <w:sz w:val="22"/>
              <w:szCs w:val="22"/>
            </w:rPr>
          </w:pPr>
          <w:r>
            <w:rPr>
              <w:rFonts w:ascii="Arial" w:eastAsiaTheme="minorEastAsia" w:hAnsi="Arial" w:cs="Arial"/>
              <w:noProof/>
              <w:sz w:val="22"/>
              <w:szCs w:val="22"/>
            </w:rPr>
            <w:t>Overview</w:t>
          </w:r>
          <w:r w:rsidR="00301E7B">
            <w:rPr>
              <w:rFonts w:ascii="Arial" w:eastAsiaTheme="minorEastAsia" w:hAnsi="Arial" w:cs="Arial"/>
              <w:noProof/>
              <w:sz w:val="22"/>
              <w:szCs w:val="22"/>
            </w:rPr>
            <w:t xml:space="preserve"> of the Dementia </w:t>
          </w:r>
          <w:r w:rsidR="009E258F">
            <w:rPr>
              <w:rFonts w:ascii="Arial" w:eastAsiaTheme="minorEastAsia" w:hAnsi="Arial" w:cs="Arial"/>
              <w:noProof/>
              <w:sz w:val="22"/>
              <w:szCs w:val="22"/>
            </w:rPr>
            <w:t>Care Setting………………………………………………………</w:t>
          </w:r>
          <w:r w:rsidR="002C5605">
            <w:rPr>
              <w:rFonts w:ascii="Arial" w:eastAsiaTheme="minorEastAsia" w:hAnsi="Arial" w:cs="Arial"/>
              <w:noProof/>
              <w:sz w:val="22"/>
              <w:szCs w:val="22"/>
            </w:rPr>
            <w:t>……3</w:t>
          </w:r>
        </w:p>
        <w:p w14:paraId="3C8635DB" w14:textId="18B8F660" w:rsidR="002C500E" w:rsidRPr="00E76D4C" w:rsidRDefault="00C75847">
          <w:pPr>
            <w:pStyle w:val="TOC1"/>
            <w:tabs>
              <w:tab w:val="right" w:leader="dot" w:pos="9016"/>
            </w:tabs>
            <w:rPr>
              <w:rFonts w:ascii="Arial" w:eastAsiaTheme="minorEastAsia" w:hAnsi="Arial" w:cs="Arial"/>
              <w:noProof/>
              <w:sz w:val="22"/>
              <w:szCs w:val="22"/>
            </w:rPr>
          </w:pPr>
          <w:r>
            <w:rPr>
              <w:rFonts w:ascii="Arial" w:eastAsiaTheme="minorEastAsia" w:hAnsi="Arial" w:cs="Arial"/>
              <w:noProof/>
              <w:sz w:val="22"/>
              <w:szCs w:val="22"/>
            </w:rPr>
            <w:t>Theory 1</w:t>
          </w:r>
          <w:r w:rsidR="00992C18">
            <w:rPr>
              <w:rFonts w:ascii="Arial" w:eastAsiaTheme="minorEastAsia" w:hAnsi="Arial" w:cs="Arial"/>
              <w:noProof/>
              <w:sz w:val="22"/>
              <w:szCs w:val="22"/>
            </w:rPr>
            <w:t>:Erikson</w:t>
          </w:r>
          <w:r w:rsidR="00C202EB">
            <w:rPr>
              <w:rFonts w:ascii="Arial" w:eastAsiaTheme="minorEastAsia" w:hAnsi="Arial" w:cs="Arial"/>
              <w:noProof/>
              <w:sz w:val="22"/>
              <w:szCs w:val="22"/>
            </w:rPr>
            <w:t>'s Psychological</w:t>
          </w:r>
          <w:r w:rsidR="00BD46DC">
            <w:rPr>
              <w:rFonts w:ascii="Arial" w:eastAsiaTheme="minorEastAsia" w:hAnsi="Arial" w:cs="Arial"/>
              <w:noProof/>
              <w:sz w:val="22"/>
              <w:szCs w:val="22"/>
            </w:rPr>
            <w:t xml:space="preserve"> Development……………………………………</w:t>
          </w:r>
          <w:r w:rsidR="005A1303">
            <w:rPr>
              <w:rFonts w:ascii="Arial" w:eastAsiaTheme="minorEastAsia" w:hAnsi="Arial" w:cs="Arial"/>
              <w:noProof/>
              <w:sz w:val="22"/>
              <w:szCs w:val="22"/>
            </w:rPr>
            <w:t>……………..4</w:t>
          </w:r>
        </w:p>
        <w:p w14:paraId="03CCDB51" w14:textId="4B2A2C0B" w:rsidR="002C500E" w:rsidRPr="00A55182" w:rsidRDefault="002C500E">
          <w:pPr>
            <w:pStyle w:val="TOC1"/>
            <w:tabs>
              <w:tab w:val="right" w:leader="dot" w:pos="9016"/>
            </w:tabs>
            <w:rPr>
              <w:rFonts w:ascii="Arial" w:eastAsiaTheme="minorEastAsia" w:hAnsi="Arial" w:cs="Arial"/>
              <w:noProof/>
              <w:sz w:val="22"/>
              <w:szCs w:val="22"/>
            </w:rPr>
          </w:pPr>
          <w:hyperlink w:anchor="_Toc213162762" w:history="1">
            <w:r w:rsidRPr="002C500E">
              <w:rPr>
                <w:rStyle w:val="Hyperlink"/>
                <w:rFonts w:ascii="Arial" w:hAnsi="Arial" w:cs="Arial"/>
                <w:noProof/>
                <w:sz w:val="22"/>
                <w:szCs w:val="22"/>
              </w:rPr>
              <w:t xml:space="preserve"> Theory 2: Maslow’s Hierarchy of Needs</w:t>
            </w:r>
            <w:r w:rsidRPr="002C500E">
              <w:rPr>
                <w:noProof/>
                <w:webHidden/>
                <w:sz w:val="22"/>
                <w:szCs w:val="22"/>
              </w:rPr>
              <w:tab/>
            </w:r>
            <w:r w:rsidRPr="002C500E">
              <w:rPr>
                <w:noProof/>
                <w:webHidden/>
                <w:sz w:val="22"/>
                <w:szCs w:val="22"/>
              </w:rPr>
              <w:fldChar w:fldCharType="begin"/>
            </w:r>
            <w:r w:rsidRPr="002C500E">
              <w:rPr>
                <w:noProof/>
                <w:webHidden/>
                <w:sz w:val="22"/>
                <w:szCs w:val="22"/>
              </w:rPr>
              <w:instrText xml:space="preserve"> PAGEREF _Toc213162762 \h </w:instrText>
            </w:r>
            <w:r w:rsidRPr="002C500E">
              <w:rPr>
                <w:noProof/>
                <w:webHidden/>
                <w:sz w:val="22"/>
                <w:szCs w:val="22"/>
              </w:rPr>
            </w:r>
            <w:r w:rsidRPr="002C500E">
              <w:rPr>
                <w:noProof/>
                <w:webHidden/>
                <w:sz w:val="22"/>
                <w:szCs w:val="22"/>
              </w:rPr>
              <w:fldChar w:fldCharType="separate"/>
            </w:r>
            <w:r w:rsidRPr="002C500E">
              <w:rPr>
                <w:noProof/>
                <w:webHidden/>
                <w:sz w:val="22"/>
                <w:szCs w:val="22"/>
              </w:rPr>
              <w:t>5</w:t>
            </w:r>
            <w:r w:rsidRPr="002C500E">
              <w:rPr>
                <w:noProof/>
                <w:webHidden/>
                <w:sz w:val="22"/>
                <w:szCs w:val="22"/>
              </w:rPr>
              <w:fldChar w:fldCharType="end"/>
            </w:r>
          </w:hyperlink>
          <w:r w:rsidR="00A55182">
            <w:t>/6</w:t>
          </w:r>
        </w:p>
        <w:p w14:paraId="65067436" w14:textId="044122C6" w:rsidR="002C500E" w:rsidRPr="002C500E" w:rsidRDefault="002C500E">
          <w:pPr>
            <w:pStyle w:val="TOC1"/>
            <w:tabs>
              <w:tab w:val="right" w:leader="dot" w:pos="9016"/>
            </w:tabs>
            <w:rPr>
              <w:rFonts w:asciiTheme="minorHAnsi" w:eastAsiaTheme="minorEastAsia" w:hAnsiTheme="minorHAnsi"/>
              <w:noProof/>
              <w:sz w:val="22"/>
              <w:szCs w:val="22"/>
            </w:rPr>
          </w:pPr>
          <w:hyperlink w:anchor="_Toc213162763" w:history="1">
            <w:r w:rsidRPr="002C500E">
              <w:rPr>
                <w:rStyle w:val="Hyperlink"/>
                <w:rFonts w:ascii="Arial" w:hAnsi="Arial" w:cs="Arial"/>
                <w:noProof/>
                <w:sz w:val="22"/>
                <w:szCs w:val="22"/>
              </w:rPr>
              <w:t xml:space="preserve"> Critical Evaluation and Comparison</w:t>
            </w:r>
            <w:r w:rsidRPr="002C500E">
              <w:rPr>
                <w:noProof/>
                <w:webHidden/>
                <w:sz w:val="22"/>
                <w:szCs w:val="22"/>
              </w:rPr>
              <w:tab/>
            </w:r>
            <w:r w:rsidRPr="002C500E">
              <w:rPr>
                <w:noProof/>
                <w:webHidden/>
                <w:sz w:val="22"/>
                <w:szCs w:val="22"/>
              </w:rPr>
              <w:fldChar w:fldCharType="begin"/>
            </w:r>
            <w:r w:rsidRPr="002C500E">
              <w:rPr>
                <w:noProof/>
                <w:webHidden/>
                <w:sz w:val="22"/>
                <w:szCs w:val="22"/>
              </w:rPr>
              <w:instrText xml:space="preserve"> PAGEREF _Toc213162763 \h </w:instrText>
            </w:r>
            <w:r w:rsidRPr="002C500E">
              <w:rPr>
                <w:noProof/>
                <w:webHidden/>
                <w:sz w:val="22"/>
                <w:szCs w:val="22"/>
              </w:rPr>
            </w:r>
            <w:r w:rsidRPr="002C500E">
              <w:rPr>
                <w:noProof/>
                <w:webHidden/>
                <w:sz w:val="22"/>
                <w:szCs w:val="22"/>
              </w:rPr>
              <w:fldChar w:fldCharType="separate"/>
            </w:r>
            <w:r w:rsidRPr="002C500E">
              <w:rPr>
                <w:noProof/>
                <w:webHidden/>
                <w:sz w:val="22"/>
                <w:szCs w:val="22"/>
              </w:rPr>
              <w:t>6</w:t>
            </w:r>
            <w:r w:rsidRPr="002C500E">
              <w:rPr>
                <w:noProof/>
                <w:webHidden/>
                <w:sz w:val="22"/>
                <w:szCs w:val="22"/>
              </w:rPr>
              <w:fldChar w:fldCharType="end"/>
            </w:r>
          </w:hyperlink>
          <w:r w:rsidR="0048177C">
            <w:t>/7</w:t>
          </w:r>
        </w:p>
        <w:p w14:paraId="43A527E3" w14:textId="03034C0C" w:rsidR="002C500E" w:rsidRPr="002C500E" w:rsidRDefault="002C500E">
          <w:pPr>
            <w:pStyle w:val="TOC1"/>
            <w:tabs>
              <w:tab w:val="right" w:leader="dot" w:pos="9016"/>
            </w:tabs>
            <w:rPr>
              <w:rFonts w:asciiTheme="minorHAnsi" w:eastAsiaTheme="minorEastAsia" w:hAnsiTheme="minorHAnsi"/>
              <w:noProof/>
              <w:sz w:val="22"/>
              <w:szCs w:val="22"/>
            </w:rPr>
          </w:pPr>
          <w:hyperlink w:anchor="_Toc213162764" w:history="1">
            <w:r w:rsidRPr="002C500E">
              <w:rPr>
                <w:rStyle w:val="Hyperlink"/>
                <w:noProof/>
                <w:sz w:val="22"/>
                <w:szCs w:val="22"/>
              </w:rPr>
              <w:t xml:space="preserve"> </w:t>
            </w:r>
            <w:r w:rsidR="005955CF">
              <w:rPr>
                <w:rStyle w:val="Hyperlink"/>
                <w:rFonts w:ascii="Arial" w:hAnsi="Arial" w:cs="Arial"/>
                <w:noProof/>
                <w:sz w:val="22"/>
                <w:szCs w:val="22"/>
              </w:rPr>
              <w:t>Conclusion</w:t>
            </w:r>
            <w:r w:rsidRPr="002C500E">
              <w:rPr>
                <w:noProof/>
                <w:webHidden/>
                <w:sz w:val="22"/>
                <w:szCs w:val="22"/>
              </w:rPr>
              <w:tab/>
            </w:r>
            <w:r w:rsidRPr="002C500E">
              <w:rPr>
                <w:noProof/>
                <w:webHidden/>
                <w:sz w:val="22"/>
                <w:szCs w:val="22"/>
              </w:rPr>
              <w:fldChar w:fldCharType="begin"/>
            </w:r>
            <w:r w:rsidRPr="002C500E">
              <w:rPr>
                <w:noProof/>
                <w:webHidden/>
                <w:sz w:val="22"/>
                <w:szCs w:val="22"/>
              </w:rPr>
              <w:instrText xml:space="preserve"> PAGEREF _Toc213162764 \h </w:instrText>
            </w:r>
            <w:r w:rsidRPr="002C500E">
              <w:rPr>
                <w:noProof/>
                <w:webHidden/>
                <w:sz w:val="22"/>
                <w:szCs w:val="22"/>
              </w:rPr>
            </w:r>
            <w:r w:rsidRPr="002C500E">
              <w:rPr>
                <w:noProof/>
                <w:webHidden/>
                <w:sz w:val="22"/>
                <w:szCs w:val="22"/>
              </w:rPr>
              <w:fldChar w:fldCharType="separate"/>
            </w:r>
            <w:r w:rsidRPr="002C500E">
              <w:rPr>
                <w:noProof/>
                <w:webHidden/>
                <w:sz w:val="22"/>
                <w:szCs w:val="22"/>
              </w:rPr>
              <w:t>7</w:t>
            </w:r>
            <w:r w:rsidRPr="002C500E">
              <w:rPr>
                <w:noProof/>
                <w:webHidden/>
                <w:sz w:val="22"/>
                <w:szCs w:val="22"/>
              </w:rPr>
              <w:fldChar w:fldCharType="end"/>
            </w:r>
          </w:hyperlink>
        </w:p>
        <w:p w14:paraId="31F81B5D" w14:textId="2ABEADF0" w:rsidR="002C500E" w:rsidRPr="00D15ECD" w:rsidRDefault="0033179E">
          <w:pPr>
            <w:pStyle w:val="TOC1"/>
            <w:tabs>
              <w:tab w:val="right" w:leader="dot" w:pos="9016"/>
            </w:tabs>
            <w:rPr>
              <w:rFonts w:ascii="Arial" w:eastAsiaTheme="minorEastAsia" w:hAnsi="Arial" w:cs="Arial"/>
              <w:noProof/>
              <w:sz w:val="22"/>
              <w:szCs w:val="22"/>
            </w:rPr>
          </w:pPr>
          <w:r>
            <w:rPr>
              <w:rFonts w:ascii="Arial" w:eastAsiaTheme="minorEastAsia" w:hAnsi="Arial" w:cs="Arial"/>
              <w:noProof/>
              <w:sz w:val="22"/>
              <w:szCs w:val="22"/>
            </w:rPr>
            <w:t>References…………………………………………………………………………………………….8</w:t>
          </w:r>
        </w:p>
        <w:p w14:paraId="7C719C00" w14:textId="163E87D8" w:rsidR="00940355" w:rsidRPr="00940355" w:rsidRDefault="00940355" w:rsidP="00940355">
          <w:pPr>
            <w:rPr>
              <w:rFonts w:ascii="Arial" w:hAnsi="Arial" w:cs="Arial"/>
              <w:sz w:val="22"/>
              <w:szCs w:val="22"/>
            </w:rPr>
          </w:pPr>
          <w:r w:rsidRPr="00940355">
            <w:rPr>
              <w:rFonts w:ascii="Arial" w:hAnsi="Arial" w:cs="Arial"/>
              <w:b/>
              <w:bCs/>
              <w:noProof/>
              <w:sz w:val="22"/>
              <w:szCs w:val="22"/>
            </w:rPr>
            <w:fldChar w:fldCharType="end"/>
          </w:r>
        </w:p>
      </w:sdtContent>
    </w:sdt>
    <w:p w14:paraId="4DF24736" w14:textId="77777777" w:rsidR="00940355" w:rsidRPr="00940355" w:rsidRDefault="00940355" w:rsidP="00940355">
      <w:pPr>
        <w:jc w:val="center"/>
        <w:rPr>
          <w:rFonts w:ascii="Arial" w:hAnsi="Arial" w:cs="Arial"/>
          <w:b/>
          <w:bCs/>
          <w:sz w:val="22"/>
          <w:szCs w:val="22"/>
        </w:rPr>
      </w:pPr>
    </w:p>
    <w:p w14:paraId="30B701A3" w14:textId="77777777" w:rsidR="00E851DA" w:rsidRPr="00940355" w:rsidRDefault="00E851DA" w:rsidP="00940355">
      <w:pPr>
        <w:jc w:val="left"/>
        <w:rPr>
          <w:rFonts w:ascii="Arial" w:hAnsi="Arial" w:cs="Arial"/>
          <w:sz w:val="22"/>
          <w:szCs w:val="22"/>
        </w:rPr>
      </w:pPr>
      <w:r w:rsidRPr="00940355">
        <w:rPr>
          <w:rFonts w:ascii="Arial" w:hAnsi="Arial" w:cs="Arial"/>
          <w:sz w:val="22"/>
          <w:szCs w:val="22"/>
        </w:rPr>
        <w:br w:type="page"/>
      </w:r>
    </w:p>
    <w:p w14:paraId="2CD35BA0" w14:textId="16F30ED1" w:rsidR="00D223E8" w:rsidRPr="00940355" w:rsidRDefault="00422027" w:rsidP="00940355">
      <w:pPr>
        <w:pStyle w:val="Heading1"/>
        <w:rPr>
          <w:rFonts w:ascii="Arial" w:hAnsi="Arial" w:cs="Arial"/>
          <w:sz w:val="22"/>
          <w:szCs w:val="22"/>
        </w:rPr>
      </w:pPr>
      <w:bookmarkStart w:id="0" w:name="_Toc213162759"/>
      <w:r>
        <w:rPr>
          <w:rFonts w:ascii="Arial" w:hAnsi="Arial" w:cs="Arial"/>
          <w:sz w:val="22"/>
          <w:szCs w:val="22"/>
        </w:rPr>
        <w:lastRenderedPageBreak/>
        <w:t xml:space="preserve">                                                       </w:t>
      </w:r>
      <w:r w:rsidR="00940355" w:rsidRPr="00940355">
        <w:rPr>
          <w:rFonts w:ascii="Arial" w:hAnsi="Arial" w:cs="Arial"/>
          <w:sz w:val="22"/>
          <w:szCs w:val="22"/>
        </w:rPr>
        <w:t xml:space="preserve"> </w:t>
      </w:r>
      <w:r w:rsidR="00461453" w:rsidRPr="00940355">
        <w:rPr>
          <w:rFonts w:ascii="Arial" w:hAnsi="Arial" w:cs="Arial"/>
          <w:sz w:val="22"/>
          <w:szCs w:val="22"/>
        </w:rPr>
        <w:t>Introduction</w:t>
      </w:r>
      <w:bookmarkEnd w:id="0"/>
    </w:p>
    <w:p w14:paraId="44B7884B" w14:textId="6F7873BA" w:rsidR="00461453" w:rsidRPr="00940355" w:rsidRDefault="002C500E" w:rsidP="00940355">
      <w:pPr>
        <w:rPr>
          <w:rFonts w:ascii="Arial" w:hAnsi="Arial" w:cs="Arial"/>
          <w:sz w:val="22"/>
          <w:szCs w:val="22"/>
        </w:rPr>
      </w:pPr>
      <w:r w:rsidRPr="002C500E">
        <w:rPr>
          <w:rFonts w:ascii="Arial" w:hAnsi="Arial" w:cs="Arial"/>
          <w:sz w:val="22"/>
          <w:szCs w:val="22"/>
        </w:rPr>
        <w:t xml:space="preserve">The role of professionals in health and social care is impossible to understand without psychological theories, especially when it comes to older adults with mental health conditions, including dementia (Newbould et al., 2022). Dementia is a neurocognitive disorder that is progressive, affecting memory, cognition, and </w:t>
      </w:r>
      <w:r w:rsidR="00BB12C4" w:rsidRPr="002C500E">
        <w:rPr>
          <w:rFonts w:ascii="Arial" w:hAnsi="Arial" w:cs="Arial"/>
          <w:sz w:val="22"/>
          <w:szCs w:val="22"/>
        </w:rPr>
        <w:t>behaviour</w:t>
      </w:r>
      <w:r w:rsidRPr="002C500E">
        <w:rPr>
          <w:rFonts w:ascii="Arial" w:hAnsi="Arial" w:cs="Arial"/>
          <w:sz w:val="22"/>
          <w:szCs w:val="22"/>
        </w:rPr>
        <w:t>, and in the majority of cases, causes emotional distress, confusion, and loss of identity in persons aged 65 years and above. The role of care professionals therefore goes beyond the physical help to include the emotional support, maintenance of dignity and facilitating the purpose discovery among residents.</w:t>
      </w:r>
      <w:r>
        <w:rPr>
          <w:rFonts w:ascii="Arial" w:hAnsi="Arial" w:cs="Arial"/>
          <w:sz w:val="22"/>
          <w:szCs w:val="22"/>
        </w:rPr>
        <w:t xml:space="preserve"> </w:t>
      </w:r>
      <w:r w:rsidR="00461453" w:rsidRPr="00940355">
        <w:rPr>
          <w:rFonts w:ascii="Arial" w:hAnsi="Arial" w:cs="Arial"/>
          <w:sz w:val="22"/>
          <w:szCs w:val="22"/>
        </w:rPr>
        <w:t xml:space="preserve">Psychological theories of human development and motivation </w:t>
      </w:r>
      <w:r w:rsidR="00E851DA" w:rsidRPr="00940355">
        <w:rPr>
          <w:rFonts w:ascii="Arial" w:hAnsi="Arial" w:cs="Arial"/>
          <w:sz w:val="22"/>
          <w:szCs w:val="22"/>
        </w:rPr>
        <w:t>help attain</w:t>
      </w:r>
      <w:r w:rsidR="00461453" w:rsidRPr="00940355">
        <w:rPr>
          <w:rFonts w:ascii="Arial" w:hAnsi="Arial" w:cs="Arial"/>
          <w:sz w:val="22"/>
          <w:szCs w:val="22"/>
        </w:rPr>
        <w:t xml:space="preserve"> these goals. They allow practitioners to put </w:t>
      </w:r>
      <w:r w:rsidR="00E851DA" w:rsidRPr="00940355">
        <w:rPr>
          <w:rFonts w:ascii="Arial" w:hAnsi="Arial" w:cs="Arial"/>
          <w:sz w:val="22"/>
          <w:szCs w:val="22"/>
        </w:rPr>
        <w:t>older people's lived experiences into perspective and</w:t>
      </w:r>
      <w:r w:rsidR="00461453" w:rsidRPr="00940355">
        <w:rPr>
          <w:rFonts w:ascii="Arial" w:hAnsi="Arial" w:cs="Arial"/>
          <w:sz w:val="22"/>
          <w:szCs w:val="22"/>
        </w:rPr>
        <w:t xml:space="preserve"> design interventions that respond to psychological and existential issues. The combination of theoretical knowledge can enable care professionals to </w:t>
      </w:r>
      <w:r w:rsidR="00E851DA" w:rsidRPr="00940355">
        <w:rPr>
          <w:rFonts w:ascii="Arial" w:hAnsi="Arial" w:cs="Arial"/>
          <w:sz w:val="22"/>
          <w:szCs w:val="22"/>
        </w:rPr>
        <w:t>operationalise</w:t>
      </w:r>
      <w:r w:rsidR="00461453" w:rsidRPr="00940355">
        <w:rPr>
          <w:rFonts w:ascii="Arial" w:hAnsi="Arial" w:cs="Arial"/>
          <w:sz w:val="22"/>
          <w:szCs w:val="22"/>
        </w:rPr>
        <w:t xml:space="preserve"> supportive strategies sensitive to the changing phases of psychological functioning.</w:t>
      </w:r>
    </w:p>
    <w:p w14:paraId="04E7D8F0" w14:textId="77777777" w:rsidR="00146EED" w:rsidRDefault="00461453" w:rsidP="00422027">
      <w:pPr>
        <w:rPr>
          <w:rFonts w:ascii="Arial" w:hAnsi="Arial" w:cs="Arial"/>
          <w:sz w:val="22"/>
          <w:szCs w:val="22"/>
        </w:rPr>
      </w:pPr>
      <w:r w:rsidRPr="00940355">
        <w:rPr>
          <w:rFonts w:ascii="Arial" w:hAnsi="Arial" w:cs="Arial"/>
          <w:sz w:val="22"/>
          <w:szCs w:val="22"/>
        </w:rPr>
        <w:t xml:space="preserve">The report discusses </w:t>
      </w:r>
      <w:r w:rsidR="00E851DA" w:rsidRPr="00940355">
        <w:rPr>
          <w:rFonts w:ascii="Arial" w:hAnsi="Arial" w:cs="Arial"/>
          <w:sz w:val="22"/>
          <w:szCs w:val="22"/>
        </w:rPr>
        <w:t>applying</w:t>
      </w:r>
      <w:r w:rsidRPr="00940355">
        <w:rPr>
          <w:rFonts w:ascii="Arial" w:hAnsi="Arial" w:cs="Arial"/>
          <w:sz w:val="22"/>
          <w:szCs w:val="22"/>
        </w:rPr>
        <w:t xml:space="preserve"> two </w:t>
      </w:r>
      <w:r w:rsidR="00E851DA" w:rsidRPr="00940355">
        <w:rPr>
          <w:rFonts w:ascii="Arial" w:hAnsi="Arial" w:cs="Arial"/>
          <w:sz w:val="22"/>
          <w:szCs w:val="22"/>
        </w:rPr>
        <w:t>critical</w:t>
      </w:r>
      <w:r w:rsidRPr="00940355">
        <w:rPr>
          <w:rFonts w:ascii="Arial" w:hAnsi="Arial" w:cs="Arial"/>
          <w:sz w:val="22"/>
          <w:szCs w:val="22"/>
        </w:rPr>
        <w:t xml:space="preserve"> theories, the Psychosocial Theory of Development by Erik Erikson and the Hierarchy of Needs by Abraham Maslow, to assist older adults with dementia in care facilities. It critically evaluates the role of each theory in the comprehension of the psychological experience of older people and how care professionals can apply these insights to provide compassionate, person-centred care that can improve the overall quality of life.</w:t>
      </w:r>
      <w:bookmarkStart w:id="1" w:name="_Toc213162760"/>
      <w:r w:rsidR="0050429F">
        <w:rPr>
          <w:rFonts w:ascii="Arial" w:hAnsi="Arial" w:cs="Arial"/>
          <w:sz w:val="22"/>
          <w:szCs w:val="22"/>
        </w:rPr>
        <w:t xml:space="preserve"> </w:t>
      </w:r>
    </w:p>
    <w:p w14:paraId="4A49BCC5" w14:textId="3716E8A5" w:rsidR="00461453" w:rsidRPr="00940355" w:rsidRDefault="0050429F" w:rsidP="00422027">
      <w:pPr>
        <w:rPr>
          <w:rFonts w:ascii="Arial" w:hAnsi="Arial" w:cs="Arial"/>
          <w:sz w:val="22"/>
          <w:szCs w:val="22"/>
        </w:rPr>
      </w:pPr>
      <w:r>
        <w:rPr>
          <w:rFonts w:ascii="Arial" w:hAnsi="Arial" w:cs="Arial"/>
          <w:sz w:val="22"/>
          <w:szCs w:val="22"/>
        </w:rPr>
        <w:t xml:space="preserve">                         </w:t>
      </w:r>
      <w:r w:rsidR="00940355" w:rsidRPr="00940355">
        <w:rPr>
          <w:rFonts w:ascii="Arial" w:hAnsi="Arial" w:cs="Arial"/>
          <w:sz w:val="22"/>
          <w:szCs w:val="22"/>
        </w:rPr>
        <w:t xml:space="preserve"> </w:t>
      </w:r>
      <w:r w:rsidR="00461453" w:rsidRPr="00940355">
        <w:rPr>
          <w:rFonts w:ascii="Arial" w:hAnsi="Arial" w:cs="Arial"/>
          <w:sz w:val="22"/>
          <w:szCs w:val="22"/>
        </w:rPr>
        <w:t>Overview of the Dementia Care Setting</w:t>
      </w:r>
      <w:bookmarkEnd w:id="1"/>
    </w:p>
    <w:p w14:paraId="1639BD72" w14:textId="77777777" w:rsidR="0031082A" w:rsidRDefault="00461453" w:rsidP="0031082A">
      <w:pPr>
        <w:rPr>
          <w:rFonts w:ascii="Arial" w:hAnsi="Arial" w:cs="Arial"/>
          <w:sz w:val="22"/>
          <w:szCs w:val="22"/>
        </w:rPr>
      </w:pPr>
      <w:r w:rsidRPr="00940355">
        <w:rPr>
          <w:rFonts w:ascii="Arial" w:hAnsi="Arial" w:cs="Arial"/>
          <w:sz w:val="22"/>
          <w:szCs w:val="22"/>
        </w:rPr>
        <w:t xml:space="preserve">Dementia care facilities provide long-term residential care services to elderly individuals who have cognitive impairment, memory impairment and reduced ability to perform </w:t>
      </w:r>
      <w:r w:rsidR="00E851DA" w:rsidRPr="00940355">
        <w:rPr>
          <w:rFonts w:ascii="Arial" w:hAnsi="Arial" w:cs="Arial"/>
          <w:sz w:val="22"/>
          <w:szCs w:val="22"/>
        </w:rPr>
        <w:t>daily activities</w:t>
      </w:r>
      <w:r w:rsidR="009B52DE" w:rsidRPr="00940355">
        <w:rPr>
          <w:rFonts w:ascii="Arial" w:hAnsi="Arial" w:cs="Arial"/>
          <w:sz w:val="22"/>
          <w:szCs w:val="22"/>
        </w:rPr>
        <w:t xml:space="preserve"> (Rocha et al, 2013)</w:t>
      </w:r>
      <w:r w:rsidRPr="00940355">
        <w:rPr>
          <w:rFonts w:ascii="Arial" w:hAnsi="Arial" w:cs="Arial"/>
          <w:sz w:val="22"/>
          <w:szCs w:val="22"/>
        </w:rPr>
        <w:t xml:space="preserve">. These facilities protect </w:t>
      </w:r>
      <w:r w:rsidR="00E851DA" w:rsidRPr="00940355">
        <w:rPr>
          <w:rFonts w:ascii="Arial" w:hAnsi="Arial" w:cs="Arial"/>
          <w:sz w:val="22"/>
          <w:szCs w:val="22"/>
        </w:rPr>
        <w:t xml:space="preserve">residents' safety, comfort, and psychological well-being </w:t>
      </w:r>
      <w:r w:rsidRPr="00940355">
        <w:rPr>
          <w:rFonts w:ascii="Arial" w:hAnsi="Arial" w:cs="Arial"/>
          <w:sz w:val="22"/>
          <w:szCs w:val="22"/>
        </w:rPr>
        <w:t xml:space="preserve">in a </w:t>
      </w:r>
      <w:r w:rsidR="00E851DA" w:rsidRPr="00940355">
        <w:rPr>
          <w:rFonts w:ascii="Arial" w:hAnsi="Arial" w:cs="Arial"/>
          <w:sz w:val="22"/>
          <w:szCs w:val="22"/>
        </w:rPr>
        <w:t>well-organised</w:t>
      </w:r>
      <w:r w:rsidRPr="00940355">
        <w:rPr>
          <w:rFonts w:ascii="Arial" w:hAnsi="Arial" w:cs="Arial"/>
          <w:sz w:val="22"/>
          <w:szCs w:val="22"/>
        </w:rPr>
        <w:t xml:space="preserve"> routine and specific care regimes. Patients with dementia are often faced with the issue of spatial orientation, communication, and emotional control, which may trigger anxiety, withdrawal, or </w:t>
      </w:r>
      <w:r w:rsidR="00E851DA" w:rsidRPr="00940355">
        <w:rPr>
          <w:rFonts w:ascii="Arial" w:hAnsi="Arial" w:cs="Arial"/>
          <w:sz w:val="22"/>
          <w:szCs w:val="22"/>
        </w:rPr>
        <w:t>behaviour</w:t>
      </w:r>
      <w:r w:rsidRPr="00940355">
        <w:rPr>
          <w:rFonts w:ascii="Arial" w:hAnsi="Arial" w:cs="Arial"/>
          <w:sz w:val="22"/>
          <w:szCs w:val="22"/>
        </w:rPr>
        <w:t xml:space="preserve"> change</w:t>
      </w:r>
      <w:r w:rsidR="009B52DE" w:rsidRPr="00940355">
        <w:rPr>
          <w:rFonts w:ascii="Arial" w:hAnsi="Arial" w:cs="Arial"/>
          <w:sz w:val="22"/>
          <w:szCs w:val="22"/>
        </w:rPr>
        <w:t xml:space="preserve"> (Woods, 2001)</w:t>
      </w:r>
      <w:r w:rsidRPr="00940355">
        <w:rPr>
          <w:rFonts w:ascii="Arial" w:hAnsi="Arial" w:cs="Arial"/>
          <w:sz w:val="22"/>
          <w:szCs w:val="22"/>
        </w:rPr>
        <w:t xml:space="preserve">. Therefore, health and social care practitioners </w:t>
      </w:r>
      <w:r w:rsidR="00E851DA" w:rsidRPr="00940355">
        <w:rPr>
          <w:rFonts w:ascii="Arial" w:hAnsi="Arial" w:cs="Arial"/>
          <w:sz w:val="22"/>
          <w:szCs w:val="22"/>
        </w:rPr>
        <w:t>must</w:t>
      </w:r>
      <w:r w:rsidRPr="00940355">
        <w:rPr>
          <w:rFonts w:ascii="Arial" w:hAnsi="Arial" w:cs="Arial"/>
          <w:sz w:val="22"/>
          <w:szCs w:val="22"/>
        </w:rPr>
        <w:t xml:space="preserve"> embrace a person-centred</w:t>
      </w:r>
      <w:r w:rsidR="00E851DA" w:rsidRPr="00940355">
        <w:rPr>
          <w:rFonts w:ascii="Arial" w:hAnsi="Arial" w:cs="Arial"/>
          <w:sz w:val="22"/>
          <w:szCs w:val="22"/>
        </w:rPr>
        <w:t>,</w:t>
      </w:r>
      <w:r w:rsidRPr="00940355">
        <w:rPr>
          <w:rFonts w:ascii="Arial" w:hAnsi="Arial" w:cs="Arial"/>
          <w:sz w:val="22"/>
          <w:szCs w:val="22"/>
        </w:rPr>
        <w:t xml:space="preserve"> holistic paradigm that recognises the somatic and affective needs. </w:t>
      </w:r>
      <w:r w:rsidR="00E851DA" w:rsidRPr="00940355">
        <w:rPr>
          <w:rFonts w:ascii="Arial" w:hAnsi="Arial" w:cs="Arial"/>
          <w:sz w:val="22"/>
          <w:szCs w:val="22"/>
        </w:rPr>
        <w:t>Including</w:t>
      </w:r>
      <w:r w:rsidRPr="00940355">
        <w:rPr>
          <w:rFonts w:ascii="Arial" w:hAnsi="Arial" w:cs="Arial"/>
          <w:sz w:val="22"/>
          <w:szCs w:val="22"/>
        </w:rPr>
        <w:t xml:space="preserve"> psychological theories in this milieu will provide practitioners with knowledge of the affective experiences of residents, which will help preserve their identity and establish positive relations. Throughout the developmental and motivational models, the staff in care facilities can enhance the </w:t>
      </w:r>
      <w:r w:rsidR="00E851DA" w:rsidRPr="00940355">
        <w:rPr>
          <w:rFonts w:ascii="Arial" w:hAnsi="Arial" w:cs="Arial"/>
          <w:sz w:val="22"/>
          <w:szCs w:val="22"/>
        </w:rPr>
        <w:t xml:space="preserve">residents' feeling of security, belonging, and dignity </w:t>
      </w:r>
      <w:r w:rsidRPr="00940355">
        <w:rPr>
          <w:rFonts w:ascii="Arial" w:hAnsi="Arial" w:cs="Arial"/>
          <w:sz w:val="22"/>
          <w:szCs w:val="22"/>
        </w:rPr>
        <w:t>despite the progression of cognitive decline.</w:t>
      </w:r>
      <w:bookmarkStart w:id="2" w:name="_Toc213162761"/>
    </w:p>
    <w:p w14:paraId="7B8B7B96" w14:textId="77777777" w:rsidR="0031082A" w:rsidRDefault="0031082A" w:rsidP="0031082A">
      <w:pPr>
        <w:rPr>
          <w:rFonts w:ascii="Arial" w:hAnsi="Arial" w:cs="Arial"/>
          <w:sz w:val="22"/>
          <w:szCs w:val="22"/>
        </w:rPr>
      </w:pPr>
    </w:p>
    <w:p w14:paraId="79A1CD08" w14:textId="77777777" w:rsidR="0031082A" w:rsidRDefault="0031082A" w:rsidP="0031082A">
      <w:pPr>
        <w:rPr>
          <w:rFonts w:ascii="Arial" w:hAnsi="Arial" w:cs="Arial"/>
          <w:sz w:val="22"/>
          <w:szCs w:val="22"/>
        </w:rPr>
      </w:pPr>
    </w:p>
    <w:p w14:paraId="707AC92B" w14:textId="6D39A52E" w:rsidR="008B0969" w:rsidRPr="00940355" w:rsidRDefault="0031082A" w:rsidP="0031082A">
      <w:pPr>
        <w:rPr>
          <w:rFonts w:ascii="Arial" w:hAnsi="Arial" w:cs="Arial"/>
          <w:sz w:val="22"/>
          <w:szCs w:val="22"/>
        </w:rPr>
      </w:pPr>
      <w:r>
        <w:rPr>
          <w:rFonts w:ascii="Arial" w:hAnsi="Arial" w:cs="Arial"/>
          <w:sz w:val="22"/>
          <w:szCs w:val="22"/>
        </w:rPr>
        <w:lastRenderedPageBreak/>
        <w:t xml:space="preserve">                              </w:t>
      </w:r>
      <w:r w:rsidR="008B0969" w:rsidRPr="00940355">
        <w:rPr>
          <w:rFonts w:ascii="Arial" w:hAnsi="Arial" w:cs="Arial"/>
          <w:sz w:val="22"/>
          <w:szCs w:val="22"/>
        </w:rPr>
        <w:t xml:space="preserve"> Erikson’s Psychosocial Development</w:t>
      </w:r>
      <w:bookmarkEnd w:id="2"/>
    </w:p>
    <w:p w14:paraId="72C914CE" w14:textId="49148002" w:rsidR="008B0969" w:rsidRPr="00940355" w:rsidRDefault="008B0969" w:rsidP="00940355">
      <w:pPr>
        <w:rPr>
          <w:rFonts w:ascii="Arial" w:hAnsi="Arial" w:cs="Arial"/>
          <w:sz w:val="22"/>
          <w:szCs w:val="22"/>
        </w:rPr>
      </w:pPr>
      <w:r w:rsidRPr="00940355">
        <w:rPr>
          <w:rFonts w:ascii="Arial" w:hAnsi="Arial" w:cs="Arial"/>
          <w:sz w:val="22"/>
          <w:szCs w:val="22"/>
        </w:rPr>
        <w:t xml:space="preserve">The Psychosocial Theory of Development by Erik Erikson outlines eight stages of human lifespan, which are </w:t>
      </w:r>
      <w:r w:rsidR="00E851DA" w:rsidRPr="00940355">
        <w:rPr>
          <w:rFonts w:ascii="Arial" w:hAnsi="Arial" w:cs="Arial"/>
          <w:sz w:val="22"/>
          <w:szCs w:val="22"/>
        </w:rPr>
        <w:t>characterised by a central conflict that defines a person's personality and psychological development</w:t>
      </w:r>
      <w:r w:rsidR="009B52DE" w:rsidRPr="00940355">
        <w:rPr>
          <w:rFonts w:ascii="Arial" w:hAnsi="Arial" w:cs="Arial"/>
          <w:sz w:val="22"/>
          <w:szCs w:val="22"/>
        </w:rPr>
        <w:t xml:space="preserve"> (Erikson, 1959)</w:t>
      </w:r>
      <w:r w:rsidRPr="00940355">
        <w:rPr>
          <w:rFonts w:ascii="Arial" w:hAnsi="Arial" w:cs="Arial"/>
          <w:sz w:val="22"/>
          <w:szCs w:val="22"/>
        </w:rPr>
        <w:t>. The last phase is Integrity versus Despair</w:t>
      </w:r>
      <w:r w:rsidR="00E851DA" w:rsidRPr="00940355">
        <w:rPr>
          <w:rFonts w:ascii="Arial" w:hAnsi="Arial" w:cs="Arial"/>
          <w:sz w:val="22"/>
          <w:szCs w:val="22"/>
        </w:rPr>
        <w:t>, which</w:t>
      </w:r>
      <w:r w:rsidRPr="00940355">
        <w:rPr>
          <w:rFonts w:ascii="Arial" w:hAnsi="Arial" w:cs="Arial"/>
          <w:sz w:val="22"/>
          <w:szCs w:val="22"/>
        </w:rPr>
        <w:t xml:space="preserve"> </w:t>
      </w:r>
      <w:r w:rsidR="00E851DA" w:rsidRPr="00940355">
        <w:rPr>
          <w:rFonts w:ascii="Arial" w:hAnsi="Arial" w:cs="Arial"/>
          <w:sz w:val="22"/>
          <w:szCs w:val="22"/>
        </w:rPr>
        <w:t>occurs</w:t>
      </w:r>
      <w:r w:rsidRPr="00940355">
        <w:rPr>
          <w:rFonts w:ascii="Arial" w:hAnsi="Arial" w:cs="Arial"/>
          <w:sz w:val="22"/>
          <w:szCs w:val="22"/>
        </w:rPr>
        <w:t xml:space="preserve"> in late adulthood. At this phase, people look back on life experiences and accomplishments </w:t>
      </w:r>
      <w:r w:rsidR="00E851DA" w:rsidRPr="00940355">
        <w:rPr>
          <w:rFonts w:ascii="Arial" w:hAnsi="Arial" w:cs="Arial"/>
          <w:sz w:val="22"/>
          <w:szCs w:val="22"/>
        </w:rPr>
        <w:t>for</w:t>
      </w:r>
      <w:r w:rsidRPr="00940355">
        <w:rPr>
          <w:rFonts w:ascii="Arial" w:hAnsi="Arial" w:cs="Arial"/>
          <w:sz w:val="22"/>
          <w:szCs w:val="22"/>
        </w:rPr>
        <w:t xml:space="preserve"> fulfilment and meaning. </w:t>
      </w:r>
      <w:r w:rsidR="00E851DA" w:rsidRPr="00940355">
        <w:rPr>
          <w:rFonts w:ascii="Arial" w:hAnsi="Arial" w:cs="Arial"/>
          <w:sz w:val="22"/>
          <w:szCs w:val="22"/>
        </w:rPr>
        <w:t>Favourable</w:t>
      </w:r>
      <w:r w:rsidRPr="00940355">
        <w:rPr>
          <w:rFonts w:ascii="Arial" w:hAnsi="Arial" w:cs="Arial"/>
          <w:sz w:val="22"/>
          <w:szCs w:val="22"/>
        </w:rPr>
        <w:t xml:space="preserve"> resolution brings about a sense of integrity, wisdom, and </w:t>
      </w:r>
      <w:r w:rsidR="00E851DA" w:rsidRPr="00940355">
        <w:rPr>
          <w:rFonts w:ascii="Arial" w:hAnsi="Arial" w:cs="Arial"/>
          <w:sz w:val="22"/>
          <w:szCs w:val="22"/>
        </w:rPr>
        <w:t>life satisfaction; negative</w:t>
      </w:r>
      <w:r w:rsidRPr="00940355">
        <w:rPr>
          <w:rFonts w:ascii="Arial" w:hAnsi="Arial" w:cs="Arial"/>
          <w:sz w:val="22"/>
          <w:szCs w:val="22"/>
        </w:rPr>
        <w:t xml:space="preserve"> resolution brings about despair, regrets, and fear of death (Erikson, 1998). In the case of older adults, especially patients with dementia, the process is complicated by cognitive impairment and memory loss, which interfere with self-perception and identity continuity.</w:t>
      </w:r>
    </w:p>
    <w:p w14:paraId="784ABB97" w14:textId="6461165C" w:rsidR="008B0969" w:rsidRPr="00940355" w:rsidRDefault="008B0969" w:rsidP="00940355">
      <w:pPr>
        <w:rPr>
          <w:rFonts w:ascii="Arial" w:hAnsi="Arial" w:cs="Arial"/>
          <w:sz w:val="22"/>
          <w:szCs w:val="22"/>
        </w:rPr>
      </w:pPr>
      <w:r w:rsidRPr="00940355">
        <w:rPr>
          <w:rFonts w:ascii="Arial" w:hAnsi="Arial" w:cs="Arial"/>
          <w:sz w:val="22"/>
          <w:szCs w:val="22"/>
        </w:rPr>
        <w:t xml:space="preserve">In dementia care facilities, it is necessary to help residents go through the last stage of Erikson by providing an environment that would </w:t>
      </w:r>
      <w:r w:rsidR="00E851DA" w:rsidRPr="00940355">
        <w:rPr>
          <w:rFonts w:ascii="Arial" w:hAnsi="Arial" w:cs="Arial"/>
          <w:sz w:val="22"/>
          <w:szCs w:val="22"/>
        </w:rPr>
        <w:t>allow</w:t>
      </w:r>
      <w:r w:rsidRPr="00940355">
        <w:rPr>
          <w:rFonts w:ascii="Arial" w:hAnsi="Arial" w:cs="Arial"/>
          <w:sz w:val="22"/>
          <w:szCs w:val="22"/>
        </w:rPr>
        <w:t xml:space="preserve"> them </w:t>
      </w:r>
      <w:r w:rsidR="00E851DA" w:rsidRPr="00940355">
        <w:rPr>
          <w:rFonts w:ascii="Arial" w:hAnsi="Arial" w:cs="Arial"/>
          <w:sz w:val="22"/>
          <w:szCs w:val="22"/>
        </w:rPr>
        <w:t xml:space="preserve">to </w:t>
      </w:r>
      <w:r w:rsidRPr="00940355">
        <w:rPr>
          <w:rFonts w:ascii="Arial" w:hAnsi="Arial" w:cs="Arial"/>
          <w:sz w:val="22"/>
          <w:szCs w:val="22"/>
        </w:rPr>
        <w:t xml:space="preserve">feel safe emotionally and have a sense of self-worth. An important example is reminiscence therapy, which helps people to remember and recount valuable memories, thus strengthening identity and life story. Care workers may use personal photos, music they know, or stories to trigger positive reflection and reinforce the sense of self-identity of residents. Dignity and emotional attachment can still be preserved with validation therapy, which does not focus on factual errors but </w:t>
      </w:r>
      <w:r w:rsidR="00E851DA" w:rsidRPr="00940355">
        <w:rPr>
          <w:rFonts w:ascii="Arial" w:hAnsi="Arial" w:cs="Arial"/>
          <w:sz w:val="22"/>
          <w:szCs w:val="22"/>
        </w:rPr>
        <w:t>recognises</w:t>
      </w:r>
      <w:r w:rsidRPr="00940355">
        <w:rPr>
          <w:rFonts w:ascii="Arial" w:hAnsi="Arial" w:cs="Arial"/>
          <w:sz w:val="22"/>
          <w:szCs w:val="22"/>
        </w:rPr>
        <w:t xml:space="preserve"> the </w:t>
      </w:r>
      <w:r w:rsidR="00E851DA" w:rsidRPr="00940355">
        <w:rPr>
          <w:rFonts w:ascii="Arial" w:hAnsi="Arial" w:cs="Arial"/>
          <w:sz w:val="22"/>
          <w:szCs w:val="22"/>
        </w:rPr>
        <w:t>resident's emotions</w:t>
      </w:r>
      <w:r w:rsidRPr="00940355">
        <w:rPr>
          <w:rFonts w:ascii="Arial" w:hAnsi="Arial" w:cs="Arial"/>
          <w:sz w:val="22"/>
          <w:szCs w:val="22"/>
        </w:rPr>
        <w:t xml:space="preserve">, even in cases of limited memory retrieval (Woods and Clare, 2018). </w:t>
      </w:r>
    </w:p>
    <w:p w14:paraId="78F7C22E" w14:textId="4B7B416A" w:rsidR="008B0969" w:rsidRPr="00940355" w:rsidRDefault="008B0969" w:rsidP="00940355">
      <w:pPr>
        <w:rPr>
          <w:rFonts w:ascii="Arial" w:hAnsi="Arial" w:cs="Arial"/>
          <w:sz w:val="22"/>
          <w:szCs w:val="22"/>
        </w:rPr>
      </w:pPr>
      <w:r w:rsidRPr="00940355">
        <w:rPr>
          <w:rFonts w:ascii="Arial" w:hAnsi="Arial" w:cs="Arial"/>
          <w:sz w:val="22"/>
          <w:szCs w:val="22"/>
        </w:rPr>
        <w:t xml:space="preserve"> </w:t>
      </w:r>
      <w:r w:rsidR="00E851DA" w:rsidRPr="00940355">
        <w:rPr>
          <w:rFonts w:ascii="Arial" w:hAnsi="Arial" w:cs="Arial"/>
          <w:sz w:val="22"/>
          <w:szCs w:val="22"/>
        </w:rPr>
        <w:t>Erikson's</w:t>
      </w:r>
      <w:r w:rsidRPr="00940355">
        <w:rPr>
          <w:rFonts w:ascii="Arial" w:hAnsi="Arial" w:cs="Arial"/>
          <w:sz w:val="22"/>
          <w:szCs w:val="22"/>
        </w:rPr>
        <w:t xml:space="preserve"> theory is difficult to apply in dementia care. The deterioration of the cognitive functions might hinder the capacity of the residents to participate in complicated reflection or to create coherent stories about their history</w:t>
      </w:r>
      <w:r w:rsidR="009B52DE" w:rsidRPr="00940355">
        <w:rPr>
          <w:rFonts w:ascii="Arial" w:hAnsi="Arial" w:cs="Arial"/>
          <w:sz w:val="22"/>
          <w:szCs w:val="22"/>
        </w:rPr>
        <w:t xml:space="preserve"> (Mills, 1997)</w:t>
      </w:r>
      <w:r w:rsidRPr="00940355">
        <w:rPr>
          <w:rFonts w:ascii="Arial" w:hAnsi="Arial" w:cs="Arial"/>
          <w:sz w:val="22"/>
          <w:szCs w:val="22"/>
        </w:rPr>
        <w:t xml:space="preserve">. As a result, professionals will be forced to change their approach, focusing on emotional validation over factual accuracy, and continuity through regular caregivers, individualised care plans, and life-story work. The strategies help residents to stay a part of a whole even as verbal memory declines. This way, the framework by Erikson can help practitioners realise that older adults with dementia </w:t>
      </w:r>
      <w:r w:rsidR="00E851DA" w:rsidRPr="00940355">
        <w:rPr>
          <w:rFonts w:ascii="Arial" w:hAnsi="Arial" w:cs="Arial"/>
          <w:sz w:val="22"/>
          <w:szCs w:val="22"/>
        </w:rPr>
        <w:t xml:space="preserve">still need </w:t>
      </w:r>
      <w:r w:rsidRPr="00940355">
        <w:rPr>
          <w:rFonts w:ascii="Arial" w:hAnsi="Arial" w:cs="Arial"/>
          <w:sz w:val="22"/>
          <w:szCs w:val="22"/>
        </w:rPr>
        <w:t xml:space="preserve">meaning, acceptance, and connection. Encouraging integrity </w:t>
      </w:r>
      <w:r w:rsidR="00E851DA" w:rsidRPr="00940355">
        <w:rPr>
          <w:rFonts w:ascii="Arial" w:hAnsi="Arial" w:cs="Arial"/>
          <w:sz w:val="22"/>
          <w:szCs w:val="22"/>
        </w:rPr>
        <w:t>instead of</w:t>
      </w:r>
      <w:r w:rsidRPr="00940355">
        <w:rPr>
          <w:rFonts w:ascii="Arial" w:hAnsi="Arial" w:cs="Arial"/>
          <w:sz w:val="22"/>
          <w:szCs w:val="22"/>
        </w:rPr>
        <w:t xml:space="preserve"> despair </w:t>
      </w:r>
      <w:r w:rsidR="00E851DA" w:rsidRPr="00940355">
        <w:rPr>
          <w:rFonts w:ascii="Arial" w:hAnsi="Arial" w:cs="Arial"/>
          <w:sz w:val="22"/>
          <w:szCs w:val="22"/>
        </w:rPr>
        <w:t>supports emotional well-being</w:t>
      </w:r>
      <w:r w:rsidRPr="00940355">
        <w:rPr>
          <w:rFonts w:ascii="Arial" w:hAnsi="Arial" w:cs="Arial"/>
          <w:sz w:val="22"/>
          <w:szCs w:val="22"/>
        </w:rPr>
        <w:t xml:space="preserve"> and </w:t>
      </w:r>
      <w:r w:rsidR="00E851DA" w:rsidRPr="00940355">
        <w:rPr>
          <w:rFonts w:ascii="Arial" w:hAnsi="Arial" w:cs="Arial"/>
          <w:sz w:val="22"/>
          <w:szCs w:val="22"/>
        </w:rPr>
        <w:t>feelings</w:t>
      </w:r>
      <w:r w:rsidRPr="00940355">
        <w:rPr>
          <w:rFonts w:ascii="Arial" w:hAnsi="Arial" w:cs="Arial"/>
          <w:sz w:val="22"/>
          <w:szCs w:val="22"/>
        </w:rPr>
        <w:t xml:space="preserve"> of closure in old age.</w:t>
      </w:r>
    </w:p>
    <w:p w14:paraId="66B5430E" w14:textId="1FF8D134" w:rsidR="008B0969" w:rsidRPr="00940355" w:rsidRDefault="008B0969" w:rsidP="00940355">
      <w:pPr>
        <w:rPr>
          <w:rFonts w:ascii="Arial" w:hAnsi="Arial" w:cs="Arial"/>
          <w:sz w:val="22"/>
          <w:szCs w:val="22"/>
        </w:rPr>
      </w:pPr>
      <w:r w:rsidRPr="00940355">
        <w:rPr>
          <w:rFonts w:ascii="Arial" w:hAnsi="Arial" w:cs="Arial"/>
          <w:sz w:val="22"/>
          <w:szCs w:val="22"/>
        </w:rPr>
        <w:lastRenderedPageBreak/>
        <w:t xml:space="preserve">                            </w:t>
      </w:r>
      <w:r w:rsidRPr="00940355">
        <w:rPr>
          <w:rFonts w:ascii="Arial" w:hAnsi="Arial" w:cs="Arial"/>
          <w:noProof/>
          <w:sz w:val="22"/>
          <w:szCs w:val="22"/>
        </w:rPr>
        <w:drawing>
          <wp:inline distT="0" distB="0" distL="0" distR="0" wp14:anchorId="769CDF6A" wp14:editId="31FBE96A">
            <wp:extent cx="3479165" cy="2319444"/>
            <wp:effectExtent l="152400" t="152400" r="368935" b="367030"/>
            <wp:docPr id="1984999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89913" cy="2326609"/>
                    </a:xfrm>
                    <a:prstGeom prst="rect">
                      <a:avLst/>
                    </a:prstGeom>
                    <a:ln>
                      <a:noFill/>
                    </a:ln>
                    <a:effectLst>
                      <a:outerShdw blurRad="292100" dist="139700" dir="2700000" algn="tl" rotWithShape="0">
                        <a:srgbClr val="333333">
                          <a:alpha val="65000"/>
                        </a:srgbClr>
                      </a:outerShdw>
                    </a:effectLst>
                  </pic:spPr>
                </pic:pic>
              </a:graphicData>
            </a:graphic>
          </wp:inline>
        </w:drawing>
      </w:r>
    </w:p>
    <w:p w14:paraId="6FAC3267" w14:textId="1AEAFA30" w:rsidR="008B0969" w:rsidRPr="00940355" w:rsidRDefault="002C4294" w:rsidP="00940355">
      <w:pPr>
        <w:pStyle w:val="Heading1"/>
        <w:rPr>
          <w:rFonts w:ascii="Arial" w:hAnsi="Arial" w:cs="Arial"/>
          <w:sz w:val="22"/>
          <w:szCs w:val="22"/>
        </w:rPr>
      </w:pPr>
      <w:bookmarkStart w:id="3" w:name="_Toc213162762"/>
      <w:r>
        <w:rPr>
          <w:rFonts w:ascii="Arial" w:hAnsi="Arial" w:cs="Arial"/>
          <w:sz w:val="22"/>
          <w:szCs w:val="22"/>
        </w:rPr>
        <w:t xml:space="preserve">                                    </w:t>
      </w:r>
      <w:r w:rsidR="00940355" w:rsidRPr="00940355">
        <w:rPr>
          <w:rFonts w:ascii="Arial" w:hAnsi="Arial" w:cs="Arial"/>
          <w:sz w:val="22"/>
          <w:szCs w:val="22"/>
        </w:rPr>
        <w:t xml:space="preserve"> </w:t>
      </w:r>
      <w:r w:rsidR="008B0969" w:rsidRPr="00940355">
        <w:rPr>
          <w:rFonts w:ascii="Arial" w:hAnsi="Arial" w:cs="Arial"/>
          <w:sz w:val="22"/>
          <w:szCs w:val="22"/>
        </w:rPr>
        <w:t>Theory 2: Maslow’s Hierarchy of Needs</w:t>
      </w:r>
      <w:bookmarkEnd w:id="3"/>
    </w:p>
    <w:p w14:paraId="0A055FB2" w14:textId="2B634678" w:rsidR="008B0969" w:rsidRPr="00940355" w:rsidRDefault="008B0969" w:rsidP="00940355">
      <w:pPr>
        <w:rPr>
          <w:rFonts w:ascii="Arial" w:hAnsi="Arial" w:cs="Arial"/>
          <w:sz w:val="22"/>
          <w:szCs w:val="22"/>
        </w:rPr>
      </w:pPr>
      <w:r w:rsidRPr="00940355">
        <w:rPr>
          <w:rFonts w:ascii="Arial" w:hAnsi="Arial" w:cs="Arial"/>
          <w:sz w:val="22"/>
          <w:szCs w:val="22"/>
        </w:rPr>
        <w:t xml:space="preserve">The Hierarchy of Needs (1943) by Abraham Maslow is one of the motivational theories that </w:t>
      </w:r>
      <w:r w:rsidR="00E851DA" w:rsidRPr="00940355">
        <w:rPr>
          <w:rFonts w:ascii="Arial" w:hAnsi="Arial" w:cs="Arial"/>
          <w:sz w:val="22"/>
          <w:szCs w:val="22"/>
        </w:rPr>
        <w:t>outlines five levels of human needs, from basic physiological requirements</w:t>
      </w:r>
      <w:r w:rsidRPr="00940355">
        <w:rPr>
          <w:rFonts w:ascii="Arial" w:hAnsi="Arial" w:cs="Arial"/>
          <w:sz w:val="22"/>
          <w:szCs w:val="22"/>
        </w:rPr>
        <w:t xml:space="preserve"> to the high-level psychological and self-fulfilment needs. This model argues that people are driven forward to satisfy the lower needs before moving to the higher levels. These levels include physiological needs, safety, love and belonging, esteem and self-actualisation. In the age of old adulthood</w:t>
      </w:r>
      <w:r w:rsidR="00E851DA" w:rsidRPr="00940355">
        <w:rPr>
          <w:rFonts w:ascii="Arial" w:hAnsi="Arial" w:cs="Arial"/>
          <w:sz w:val="22"/>
          <w:szCs w:val="22"/>
        </w:rPr>
        <w:t>,</w:t>
      </w:r>
      <w:r w:rsidRPr="00940355">
        <w:rPr>
          <w:rFonts w:ascii="Arial" w:hAnsi="Arial" w:cs="Arial"/>
          <w:sz w:val="22"/>
          <w:szCs w:val="22"/>
        </w:rPr>
        <w:t xml:space="preserve"> especially in those who have dementia, the fulfilment of these needs plays a central role in maintaining well-being and dignity (</w:t>
      </w:r>
      <w:r w:rsidR="00940355" w:rsidRPr="00940355">
        <w:rPr>
          <w:rFonts w:ascii="Arial" w:hAnsi="Arial" w:cs="Arial"/>
          <w:sz w:val="22"/>
          <w:szCs w:val="22"/>
        </w:rPr>
        <w:t>Navy, 2020</w:t>
      </w:r>
      <w:r w:rsidRPr="00940355">
        <w:rPr>
          <w:rFonts w:ascii="Arial" w:hAnsi="Arial" w:cs="Arial"/>
          <w:sz w:val="22"/>
          <w:szCs w:val="22"/>
        </w:rPr>
        <w:t>).</w:t>
      </w:r>
    </w:p>
    <w:p w14:paraId="343799FC" w14:textId="77777777" w:rsidR="002C500E" w:rsidRPr="002C500E" w:rsidRDefault="008B0969" w:rsidP="002C500E">
      <w:pPr>
        <w:rPr>
          <w:rFonts w:ascii="Arial" w:hAnsi="Arial" w:cs="Arial"/>
          <w:sz w:val="22"/>
          <w:szCs w:val="22"/>
        </w:rPr>
      </w:pPr>
      <w:r w:rsidRPr="00940355">
        <w:rPr>
          <w:rFonts w:ascii="Arial" w:hAnsi="Arial" w:cs="Arial"/>
          <w:sz w:val="22"/>
          <w:szCs w:val="22"/>
        </w:rPr>
        <w:t>Physiological needs, such as nutrition, hydration, rest, and personal hygiene, should be fulfilled regularly in a dementia care facility since cognitive impairment often makes people unaware of hunger, thirst, or fatigue</w:t>
      </w:r>
      <w:r w:rsidR="009B52DE" w:rsidRPr="00940355">
        <w:rPr>
          <w:rFonts w:ascii="Arial" w:hAnsi="Arial" w:cs="Arial"/>
          <w:sz w:val="22"/>
          <w:szCs w:val="22"/>
        </w:rPr>
        <w:t xml:space="preserve"> (Murphy, 2022)</w:t>
      </w:r>
      <w:r w:rsidRPr="00940355">
        <w:rPr>
          <w:rFonts w:ascii="Arial" w:hAnsi="Arial" w:cs="Arial"/>
          <w:sz w:val="22"/>
          <w:szCs w:val="22"/>
        </w:rPr>
        <w:t xml:space="preserve">. Safety requirements involve the establishment of a safe, predictable environment to prevent suffering and disorientation; </w:t>
      </w:r>
      <w:r w:rsidR="00E851DA" w:rsidRPr="00940355">
        <w:rPr>
          <w:rFonts w:ascii="Arial" w:hAnsi="Arial" w:cs="Arial"/>
          <w:sz w:val="22"/>
          <w:szCs w:val="22"/>
        </w:rPr>
        <w:t xml:space="preserve">this goal can be achieved by using clear signs, routines, and a </w:t>
      </w:r>
      <w:r w:rsidRPr="00940355">
        <w:rPr>
          <w:rFonts w:ascii="Arial" w:hAnsi="Arial" w:cs="Arial"/>
          <w:sz w:val="22"/>
          <w:szCs w:val="22"/>
        </w:rPr>
        <w:t xml:space="preserve">familiar environment. </w:t>
      </w:r>
      <w:r w:rsidR="002C500E" w:rsidRPr="002C500E">
        <w:rPr>
          <w:rFonts w:ascii="Arial" w:hAnsi="Arial" w:cs="Arial"/>
          <w:sz w:val="22"/>
          <w:szCs w:val="22"/>
        </w:rPr>
        <w:t xml:space="preserve">The residents say that they feel more secure when they are given the opportunity to interact socially and emotionally.  </w:t>
      </w:r>
    </w:p>
    <w:p w14:paraId="2585E1F1" w14:textId="491FBB12" w:rsidR="008B0969" w:rsidRPr="00940355" w:rsidRDefault="002C500E" w:rsidP="00940355">
      <w:pPr>
        <w:rPr>
          <w:rFonts w:ascii="Arial" w:hAnsi="Arial" w:cs="Arial"/>
          <w:sz w:val="22"/>
          <w:szCs w:val="22"/>
        </w:rPr>
      </w:pPr>
      <w:r w:rsidRPr="002C500E">
        <w:rPr>
          <w:rFonts w:ascii="Arial" w:hAnsi="Arial" w:cs="Arial"/>
          <w:sz w:val="22"/>
          <w:szCs w:val="22"/>
        </w:rPr>
        <w:t>The needs of love and belonging presuppose an increased role in the dementia care setting because the patients might feel isolated or anxious due to memory loss and communication difficulties.</w:t>
      </w:r>
      <w:r>
        <w:rPr>
          <w:rFonts w:ascii="Arial" w:hAnsi="Arial" w:cs="Arial"/>
          <w:sz w:val="22"/>
          <w:szCs w:val="22"/>
        </w:rPr>
        <w:t xml:space="preserve"> </w:t>
      </w:r>
      <w:r w:rsidR="00E851DA" w:rsidRPr="00940355">
        <w:rPr>
          <w:rFonts w:ascii="Arial" w:hAnsi="Arial" w:cs="Arial"/>
          <w:sz w:val="22"/>
          <w:szCs w:val="22"/>
        </w:rPr>
        <w:t>Care professionals can foster a sense of belonging through</w:t>
      </w:r>
      <w:r w:rsidR="008B0969" w:rsidRPr="00940355">
        <w:rPr>
          <w:rFonts w:ascii="Arial" w:hAnsi="Arial" w:cs="Arial"/>
          <w:sz w:val="22"/>
          <w:szCs w:val="22"/>
        </w:rPr>
        <w:t xml:space="preserve"> social interactions, group activities, and the promotion of family participation. </w:t>
      </w:r>
      <w:r w:rsidR="009B52DE" w:rsidRPr="00940355">
        <w:rPr>
          <w:rFonts w:ascii="Arial" w:hAnsi="Arial" w:cs="Arial"/>
          <w:sz w:val="22"/>
          <w:szCs w:val="22"/>
        </w:rPr>
        <w:t>N</w:t>
      </w:r>
      <w:r w:rsidR="008B0969" w:rsidRPr="00940355">
        <w:rPr>
          <w:rFonts w:ascii="Arial" w:hAnsi="Arial" w:cs="Arial"/>
          <w:sz w:val="22"/>
          <w:szCs w:val="22"/>
        </w:rPr>
        <w:t>eeds, i.e., respect, recognition, and independence</w:t>
      </w:r>
      <w:r w:rsidR="00E851DA" w:rsidRPr="00940355">
        <w:rPr>
          <w:rFonts w:ascii="Arial" w:hAnsi="Arial" w:cs="Arial"/>
          <w:sz w:val="22"/>
          <w:szCs w:val="22"/>
        </w:rPr>
        <w:t>,</w:t>
      </w:r>
      <w:r w:rsidR="008B0969" w:rsidRPr="00940355">
        <w:rPr>
          <w:rFonts w:ascii="Arial" w:hAnsi="Arial" w:cs="Arial"/>
          <w:sz w:val="22"/>
          <w:szCs w:val="22"/>
        </w:rPr>
        <w:t xml:space="preserve"> are strengthened by allowing residents to implement simple decisions, i.e., choosing clothes or engaging in the activity of their choice</w:t>
      </w:r>
      <w:r w:rsidR="009B52DE" w:rsidRPr="00940355">
        <w:rPr>
          <w:rFonts w:ascii="Arial" w:hAnsi="Arial" w:cs="Arial"/>
          <w:sz w:val="22"/>
          <w:szCs w:val="22"/>
        </w:rPr>
        <w:t xml:space="preserve"> (Davis et al, 2019)</w:t>
      </w:r>
      <w:r w:rsidR="008B0969" w:rsidRPr="00940355">
        <w:rPr>
          <w:rFonts w:ascii="Arial" w:hAnsi="Arial" w:cs="Arial"/>
          <w:sz w:val="22"/>
          <w:szCs w:val="22"/>
        </w:rPr>
        <w:t xml:space="preserve">. These interventions strengthen self-worth and independence. Finally, self-actualisation, which refers to </w:t>
      </w:r>
      <w:r w:rsidR="00E851DA" w:rsidRPr="00940355">
        <w:rPr>
          <w:rFonts w:ascii="Arial" w:hAnsi="Arial" w:cs="Arial"/>
          <w:sz w:val="22"/>
          <w:szCs w:val="22"/>
        </w:rPr>
        <w:t>the search for</w:t>
      </w:r>
      <w:r w:rsidR="008B0969" w:rsidRPr="00940355">
        <w:rPr>
          <w:rFonts w:ascii="Arial" w:hAnsi="Arial" w:cs="Arial"/>
          <w:sz w:val="22"/>
          <w:szCs w:val="22"/>
        </w:rPr>
        <w:t xml:space="preserve"> meaning and purpose, may be promoted through creative or spiritual </w:t>
      </w:r>
      <w:r w:rsidR="008B0969" w:rsidRPr="00940355">
        <w:rPr>
          <w:rFonts w:ascii="Arial" w:hAnsi="Arial" w:cs="Arial"/>
          <w:sz w:val="22"/>
          <w:szCs w:val="22"/>
        </w:rPr>
        <w:lastRenderedPageBreak/>
        <w:t>activities, such as art therapy, gardening, or music sessions, which trigger personal memories and pleasure.</w:t>
      </w:r>
    </w:p>
    <w:p w14:paraId="531E2019" w14:textId="7427D562" w:rsidR="008B0969" w:rsidRPr="00940355" w:rsidRDefault="008B0969" w:rsidP="00940355">
      <w:pPr>
        <w:rPr>
          <w:rFonts w:ascii="Arial" w:hAnsi="Arial" w:cs="Arial"/>
          <w:sz w:val="22"/>
          <w:szCs w:val="22"/>
        </w:rPr>
      </w:pPr>
      <w:r w:rsidRPr="00940355">
        <w:rPr>
          <w:rFonts w:ascii="Arial" w:hAnsi="Arial" w:cs="Arial"/>
          <w:sz w:val="22"/>
          <w:szCs w:val="22"/>
        </w:rPr>
        <w:t>However, dementia makes the realisation of these needs difficult. Loss of cognitive functions can foster confusion, dependency and depression</w:t>
      </w:r>
      <w:r w:rsidR="00940355" w:rsidRPr="00940355">
        <w:rPr>
          <w:rFonts w:ascii="Arial" w:hAnsi="Arial" w:cs="Arial"/>
          <w:sz w:val="22"/>
          <w:szCs w:val="22"/>
        </w:rPr>
        <w:t xml:space="preserve"> (Tetsuka, 2021)</w:t>
      </w:r>
      <w:r w:rsidRPr="00940355">
        <w:rPr>
          <w:rFonts w:ascii="Arial" w:hAnsi="Arial" w:cs="Arial"/>
          <w:sz w:val="22"/>
          <w:szCs w:val="22"/>
        </w:rPr>
        <w:t xml:space="preserve">. To address these issues, the care personnel should focus on </w:t>
      </w:r>
      <w:r w:rsidR="00E851DA" w:rsidRPr="00940355">
        <w:rPr>
          <w:rFonts w:ascii="Arial" w:hAnsi="Arial" w:cs="Arial"/>
          <w:sz w:val="22"/>
          <w:szCs w:val="22"/>
        </w:rPr>
        <w:t>a person-centred approach, tailoring the care plans to the individuals' life history, preferences, and affective conditions</w:t>
      </w:r>
      <w:r w:rsidRPr="00940355">
        <w:rPr>
          <w:rFonts w:ascii="Arial" w:hAnsi="Arial" w:cs="Arial"/>
          <w:sz w:val="22"/>
          <w:szCs w:val="22"/>
        </w:rPr>
        <w:t xml:space="preserve">. As a result, </w:t>
      </w:r>
      <w:r w:rsidR="00E851DA" w:rsidRPr="00940355">
        <w:rPr>
          <w:rFonts w:ascii="Arial" w:hAnsi="Arial" w:cs="Arial"/>
          <w:sz w:val="22"/>
          <w:szCs w:val="22"/>
        </w:rPr>
        <w:t>utilising</w:t>
      </w:r>
      <w:r w:rsidRPr="00940355">
        <w:rPr>
          <w:rFonts w:ascii="Arial" w:hAnsi="Arial" w:cs="Arial"/>
          <w:sz w:val="22"/>
          <w:szCs w:val="22"/>
        </w:rPr>
        <w:t xml:space="preserve"> the Maslow framework provides a systematic paradigm of understanding the hierarchy of needs in the context of practical care</w:t>
      </w:r>
      <w:r w:rsidR="00E851DA" w:rsidRPr="00940355">
        <w:rPr>
          <w:rFonts w:ascii="Arial" w:hAnsi="Arial" w:cs="Arial"/>
          <w:sz w:val="22"/>
          <w:szCs w:val="22"/>
        </w:rPr>
        <w:t>, where psychological and emotional well-being are given equal significance to</w:t>
      </w:r>
      <w:r w:rsidRPr="00940355">
        <w:rPr>
          <w:rFonts w:ascii="Arial" w:hAnsi="Arial" w:cs="Arial"/>
          <w:sz w:val="22"/>
          <w:szCs w:val="22"/>
        </w:rPr>
        <w:t xml:space="preserve"> physical care. </w:t>
      </w:r>
    </w:p>
    <w:p w14:paraId="1714CD93" w14:textId="316ED179" w:rsidR="008B0969" w:rsidRPr="00940355" w:rsidRDefault="00E851DA" w:rsidP="00940355">
      <w:pPr>
        <w:rPr>
          <w:rFonts w:ascii="Arial" w:hAnsi="Arial" w:cs="Arial"/>
          <w:sz w:val="22"/>
          <w:szCs w:val="22"/>
        </w:rPr>
      </w:pPr>
      <w:r w:rsidRPr="00940355">
        <w:rPr>
          <w:rFonts w:ascii="Arial" w:hAnsi="Arial" w:cs="Arial"/>
          <w:sz w:val="22"/>
          <w:szCs w:val="22"/>
        </w:rPr>
        <w:t xml:space="preserve">                                </w:t>
      </w:r>
      <w:r w:rsidR="008B0969" w:rsidRPr="00940355">
        <w:rPr>
          <w:rFonts w:ascii="Arial" w:hAnsi="Arial" w:cs="Arial"/>
          <w:noProof/>
          <w:sz w:val="22"/>
          <w:szCs w:val="22"/>
        </w:rPr>
        <w:drawing>
          <wp:inline distT="0" distB="0" distL="0" distR="0" wp14:anchorId="2A43661B" wp14:editId="072CCD3A">
            <wp:extent cx="2705100" cy="4057650"/>
            <wp:effectExtent l="190500" t="190500" r="190500" b="190500"/>
            <wp:docPr id="19009955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16349" cy="4074524"/>
                    </a:xfrm>
                    <a:prstGeom prst="rect">
                      <a:avLst/>
                    </a:prstGeom>
                    <a:ln>
                      <a:noFill/>
                    </a:ln>
                    <a:effectLst>
                      <a:outerShdw blurRad="190500" algn="tl" rotWithShape="0">
                        <a:srgbClr val="000000">
                          <a:alpha val="70000"/>
                        </a:srgbClr>
                      </a:outerShdw>
                    </a:effectLst>
                  </pic:spPr>
                </pic:pic>
              </a:graphicData>
            </a:graphic>
          </wp:inline>
        </w:drawing>
      </w:r>
    </w:p>
    <w:p w14:paraId="46F8F6A4" w14:textId="153A23A5" w:rsidR="00E851DA" w:rsidRPr="00940355" w:rsidRDefault="002C4294" w:rsidP="00940355">
      <w:pPr>
        <w:pStyle w:val="Heading1"/>
        <w:rPr>
          <w:rFonts w:ascii="Arial" w:hAnsi="Arial" w:cs="Arial"/>
          <w:sz w:val="22"/>
          <w:szCs w:val="22"/>
        </w:rPr>
      </w:pPr>
      <w:bookmarkStart w:id="4" w:name="_Toc213162763"/>
      <w:r>
        <w:rPr>
          <w:rFonts w:ascii="Arial" w:hAnsi="Arial" w:cs="Arial"/>
          <w:sz w:val="22"/>
          <w:szCs w:val="22"/>
        </w:rPr>
        <w:t xml:space="preserve">                                      </w:t>
      </w:r>
      <w:r w:rsidR="00940355" w:rsidRPr="00940355">
        <w:rPr>
          <w:rFonts w:ascii="Arial" w:hAnsi="Arial" w:cs="Arial"/>
          <w:sz w:val="22"/>
          <w:szCs w:val="22"/>
        </w:rPr>
        <w:t xml:space="preserve"> </w:t>
      </w:r>
      <w:r w:rsidR="00E851DA" w:rsidRPr="00940355">
        <w:rPr>
          <w:rFonts w:ascii="Arial" w:hAnsi="Arial" w:cs="Arial"/>
          <w:sz w:val="22"/>
          <w:szCs w:val="22"/>
        </w:rPr>
        <w:t>Critical Evaluation and Comparison</w:t>
      </w:r>
      <w:bookmarkEnd w:id="4"/>
    </w:p>
    <w:p w14:paraId="474F8C20" w14:textId="6F8EF00C" w:rsidR="00E851DA" w:rsidRPr="00940355" w:rsidRDefault="00E851DA" w:rsidP="00940355">
      <w:pPr>
        <w:rPr>
          <w:rFonts w:ascii="Arial" w:hAnsi="Arial" w:cs="Arial"/>
          <w:sz w:val="22"/>
          <w:szCs w:val="22"/>
        </w:rPr>
      </w:pPr>
      <w:r w:rsidRPr="00940355">
        <w:rPr>
          <w:rFonts w:ascii="Arial" w:hAnsi="Arial" w:cs="Arial"/>
          <w:sz w:val="22"/>
          <w:szCs w:val="22"/>
        </w:rPr>
        <w:t xml:space="preserve">The psychosocial theory of Erikson and the hierarchy of needs developed by Maslow provide two different approaches to the explanation of the psychological experience of an older adult. Still, they are very different in their focus and in practical implementation. The model by Erikson prefigures the role of identity construction, reflective processes, and emotional resolution in late adulthood. Maslow's hierarchy highlights progressive realisation of the needs of physiological, safety, belongingness, esteem, and self-actualisation as the basis of well-being. </w:t>
      </w:r>
      <w:r w:rsidRPr="00940355">
        <w:rPr>
          <w:rFonts w:ascii="Arial" w:hAnsi="Arial" w:cs="Arial"/>
          <w:sz w:val="22"/>
          <w:szCs w:val="22"/>
        </w:rPr>
        <w:lastRenderedPageBreak/>
        <w:t>When applied to dementia care, both theories work together: Erikson explains the necessity to maintain the sense of self and life purpose even in the face of cognitive decline, and Maslow offers a systematic framework for taking care of the physical, emotional, and social needs of an individual.</w:t>
      </w:r>
    </w:p>
    <w:p w14:paraId="4E06D531" w14:textId="4E86492B" w:rsidR="002C500E" w:rsidRPr="002C500E" w:rsidRDefault="00E851DA" w:rsidP="002C500E">
      <w:pPr>
        <w:rPr>
          <w:rFonts w:ascii="Arial" w:hAnsi="Arial" w:cs="Arial"/>
          <w:sz w:val="22"/>
          <w:szCs w:val="22"/>
        </w:rPr>
      </w:pPr>
      <w:r w:rsidRPr="00940355">
        <w:rPr>
          <w:rFonts w:ascii="Arial" w:hAnsi="Arial" w:cs="Arial"/>
          <w:sz w:val="22"/>
          <w:szCs w:val="22"/>
        </w:rPr>
        <w:t xml:space="preserve">One of the main strengths of Erikson's theory is that it considers emotional continuity and extensive life review, thus making it consistent with implementing reminiscence and validation therapies in the dementia care setting. However, the theory assumes that people have enough cognitive abilities to undertake reflective appraisal of their life story, which might not be true of patients with the severe stages of dementia. By contrast, the </w:t>
      </w:r>
      <w:proofErr w:type="spellStart"/>
      <w:r w:rsidRPr="00940355">
        <w:rPr>
          <w:rFonts w:ascii="Arial" w:hAnsi="Arial" w:cs="Arial"/>
          <w:sz w:val="22"/>
          <w:szCs w:val="22"/>
        </w:rPr>
        <w:t>Maslowian</w:t>
      </w:r>
      <w:proofErr w:type="spellEnd"/>
      <w:r w:rsidRPr="00940355">
        <w:rPr>
          <w:rFonts w:ascii="Arial" w:hAnsi="Arial" w:cs="Arial"/>
          <w:sz w:val="22"/>
          <w:szCs w:val="22"/>
        </w:rPr>
        <w:t xml:space="preserve"> paradigm provides practical guidelines on meeting the urgent and continuing needs through a hierarchical prioritisation plan. </w:t>
      </w:r>
      <w:r w:rsidR="002C500E" w:rsidRPr="002C500E">
        <w:rPr>
          <w:rFonts w:ascii="Arial" w:hAnsi="Arial" w:cs="Arial"/>
          <w:sz w:val="22"/>
          <w:szCs w:val="22"/>
        </w:rPr>
        <w:t xml:space="preserve">Nevertheless, it runs the risk of being insensitive to the more emotional and existential aspects which Erikson clearly anticipates in the ageing experience. An amalgamation of these two views can help health and social care professionals provide holistic and person-centred care. Whereas Maslow makes sure that the basic needs and the psychological needs are met in a logical order, Erikson helps to gain a better insight into the timeless human desire to achieve dignity, purpose, and acceptance. This collaborative </w:t>
      </w:r>
      <w:proofErr w:type="spellStart"/>
      <w:r w:rsidR="002C500E" w:rsidRPr="002C500E">
        <w:rPr>
          <w:rFonts w:ascii="Arial" w:hAnsi="Arial" w:cs="Arial"/>
          <w:sz w:val="22"/>
          <w:szCs w:val="22"/>
        </w:rPr>
        <w:t>endeavor</w:t>
      </w:r>
      <w:proofErr w:type="spellEnd"/>
      <w:r w:rsidR="002C500E" w:rsidRPr="002C500E">
        <w:rPr>
          <w:rFonts w:ascii="Arial" w:hAnsi="Arial" w:cs="Arial"/>
          <w:sz w:val="22"/>
          <w:szCs w:val="22"/>
        </w:rPr>
        <w:t xml:space="preserve"> therefore strengthens the models of care giving by harmonizing the focus on external and internal well-being variables among the older adults with dementia.</w:t>
      </w:r>
    </w:p>
    <w:p w14:paraId="2BEC1D68" w14:textId="6B1144D0" w:rsidR="002C500E" w:rsidRPr="002C500E" w:rsidRDefault="002C500E" w:rsidP="002C500E">
      <w:pPr>
        <w:rPr>
          <w:rFonts w:ascii="Arial" w:hAnsi="Arial" w:cs="Arial"/>
          <w:sz w:val="22"/>
          <w:szCs w:val="22"/>
        </w:rPr>
      </w:pPr>
    </w:p>
    <w:p w14:paraId="1C30D88E" w14:textId="7827FDA7" w:rsidR="002C500E" w:rsidRPr="002C500E" w:rsidRDefault="0010047A" w:rsidP="002C500E">
      <w:pPr>
        <w:pStyle w:val="Heading1"/>
      </w:pPr>
      <w:bookmarkStart w:id="5" w:name="_Toc213162764"/>
      <w:r>
        <w:t xml:space="preserve">                             </w:t>
      </w:r>
      <w:r w:rsidR="000C5736">
        <w:t xml:space="preserve"> </w:t>
      </w:r>
      <w:r w:rsidR="002C500E" w:rsidRPr="002C500E">
        <w:t xml:space="preserve"> Conclusion</w:t>
      </w:r>
      <w:bookmarkEnd w:id="5"/>
      <w:r w:rsidR="002C500E" w:rsidRPr="002C500E">
        <w:t xml:space="preserve">  </w:t>
      </w:r>
    </w:p>
    <w:p w14:paraId="45BCEA2C" w14:textId="09470F39" w:rsidR="009B52DE" w:rsidRPr="00940355" w:rsidRDefault="002C500E" w:rsidP="002C500E">
      <w:pPr>
        <w:rPr>
          <w:rFonts w:ascii="Arial" w:hAnsi="Arial" w:cs="Arial"/>
          <w:sz w:val="22"/>
          <w:szCs w:val="22"/>
        </w:rPr>
      </w:pPr>
      <w:r w:rsidRPr="002C500E">
        <w:rPr>
          <w:rFonts w:ascii="Arial" w:hAnsi="Arial" w:cs="Arial"/>
          <w:sz w:val="22"/>
          <w:szCs w:val="22"/>
        </w:rPr>
        <w:t xml:space="preserve"> Psychosocial Theory by Erikson and the Hierarchy of Needs by Maslow can offer invaluable information about the psychosocial development of elderly patients with dementia and their health. The framework by Erikson emphasizes the role of identity, acceptance, and emotional integrity in adulthood. Nevertheless, the hierarchy of Maslow underlines the insatiable desire to </w:t>
      </w:r>
      <w:r w:rsidR="00BB12C4" w:rsidRPr="002C500E">
        <w:rPr>
          <w:rFonts w:ascii="Arial" w:hAnsi="Arial" w:cs="Arial"/>
          <w:sz w:val="22"/>
          <w:szCs w:val="22"/>
        </w:rPr>
        <w:t>fulfil</w:t>
      </w:r>
      <w:r w:rsidRPr="002C500E">
        <w:rPr>
          <w:rFonts w:ascii="Arial" w:hAnsi="Arial" w:cs="Arial"/>
          <w:sz w:val="22"/>
          <w:szCs w:val="22"/>
        </w:rPr>
        <w:t xml:space="preserve"> physiological, safety, social, and esteem-related needs to be healthy. Together, these theories can teach health and social care professionals to approach dementia care holistically, that is, to consider the medical and physical dimensions of dementia, but also the emotional and existential ones. Through the combination of person-centred interventions, including reminiscence therapy, emotional validation, and meaningful engagement, professionals can assist the residents to feel comfortable, belong, and feel dignified despite having dementia. Lastly, the combination of developmental theory and motivational theory makes care quality better and allows older adults to find </w:t>
      </w:r>
      <w:r w:rsidR="00BB12C4" w:rsidRPr="002C500E">
        <w:rPr>
          <w:rFonts w:ascii="Arial" w:hAnsi="Arial" w:cs="Arial"/>
          <w:sz w:val="22"/>
          <w:szCs w:val="22"/>
        </w:rPr>
        <w:t>fulfilment</w:t>
      </w:r>
      <w:r w:rsidRPr="002C500E">
        <w:rPr>
          <w:rFonts w:ascii="Arial" w:hAnsi="Arial" w:cs="Arial"/>
          <w:sz w:val="22"/>
          <w:szCs w:val="22"/>
        </w:rPr>
        <w:t xml:space="preserve"> and peace in the end of life.</w:t>
      </w:r>
    </w:p>
    <w:p w14:paraId="6799D5A6" w14:textId="77777777" w:rsidR="009B52DE" w:rsidRPr="00940355" w:rsidRDefault="009B52DE" w:rsidP="00940355">
      <w:pPr>
        <w:jc w:val="left"/>
        <w:rPr>
          <w:rFonts w:ascii="Arial" w:hAnsi="Arial" w:cs="Arial"/>
          <w:sz w:val="22"/>
          <w:szCs w:val="22"/>
        </w:rPr>
      </w:pPr>
      <w:r w:rsidRPr="00940355">
        <w:rPr>
          <w:rFonts w:ascii="Arial" w:hAnsi="Arial" w:cs="Arial"/>
          <w:sz w:val="22"/>
          <w:szCs w:val="22"/>
        </w:rPr>
        <w:br w:type="page"/>
      </w:r>
    </w:p>
    <w:p w14:paraId="240CB7D8" w14:textId="3FE9FA5C" w:rsidR="009B52DE" w:rsidRPr="00940355" w:rsidRDefault="009B52DE" w:rsidP="00940355">
      <w:pPr>
        <w:pStyle w:val="Heading1"/>
        <w:rPr>
          <w:rFonts w:ascii="Arial" w:hAnsi="Arial" w:cs="Arial"/>
          <w:sz w:val="22"/>
          <w:szCs w:val="22"/>
        </w:rPr>
      </w:pPr>
      <w:bookmarkStart w:id="6" w:name="_Toc213162765"/>
      <w:r w:rsidRPr="00940355">
        <w:rPr>
          <w:rFonts w:ascii="Arial" w:hAnsi="Arial" w:cs="Arial"/>
          <w:sz w:val="22"/>
          <w:szCs w:val="22"/>
        </w:rPr>
        <w:lastRenderedPageBreak/>
        <w:t>Reference</w:t>
      </w:r>
      <w:bookmarkEnd w:id="6"/>
    </w:p>
    <w:p w14:paraId="2C227192"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Davis, S., Byers, S., Nay, R. and Koch, S., 2009. Guiding design of dementia friendly environments in residential care settings: Considering the living experiences. Dementia, 8(2), pp.185-203.</w:t>
      </w:r>
    </w:p>
    <w:p w14:paraId="406BADCE"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Erikson, E., 1959. Theory of identity development. </w:t>
      </w:r>
      <w:r w:rsidRPr="00940355">
        <w:rPr>
          <w:rFonts w:ascii="Arial" w:hAnsi="Arial" w:cs="Arial"/>
          <w:i/>
          <w:iCs/>
          <w:sz w:val="22"/>
          <w:szCs w:val="22"/>
        </w:rPr>
        <w:t xml:space="preserve">E. Erikson, Identity and the life cycle. Nueva York: International Universities Press. </w:t>
      </w:r>
      <w:proofErr w:type="spellStart"/>
      <w:r w:rsidRPr="00940355">
        <w:rPr>
          <w:rFonts w:ascii="Arial" w:hAnsi="Arial" w:cs="Arial"/>
          <w:i/>
          <w:iCs/>
          <w:sz w:val="22"/>
          <w:szCs w:val="22"/>
        </w:rPr>
        <w:t>Obtenido</w:t>
      </w:r>
      <w:proofErr w:type="spellEnd"/>
      <w:r w:rsidRPr="00940355">
        <w:rPr>
          <w:rFonts w:ascii="Arial" w:hAnsi="Arial" w:cs="Arial"/>
          <w:i/>
          <w:iCs/>
          <w:sz w:val="22"/>
          <w:szCs w:val="22"/>
        </w:rPr>
        <w:t xml:space="preserve"> de http://childdevpsychology. </w:t>
      </w:r>
      <w:proofErr w:type="spellStart"/>
      <w:r w:rsidRPr="00940355">
        <w:rPr>
          <w:rFonts w:ascii="Arial" w:hAnsi="Arial" w:cs="Arial"/>
          <w:i/>
          <w:iCs/>
          <w:sz w:val="22"/>
          <w:szCs w:val="22"/>
        </w:rPr>
        <w:t>yolasite</w:t>
      </w:r>
      <w:proofErr w:type="spellEnd"/>
      <w:r w:rsidRPr="00940355">
        <w:rPr>
          <w:rFonts w:ascii="Arial" w:hAnsi="Arial" w:cs="Arial"/>
          <w:i/>
          <w:iCs/>
          <w:sz w:val="22"/>
          <w:szCs w:val="22"/>
        </w:rPr>
        <w:t xml:space="preserve">. com/resources/theory% 20of% 20ident </w:t>
      </w:r>
      <w:proofErr w:type="spellStart"/>
      <w:r w:rsidRPr="00940355">
        <w:rPr>
          <w:rFonts w:ascii="Arial" w:hAnsi="Arial" w:cs="Arial"/>
          <w:i/>
          <w:iCs/>
          <w:sz w:val="22"/>
          <w:szCs w:val="22"/>
        </w:rPr>
        <w:t>ity</w:t>
      </w:r>
      <w:proofErr w:type="spellEnd"/>
      <w:r w:rsidRPr="00940355">
        <w:rPr>
          <w:rFonts w:ascii="Arial" w:hAnsi="Arial" w:cs="Arial"/>
          <w:i/>
          <w:iCs/>
          <w:sz w:val="22"/>
          <w:szCs w:val="22"/>
        </w:rPr>
        <w:t xml:space="preserve">% 20erikson. Pdf  </w:t>
      </w:r>
    </w:p>
    <w:p w14:paraId="7DF78169"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Erikson, E.H. and Erikson, J.M., 1998. </w:t>
      </w:r>
      <w:r w:rsidRPr="00940355">
        <w:rPr>
          <w:rFonts w:ascii="Arial" w:hAnsi="Arial" w:cs="Arial"/>
          <w:i/>
          <w:iCs/>
          <w:sz w:val="22"/>
          <w:szCs w:val="22"/>
        </w:rPr>
        <w:t>The life cycle completed (extended version)</w:t>
      </w:r>
      <w:r w:rsidRPr="00940355">
        <w:rPr>
          <w:rFonts w:ascii="Arial" w:hAnsi="Arial" w:cs="Arial"/>
          <w:sz w:val="22"/>
          <w:szCs w:val="22"/>
        </w:rPr>
        <w:t>. WW Norton &amp; Company.</w:t>
      </w:r>
    </w:p>
    <w:p w14:paraId="1B2CA796" w14:textId="77777777" w:rsidR="00940355" w:rsidRPr="00940355" w:rsidRDefault="00940355" w:rsidP="00940355">
      <w:pPr>
        <w:ind w:left="720" w:hanging="720"/>
        <w:rPr>
          <w:rFonts w:ascii="Arial" w:hAnsi="Arial" w:cs="Arial"/>
          <w:sz w:val="22"/>
          <w:szCs w:val="22"/>
        </w:rPr>
      </w:pPr>
      <w:proofErr w:type="spellStart"/>
      <w:r w:rsidRPr="00940355">
        <w:rPr>
          <w:rFonts w:ascii="Arial" w:hAnsi="Arial" w:cs="Arial"/>
          <w:sz w:val="22"/>
          <w:szCs w:val="22"/>
        </w:rPr>
        <w:t>Kitwood</w:t>
      </w:r>
      <w:proofErr w:type="spellEnd"/>
      <w:r w:rsidRPr="00940355">
        <w:rPr>
          <w:rFonts w:ascii="Arial" w:hAnsi="Arial" w:cs="Arial"/>
          <w:sz w:val="22"/>
          <w:szCs w:val="22"/>
        </w:rPr>
        <w:t>, T., 1998. Toward a theory of dementia care: ethics and interaction. The Journal of clinical ethics, 9(1), pp.23-34.</w:t>
      </w:r>
    </w:p>
    <w:p w14:paraId="1B25E482"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Mills, M.A., 1997. Narrative identity and dementia: a study of emotion and narrative in older people with dementia. </w:t>
      </w:r>
      <w:r w:rsidRPr="00940355">
        <w:rPr>
          <w:rFonts w:ascii="Arial" w:hAnsi="Arial" w:cs="Arial"/>
          <w:i/>
          <w:iCs/>
          <w:sz w:val="22"/>
          <w:szCs w:val="22"/>
        </w:rPr>
        <w:t>Ageing &amp; Society</w:t>
      </w:r>
      <w:r w:rsidRPr="00940355">
        <w:rPr>
          <w:rFonts w:ascii="Arial" w:hAnsi="Arial" w:cs="Arial"/>
          <w:sz w:val="22"/>
          <w:szCs w:val="22"/>
        </w:rPr>
        <w:t>, </w:t>
      </w:r>
      <w:r w:rsidRPr="00940355">
        <w:rPr>
          <w:rFonts w:ascii="Arial" w:hAnsi="Arial" w:cs="Arial"/>
          <w:i/>
          <w:iCs/>
          <w:sz w:val="22"/>
          <w:szCs w:val="22"/>
        </w:rPr>
        <w:t>17</w:t>
      </w:r>
      <w:r w:rsidRPr="00940355">
        <w:rPr>
          <w:rFonts w:ascii="Arial" w:hAnsi="Arial" w:cs="Arial"/>
          <w:sz w:val="22"/>
          <w:szCs w:val="22"/>
        </w:rPr>
        <w:t>(6), pp.673-698.</w:t>
      </w:r>
    </w:p>
    <w:p w14:paraId="17BC1FDA"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Murphy, J.L., 2022. Improving nutrition and hydration in older people with dementia in care homes. </w:t>
      </w:r>
      <w:r w:rsidRPr="00940355">
        <w:rPr>
          <w:rFonts w:ascii="Arial" w:hAnsi="Arial" w:cs="Arial"/>
          <w:i/>
          <w:iCs/>
          <w:sz w:val="22"/>
          <w:szCs w:val="22"/>
        </w:rPr>
        <w:t>Nursing Older People</w:t>
      </w:r>
      <w:r w:rsidRPr="00940355">
        <w:rPr>
          <w:rFonts w:ascii="Arial" w:hAnsi="Arial" w:cs="Arial"/>
          <w:sz w:val="22"/>
          <w:szCs w:val="22"/>
        </w:rPr>
        <w:t>, </w:t>
      </w:r>
      <w:r w:rsidRPr="00940355">
        <w:rPr>
          <w:rFonts w:ascii="Arial" w:hAnsi="Arial" w:cs="Arial"/>
          <w:i/>
          <w:iCs/>
          <w:sz w:val="22"/>
          <w:szCs w:val="22"/>
        </w:rPr>
        <w:t>34</w:t>
      </w:r>
      <w:r w:rsidRPr="00940355">
        <w:rPr>
          <w:rFonts w:ascii="Arial" w:hAnsi="Arial" w:cs="Arial"/>
          <w:sz w:val="22"/>
          <w:szCs w:val="22"/>
        </w:rPr>
        <w:t>(5).</w:t>
      </w:r>
    </w:p>
    <w:p w14:paraId="271EB2C2"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Navy, S.L., 2020. Theory of human motivation—Abraham Maslow. In </w:t>
      </w:r>
      <w:r w:rsidRPr="00940355">
        <w:rPr>
          <w:rFonts w:ascii="Arial" w:hAnsi="Arial" w:cs="Arial"/>
          <w:i/>
          <w:iCs/>
          <w:sz w:val="22"/>
          <w:szCs w:val="22"/>
        </w:rPr>
        <w:t>Science education in theory and practice: An introductory guide to learning theory</w:t>
      </w:r>
      <w:r w:rsidRPr="00940355">
        <w:rPr>
          <w:rFonts w:ascii="Arial" w:hAnsi="Arial" w:cs="Arial"/>
          <w:sz w:val="22"/>
          <w:szCs w:val="22"/>
        </w:rPr>
        <w:t> (pp. 17-28). Cham: Springer International Publishing.</w:t>
      </w:r>
    </w:p>
    <w:p w14:paraId="5FBC77AB"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Newbould, L., Tucker, S. and Wilberforce, M., 2022. Enabling older people with mental health needs to engage with community social care: A scoping review to inform a theory of change. </w:t>
      </w:r>
      <w:r w:rsidRPr="00940355">
        <w:rPr>
          <w:rFonts w:ascii="Arial" w:hAnsi="Arial" w:cs="Arial"/>
          <w:i/>
          <w:iCs/>
          <w:sz w:val="22"/>
          <w:szCs w:val="22"/>
        </w:rPr>
        <w:t>Health &amp; Social Care in the Community</w:t>
      </w:r>
      <w:r w:rsidRPr="00940355">
        <w:rPr>
          <w:rFonts w:ascii="Arial" w:hAnsi="Arial" w:cs="Arial"/>
          <w:sz w:val="22"/>
          <w:szCs w:val="22"/>
        </w:rPr>
        <w:t>, </w:t>
      </w:r>
      <w:r w:rsidRPr="00940355">
        <w:rPr>
          <w:rFonts w:ascii="Arial" w:hAnsi="Arial" w:cs="Arial"/>
          <w:i/>
          <w:iCs/>
          <w:sz w:val="22"/>
          <w:szCs w:val="22"/>
        </w:rPr>
        <w:t>30</w:t>
      </w:r>
      <w:r w:rsidRPr="00940355">
        <w:rPr>
          <w:rFonts w:ascii="Arial" w:hAnsi="Arial" w:cs="Arial"/>
          <w:sz w:val="22"/>
          <w:szCs w:val="22"/>
        </w:rPr>
        <w:t>(4), pp.1286-1306.</w:t>
      </w:r>
    </w:p>
    <w:p w14:paraId="5C47C7FE"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Rocha, V., Marques, A., Pinto, M., Sousa, L. and Figueiredo, D., 2013. People with dementia in long-term care facilities: an exploratory study of their activities and participation. </w:t>
      </w:r>
      <w:r w:rsidRPr="00940355">
        <w:rPr>
          <w:rFonts w:ascii="Arial" w:hAnsi="Arial" w:cs="Arial"/>
          <w:i/>
          <w:iCs/>
          <w:sz w:val="22"/>
          <w:szCs w:val="22"/>
        </w:rPr>
        <w:t>Disability and rehabilitation</w:t>
      </w:r>
      <w:r w:rsidRPr="00940355">
        <w:rPr>
          <w:rFonts w:ascii="Arial" w:hAnsi="Arial" w:cs="Arial"/>
          <w:sz w:val="22"/>
          <w:szCs w:val="22"/>
        </w:rPr>
        <w:t>, </w:t>
      </w:r>
      <w:r w:rsidRPr="00940355">
        <w:rPr>
          <w:rFonts w:ascii="Arial" w:hAnsi="Arial" w:cs="Arial"/>
          <w:i/>
          <w:iCs/>
          <w:sz w:val="22"/>
          <w:szCs w:val="22"/>
        </w:rPr>
        <w:t>35</w:t>
      </w:r>
      <w:r w:rsidRPr="00940355">
        <w:rPr>
          <w:rFonts w:ascii="Arial" w:hAnsi="Arial" w:cs="Arial"/>
          <w:sz w:val="22"/>
          <w:szCs w:val="22"/>
        </w:rPr>
        <w:t>(18), pp.1501-1508.</w:t>
      </w:r>
    </w:p>
    <w:p w14:paraId="48D03231"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Tetsuka, S., 2021. Depression and dementia in older adults: a neuropsychological review. </w:t>
      </w:r>
      <w:r w:rsidRPr="00940355">
        <w:rPr>
          <w:rFonts w:ascii="Arial" w:hAnsi="Arial" w:cs="Arial"/>
          <w:i/>
          <w:iCs/>
          <w:sz w:val="22"/>
          <w:szCs w:val="22"/>
        </w:rPr>
        <w:t>Aging and disease</w:t>
      </w:r>
      <w:r w:rsidRPr="00940355">
        <w:rPr>
          <w:rFonts w:ascii="Arial" w:hAnsi="Arial" w:cs="Arial"/>
          <w:sz w:val="22"/>
          <w:szCs w:val="22"/>
        </w:rPr>
        <w:t>, </w:t>
      </w:r>
      <w:r w:rsidRPr="00940355">
        <w:rPr>
          <w:rFonts w:ascii="Arial" w:hAnsi="Arial" w:cs="Arial"/>
          <w:i/>
          <w:iCs/>
          <w:sz w:val="22"/>
          <w:szCs w:val="22"/>
        </w:rPr>
        <w:t>12</w:t>
      </w:r>
      <w:r w:rsidRPr="00940355">
        <w:rPr>
          <w:rFonts w:ascii="Arial" w:hAnsi="Arial" w:cs="Arial"/>
          <w:sz w:val="22"/>
          <w:szCs w:val="22"/>
        </w:rPr>
        <w:t>(8), p.1920.</w:t>
      </w:r>
    </w:p>
    <w:p w14:paraId="7622503F"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Woods, R.T. and Clare, L. eds., 2015. </w:t>
      </w:r>
      <w:r w:rsidRPr="00940355">
        <w:rPr>
          <w:rFonts w:ascii="Arial" w:hAnsi="Arial" w:cs="Arial"/>
          <w:i/>
          <w:iCs/>
          <w:sz w:val="22"/>
          <w:szCs w:val="22"/>
        </w:rPr>
        <w:t>Handbook of the clinical psychology of ageing</w:t>
      </w:r>
      <w:r w:rsidRPr="00940355">
        <w:rPr>
          <w:rFonts w:ascii="Arial" w:hAnsi="Arial" w:cs="Arial"/>
          <w:sz w:val="22"/>
          <w:szCs w:val="22"/>
        </w:rPr>
        <w:t>. John Wiley &amp; Sons.</w:t>
      </w:r>
    </w:p>
    <w:p w14:paraId="1D6D87E9" w14:textId="77777777" w:rsidR="00940355" w:rsidRPr="00940355" w:rsidRDefault="00940355" w:rsidP="00940355">
      <w:pPr>
        <w:ind w:left="720" w:hanging="720"/>
        <w:rPr>
          <w:rFonts w:ascii="Arial" w:hAnsi="Arial" w:cs="Arial"/>
          <w:sz w:val="22"/>
          <w:szCs w:val="22"/>
        </w:rPr>
      </w:pPr>
      <w:r w:rsidRPr="00940355">
        <w:rPr>
          <w:rFonts w:ascii="Arial" w:hAnsi="Arial" w:cs="Arial"/>
          <w:sz w:val="22"/>
          <w:szCs w:val="22"/>
        </w:rPr>
        <w:t>Woods, R.T., 2001. Discovering the person with Alzheimer's disease: cognitive, emotional and behavioural aspects. </w:t>
      </w:r>
      <w:r w:rsidRPr="00940355">
        <w:rPr>
          <w:rFonts w:ascii="Arial" w:hAnsi="Arial" w:cs="Arial"/>
          <w:i/>
          <w:iCs/>
          <w:sz w:val="22"/>
          <w:szCs w:val="22"/>
        </w:rPr>
        <w:t>Aging &amp; Mental Health</w:t>
      </w:r>
      <w:r w:rsidRPr="00940355">
        <w:rPr>
          <w:rFonts w:ascii="Arial" w:hAnsi="Arial" w:cs="Arial"/>
          <w:sz w:val="22"/>
          <w:szCs w:val="22"/>
        </w:rPr>
        <w:t>, </w:t>
      </w:r>
      <w:r w:rsidRPr="00940355">
        <w:rPr>
          <w:rFonts w:ascii="Arial" w:hAnsi="Arial" w:cs="Arial"/>
          <w:i/>
          <w:iCs/>
          <w:sz w:val="22"/>
          <w:szCs w:val="22"/>
        </w:rPr>
        <w:t>5</w:t>
      </w:r>
      <w:r w:rsidRPr="00940355">
        <w:rPr>
          <w:rFonts w:ascii="Arial" w:hAnsi="Arial" w:cs="Arial"/>
          <w:sz w:val="22"/>
          <w:szCs w:val="22"/>
        </w:rPr>
        <w:t>(sup1), pp.7-16.</w:t>
      </w:r>
    </w:p>
    <w:p w14:paraId="37C46881" w14:textId="77777777" w:rsidR="008B0969" w:rsidRPr="00940355" w:rsidRDefault="008B0969" w:rsidP="00940355">
      <w:pPr>
        <w:rPr>
          <w:rFonts w:ascii="Arial" w:hAnsi="Arial" w:cs="Arial"/>
          <w:sz w:val="22"/>
          <w:szCs w:val="22"/>
        </w:rPr>
      </w:pPr>
    </w:p>
    <w:sectPr w:rsidR="008B0969" w:rsidRPr="0094035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7F2B1" w14:textId="77777777" w:rsidR="000810DE" w:rsidRDefault="000810DE" w:rsidP="00DA2D61">
      <w:pPr>
        <w:spacing w:after="0" w:line="240" w:lineRule="auto"/>
      </w:pPr>
      <w:r>
        <w:separator/>
      </w:r>
    </w:p>
  </w:endnote>
  <w:endnote w:type="continuationSeparator" w:id="0">
    <w:p w14:paraId="0637DB99" w14:textId="77777777" w:rsidR="000810DE" w:rsidRDefault="000810DE" w:rsidP="00DA2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7077406"/>
      <w:docPartObj>
        <w:docPartGallery w:val="Page Numbers (Bottom of Page)"/>
        <w:docPartUnique/>
      </w:docPartObj>
    </w:sdtPr>
    <w:sdtEndPr>
      <w:rPr>
        <w:noProof/>
      </w:rPr>
    </w:sdtEndPr>
    <w:sdtContent>
      <w:p w14:paraId="4DC650CB" w14:textId="12C6ABAC" w:rsidR="00DA2D61" w:rsidRDefault="00DA2D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92DB30" w14:textId="77777777" w:rsidR="00DA2D61" w:rsidRDefault="00DA2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24FF7" w14:textId="77777777" w:rsidR="000810DE" w:rsidRDefault="000810DE" w:rsidP="00DA2D61">
      <w:pPr>
        <w:spacing w:after="0" w:line="240" w:lineRule="auto"/>
      </w:pPr>
      <w:r>
        <w:separator/>
      </w:r>
    </w:p>
  </w:footnote>
  <w:footnote w:type="continuationSeparator" w:id="0">
    <w:p w14:paraId="3F0A4A36" w14:textId="77777777" w:rsidR="000810DE" w:rsidRDefault="000810DE" w:rsidP="00DA2D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453"/>
    <w:rsid w:val="000810DE"/>
    <w:rsid w:val="00086632"/>
    <w:rsid w:val="000A653A"/>
    <w:rsid w:val="000C5736"/>
    <w:rsid w:val="000D4722"/>
    <w:rsid w:val="0010047A"/>
    <w:rsid w:val="0010330F"/>
    <w:rsid w:val="00132254"/>
    <w:rsid w:val="0013443F"/>
    <w:rsid w:val="00146EED"/>
    <w:rsid w:val="00162A18"/>
    <w:rsid w:val="001B080C"/>
    <w:rsid w:val="001F646C"/>
    <w:rsid w:val="00284962"/>
    <w:rsid w:val="002A5904"/>
    <w:rsid w:val="002B35C0"/>
    <w:rsid w:val="002C4294"/>
    <w:rsid w:val="002C500E"/>
    <w:rsid w:val="002C5605"/>
    <w:rsid w:val="00301E7B"/>
    <w:rsid w:val="0031082A"/>
    <w:rsid w:val="0033179E"/>
    <w:rsid w:val="00353D22"/>
    <w:rsid w:val="003A0060"/>
    <w:rsid w:val="003F4CEA"/>
    <w:rsid w:val="00400ED3"/>
    <w:rsid w:val="00422027"/>
    <w:rsid w:val="00461453"/>
    <w:rsid w:val="0048177C"/>
    <w:rsid w:val="004C2CBB"/>
    <w:rsid w:val="004D3D5C"/>
    <w:rsid w:val="0050429F"/>
    <w:rsid w:val="005744B0"/>
    <w:rsid w:val="00586740"/>
    <w:rsid w:val="005955CF"/>
    <w:rsid w:val="005A1303"/>
    <w:rsid w:val="005A493A"/>
    <w:rsid w:val="005B0707"/>
    <w:rsid w:val="005D3788"/>
    <w:rsid w:val="00637FDD"/>
    <w:rsid w:val="00657575"/>
    <w:rsid w:val="00682E4B"/>
    <w:rsid w:val="006A7515"/>
    <w:rsid w:val="006D0C71"/>
    <w:rsid w:val="007311E7"/>
    <w:rsid w:val="007827FB"/>
    <w:rsid w:val="007B49F2"/>
    <w:rsid w:val="008008B7"/>
    <w:rsid w:val="0080354B"/>
    <w:rsid w:val="00816AA2"/>
    <w:rsid w:val="008B0969"/>
    <w:rsid w:val="008D4828"/>
    <w:rsid w:val="00917373"/>
    <w:rsid w:val="00940355"/>
    <w:rsid w:val="00992C18"/>
    <w:rsid w:val="009B52DE"/>
    <w:rsid w:val="009E258F"/>
    <w:rsid w:val="009F5C96"/>
    <w:rsid w:val="00A55182"/>
    <w:rsid w:val="00A83F15"/>
    <w:rsid w:val="00AD15BF"/>
    <w:rsid w:val="00AE252A"/>
    <w:rsid w:val="00B45790"/>
    <w:rsid w:val="00B72418"/>
    <w:rsid w:val="00BB12C4"/>
    <w:rsid w:val="00BD46DC"/>
    <w:rsid w:val="00C202EB"/>
    <w:rsid w:val="00C75847"/>
    <w:rsid w:val="00CD7085"/>
    <w:rsid w:val="00D15ECD"/>
    <w:rsid w:val="00D223E8"/>
    <w:rsid w:val="00D5152A"/>
    <w:rsid w:val="00D94914"/>
    <w:rsid w:val="00DA2D61"/>
    <w:rsid w:val="00E1364B"/>
    <w:rsid w:val="00E42814"/>
    <w:rsid w:val="00E76D4C"/>
    <w:rsid w:val="00E851DA"/>
    <w:rsid w:val="00E972E3"/>
    <w:rsid w:val="00EB1F76"/>
    <w:rsid w:val="00EE769D"/>
    <w:rsid w:val="00F22E92"/>
    <w:rsid w:val="00F46953"/>
    <w:rsid w:val="00F5375F"/>
    <w:rsid w:val="00FB2690"/>
    <w:rsid w:val="00FE7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9B4613"/>
  <w15:chartTrackingRefBased/>
  <w15:docId w15:val="{BB724726-D827-47C5-80F1-762D266E5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3E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46145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6145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6145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6145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6145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6145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styleId="Hyperlink">
    <w:name w:val="Hyperlink"/>
    <w:basedOn w:val="DefaultParagraphFont"/>
    <w:uiPriority w:val="99"/>
    <w:unhideWhenUsed/>
    <w:rsid w:val="005D3788"/>
    <w:rPr>
      <w:color w:val="0B769F" w:themeColor="accent4" w:themeShade="BF"/>
      <w:u w:val="single"/>
    </w:rPr>
  </w:style>
  <w:style w:type="character" w:customStyle="1" w:styleId="Heading4Char">
    <w:name w:val="Heading 4 Char"/>
    <w:basedOn w:val="DefaultParagraphFont"/>
    <w:link w:val="Heading4"/>
    <w:uiPriority w:val="9"/>
    <w:semiHidden/>
    <w:rsid w:val="004614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14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14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14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14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1453"/>
    <w:rPr>
      <w:rFonts w:eastAsiaTheme="majorEastAsia" w:cstheme="majorBidi"/>
      <w:color w:val="272727" w:themeColor="text1" w:themeTint="D8"/>
    </w:rPr>
  </w:style>
  <w:style w:type="paragraph" w:styleId="Title">
    <w:name w:val="Title"/>
    <w:basedOn w:val="Normal"/>
    <w:next w:val="Normal"/>
    <w:link w:val="TitleChar"/>
    <w:uiPriority w:val="10"/>
    <w:qFormat/>
    <w:rsid w:val="004614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4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145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4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1453"/>
    <w:pPr>
      <w:spacing w:before="160"/>
      <w:jc w:val="center"/>
    </w:pPr>
    <w:rPr>
      <w:i/>
      <w:iCs/>
      <w:color w:val="404040" w:themeColor="text1" w:themeTint="BF"/>
    </w:rPr>
  </w:style>
  <w:style w:type="character" w:customStyle="1" w:styleId="QuoteChar">
    <w:name w:val="Quote Char"/>
    <w:basedOn w:val="DefaultParagraphFont"/>
    <w:link w:val="Quote"/>
    <w:uiPriority w:val="29"/>
    <w:rsid w:val="00461453"/>
    <w:rPr>
      <w:rFonts w:ascii="Times New Roman" w:hAnsi="Times New Roman"/>
      <w:i/>
      <w:iCs/>
      <w:color w:val="404040" w:themeColor="text1" w:themeTint="BF"/>
    </w:rPr>
  </w:style>
  <w:style w:type="paragraph" w:styleId="ListParagraph">
    <w:name w:val="List Paragraph"/>
    <w:basedOn w:val="Normal"/>
    <w:uiPriority w:val="34"/>
    <w:qFormat/>
    <w:rsid w:val="00461453"/>
    <w:pPr>
      <w:ind w:left="720"/>
      <w:contextualSpacing/>
    </w:pPr>
  </w:style>
  <w:style w:type="character" w:styleId="IntenseEmphasis">
    <w:name w:val="Intense Emphasis"/>
    <w:basedOn w:val="DefaultParagraphFont"/>
    <w:uiPriority w:val="21"/>
    <w:qFormat/>
    <w:rsid w:val="00461453"/>
    <w:rPr>
      <w:i/>
      <w:iCs/>
      <w:color w:val="0F4761" w:themeColor="accent1" w:themeShade="BF"/>
    </w:rPr>
  </w:style>
  <w:style w:type="paragraph" w:styleId="IntenseQuote">
    <w:name w:val="Intense Quote"/>
    <w:basedOn w:val="Normal"/>
    <w:next w:val="Normal"/>
    <w:link w:val="IntenseQuoteChar"/>
    <w:uiPriority w:val="30"/>
    <w:qFormat/>
    <w:rsid w:val="004614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1453"/>
    <w:rPr>
      <w:rFonts w:ascii="Times New Roman" w:hAnsi="Times New Roman"/>
      <w:i/>
      <w:iCs/>
      <w:color w:val="0F4761" w:themeColor="accent1" w:themeShade="BF"/>
    </w:rPr>
  </w:style>
  <w:style w:type="character" w:styleId="IntenseReference">
    <w:name w:val="Intense Reference"/>
    <w:basedOn w:val="DefaultParagraphFont"/>
    <w:uiPriority w:val="32"/>
    <w:qFormat/>
    <w:rsid w:val="00461453"/>
    <w:rPr>
      <w:b/>
      <w:bCs/>
      <w:smallCaps/>
      <w:color w:val="0F4761" w:themeColor="accent1" w:themeShade="BF"/>
      <w:spacing w:val="5"/>
    </w:rPr>
  </w:style>
  <w:style w:type="paragraph" w:styleId="TOCHeading">
    <w:name w:val="TOC Heading"/>
    <w:basedOn w:val="Heading1"/>
    <w:next w:val="Normal"/>
    <w:uiPriority w:val="39"/>
    <w:unhideWhenUsed/>
    <w:qFormat/>
    <w:rsid w:val="00940355"/>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0355"/>
    <w:pPr>
      <w:spacing w:after="100"/>
    </w:pPr>
  </w:style>
  <w:style w:type="paragraph" w:styleId="Header">
    <w:name w:val="header"/>
    <w:basedOn w:val="Normal"/>
    <w:link w:val="HeaderChar"/>
    <w:uiPriority w:val="99"/>
    <w:unhideWhenUsed/>
    <w:rsid w:val="00DA2D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D61"/>
    <w:rPr>
      <w:rFonts w:ascii="Times New Roman" w:hAnsi="Times New Roman"/>
    </w:rPr>
  </w:style>
  <w:style w:type="paragraph" w:styleId="Footer">
    <w:name w:val="footer"/>
    <w:basedOn w:val="Normal"/>
    <w:link w:val="FooterChar"/>
    <w:uiPriority w:val="99"/>
    <w:unhideWhenUsed/>
    <w:rsid w:val="00DA2D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D61"/>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7A8839-C70F-4C68-84C0-C1CF29247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2092</Words>
  <Characters>11928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Sabad Afsar</cp:lastModifiedBy>
  <cp:revision>68</cp:revision>
  <dcterms:created xsi:type="dcterms:W3CDTF">2025-11-09T16:04:00Z</dcterms:created>
  <dcterms:modified xsi:type="dcterms:W3CDTF">2025-11-09T21:25:00Z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b925d93d-1e4b-4cb6-b81b-6a35cf49ae69</vt:lpwstr>
  </property>
</Properties>
</file>