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1C66" w:rsidRDefault="002C1C66" w:rsidP="001F1539">
      <w:pPr>
        <w:spacing w:before="240" w:after="240" w:line="360" w:lineRule="auto"/>
        <w:jc w:val="center"/>
        <w:rPr>
          <w:rFonts w:ascii="Times New Roman" w:hAnsi="Times New Roman" w:cs="Times New Roman"/>
          <w:b/>
          <w:sz w:val="40"/>
          <w:szCs w:val="40"/>
        </w:rPr>
      </w:pPr>
    </w:p>
    <w:p w:rsidR="002C1C66" w:rsidRDefault="002C1C66" w:rsidP="001F1539">
      <w:pPr>
        <w:spacing w:before="240" w:after="240" w:line="360" w:lineRule="auto"/>
        <w:jc w:val="center"/>
        <w:rPr>
          <w:rFonts w:ascii="Times New Roman" w:hAnsi="Times New Roman" w:cs="Times New Roman"/>
          <w:b/>
          <w:sz w:val="40"/>
          <w:szCs w:val="40"/>
        </w:rPr>
      </w:pPr>
      <w:r>
        <w:rPr>
          <w:noProof/>
          <w:lang w:eastAsia="en-IN"/>
        </w:rPr>
        <w:drawing>
          <wp:inline distT="0" distB="0" distL="0" distR="0" wp14:anchorId="09FA6D38" wp14:editId="3FFB1FAC">
            <wp:extent cx="3968750" cy="1584321"/>
            <wp:effectExtent l="0" t="0" r="0" b="0"/>
            <wp:docPr id="4" name="Picture 4"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68750" cy="1584321"/>
                    </a:xfrm>
                    <a:prstGeom prst="rect">
                      <a:avLst/>
                    </a:prstGeom>
                    <a:noFill/>
                    <a:ln>
                      <a:noFill/>
                    </a:ln>
                  </pic:spPr>
                </pic:pic>
              </a:graphicData>
            </a:graphic>
          </wp:inline>
        </w:drawing>
      </w:r>
    </w:p>
    <w:p w:rsidR="00576DCB" w:rsidRDefault="00576DCB" w:rsidP="001F1539">
      <w:pPr>
        <w:spacing w:before="240" w:after="240" w:line="360" w:lineRule="auto"/>
        <w:jc w:val="center"/>
        <w:rPr>
          <w:rFonts w:ascii="Times New Roman" w:hAnsi="Times New Roman" w:cs="Times New Roman"/>
          <w:b/>
          <w:sz w:val="40"/>
          <w:szCs w:val="40"/>
        </w:rPr>
      </w:pPr>
      <w:r w:rsidRPr="00576DCB">
        <w:rPr>
          <w:rFonts w:ascii="Times New Roman" w:hAnsi="Times New Roman" w:cs="Times New Roman"/>
          <w:b/>
          <w:sz w:val="40"/>
          <w:szCs w:val="40"/>
        </w:rPr>
        <w:t>Master of Business Administration</w:t>
      </w:r>
    </w:p>
    <w:p w:rsidR="00576DCB" w:rsidRDefault="00576DCB" w:rsidP="001F1539">
      <w:pPr>
        <w:spacing w:before="240" w:after="240" w:line="360" w:lineRule="auto"/>
        <w:jc w:val="center"/>
        <w:rPr>
          <w:rFonts w:ascii="Times New Roman" w:hAnsi="Times New Roman" w:cs="Times New Roman"/>
          <w:b/>
          <w:sz w:val="40"/>
          <w:szCs w:val="40"/>
        </w:rPr>
      </w:pPr>
    </w:p>
    <w:p w:rsidR="00DC58E2" w:rsidRPr="00DC58E2" w:rsidRDefault="004422D4" w:rsidP="001F1539">
      <w:pPr>
        <w:spacing w:before="240" w:after="240" w:line="360" w:lineRule="auto"/>
        <w:jc w:val="center"/>
        <w:rPr>
          <w:rFonts w:ascii="Times New Roman" w:hAnsi="Times New Roman" w:cs="Times New Roman"/>
          <w:b/>
          <w:sz w:val="40"/>
          <w:szCs w:val="40"/>
        </w:rPr>
      </w:pPr>
      <w:r>
        <w:rPr>
          <w:rFonts w:ascii="Times New Roman" w:hAnsi="Times New Roman" w:cs="Times New Roman"/>
          <w:b/>
          <w:sz w:val="40"/>
          <w:szCs w:val="40"/>
        </w:rPr>
        <w:t>LCMB7024</w:t>
      </w:r>
    </w:p>
    <w:p w:rsidR="00DC58E2" w:rsidRPr="00DC58E2" w:rsidRDefault="00DC58E2" w:rsidP="001F1539">
      <w:pPr>
        <w:spacing w:before="240" w:after="240" w:line="360" w:lineRule="auto"/>
        <w:jc w:val="center"/>
        <w:rPr>
          <w:rFonts w:ascii="Times New Roman" w:hAnsi="Times New Roman" w:cs="Times New Roman"/>
          <w:b/>
          <w:sz w:val="40"/>
          <w:szCs w:val="40"/>
        </w:rPr>
      </w:pPr>
      <w:r w:rsidRPr="00DC58E2">
        <w:rPr>
          <w:rFonts w:ascii="Times New Roman" w:hAnsi="Times New Roman" w:cs="Times New Roman"/>
          <w:b/>
          <w:sz w:val="40"/>
          <w:szCs w:val="40"/>
        </w:rPr>
        <w:t>Marketing Management</w:t>
      </w:r>
    </w:p>
    <w:p w:rsidR="00AB324F" w:rsidRDefault="001F1539" w:rsidP="001F1539">
      <w:pPr>
        <w:spacing w:before="240" w:after="240" w:line="360" w:lineRule="auto"/>
        <w:jc w:val="center"/>
        <w:rPr>
          <w:rFonts w:ascii="Times New Roman" w:hAnsi="Times New Roman" w:cs="Times New Roman"/>
          <w:b/>
          <w:sz w:val="40"/>
          <w:szCs w:val="40"/>
        </w:rPr>
      </w:pPr>
      <w:r w:rsidRPr="00DC58E2">
        <w:rPr>
          <w:rFonts w:ascii="Times New Roman" w:hAnsi="Times New Roman" w:cs="Times New Roman"/>
          <w:b/>
          <w:sz w:val="40"/>
          <w:szCs w:val="40"/>
        </w:rPr>
        <w:t>Portfolio: Brand development</w:t>
      </w:r>
    </w:p>
    <w:p w:rsidR="002C1C66" w:rsidRDefault="002C1C66" w:rsidP="001F1539">
      <w:pPr>
        <w:spacing w:before="240" w:after="240" w:line="360" w:lineRule="auto"/>
        <w:jc w:val="center"/>
        <w:rPr>
          <w:rFonts w:ascii="Times New Roman" w:hAnsi="Times New Roman" w:cs="Times New Roman"/>
          <w:b/>
          <w:sz w:val="40"/>
          <w:szCs w:val="40"/>
        </w:rPr>
      </w:pPr>
      <w:bookmarkStart w:id="0" w:name="_GoBack"/>
      <w:bookmarkEnd w:id="0"/>
    </w:p>
    <w:p w:rsidR="002C1C66" w:rsidRDefault="00EA3FE7" w:rsidP="001F1539">
      <w:pPr>
        <w:spacing w:before="240" w:after="240" w:line="360" w:lineRule="auto"/>
        <w:jc w:val="center"/>
        <w:rPr>
          <w:rFonts w:ascii="Times New Roman" w:hAnsi="Times New Roman" w:cs="Times New Roman"/>
          <w:b/>
          <w:sz w:val="40"/>
          <w:szCs w:val="40"/>
        </w:rPr>
      </w:pPr>
      <w:r>
        <w:rPr>
          <w:rFonts w:ascii="Times New Roman" w:hAnsi="Times New Roman" w:cs="Times New Roman"/>
          <w:b/>
          <w:sz w:val="40"/>
          <w:szCs w:val="40"/>
        </w:rPr>
        <w:t xml:space="preserve">Student Name: </w:t>
      </w:r>
      <w:r w:rsidRPr="00EA3FE7">
        <w:rPr>
          <w:rFonts w:ascii="Times New Roman" w:hAnsi="Times New Roman" w:cs="Times New Roman"/>
          <w:b/>
          <w:sz w:val="40"/>
          <w:szCs w:val="40"/>
        </w:rPr>
        <w:t>Darshana Malviya</w:t>
      </w:r>
    </w:p>
    <w:p w:rsidR="002C1C66" w:rsidRDefault="002C1C66" w:rsidP="001F1539">
      <w:pPr>
        <w:spacing w:before="240" w:after="240" w:line="360" w:lineRule="auto"/>
        <w:jc w:val="center"/>
        <w:rPr>
          <w:rFonts w:ascii="Times New Roman" w:hAnsi="Times New Roman" w:cs="Times New Roman"/>
          <w:b/>
          <w:sz w:val="40"/>
          <w:szCs w:val="40"/>
        </w:rPr>
      </w:pPr>
      <w:r>
        <w:rPr>
          <w:rFonts w:ascii="Times New Roman" w:hAnsi="Times New Roman" w:cs="Times New Roman"/>
          <w:b/>
          <w:sz w:val="40"/>
          <w:szCs w:val="40"/>
        </w:rPr>
        <w:t xml:space="preserve">Student ID: </w:t>
      </w:r>
      <w:r w:rsidRPr="002C1C66">
        <w:rPr>
          <w:rFonts w:ascii="Times New Roman" w:hAnsi="Times New Roman" w:cs="Times New Roman"/>
          <w:b/>
          <w:sz w:val="40"/>
          <w:szCs w:val="40"/>
        </w:rPr>
        <w:t>2543479</w:t>
      </w:r>
    </w:p>
    <w:p w:rsidR="00DC58E2" w:rsidRDefault="00DC58E2" w:rsidP="001F1539">
      <w:pPr>
        <w:spacing w:before="240" w:after="240" w:line="360" w:lineRule="auto"/>
        <w:jc w:val="center"/>
        <w:rPr>
          <w:rFonts w:ascii="Times New Roman" w:hAnsi="Times New Roman" w:cs="Times New Roman"/>
          <w:b/>
          <w:sz w:val="40"/>
          <w:szCs w:val="40"/>
        </w:rPr>
      </w:pPr>
    </w:p>
    <w:p w:rsidR="00DC58E2" w:rsidRPr="00DC58E2" w:rsidRDefault="00DC58E2" w:rsidP="001F1539">
      <w:pPr>
        <w:spacing w:before="240" w:after="240" w:line="360" w:lineRule="auto"/>
        <w:jc w:val="center"/>
        <w:rPr>
          <w:rFonts w:ascii="Times New Roman" w:hAnsi="Times New Roman" w:cs="Times New Roman"/>
          <w:b/>
          <w:sz w:val="40"/>
          <w:szCs w:val="40"/>
        </w:rPr>
      </w:pPr>
    </w:p>
    <w:p w:rsidR="001F1539" w:rsidRPr="00DC58E2" w:rsidRDefault="001F1539" w:rsidP="001F1539">
      <w:pPr>
        <w:spacing w:before="240" w:after="240" w:line="360" w:lineRule="auto"/>
        <w:jc w:val="both"/>
        <w:rPr>
          <w:rFonts w:ascii="Times New Roman" w:hAnsi="Times New Roman" w:cs="Times New Roman"/>
          <w:sz w:val="24"/>
          <w:szCs w:val="24"/>
        </w:rPr>
      </w:pPr>
    </w:p>
    <w:p w:rsidR="001F1539" w:rsidRPr="00DC58E2" w:rsidRDefault="001F1539" w:rsidP="001F1539">
      <w:pPr>
        <w:spacing w:before="240" w:after="240"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IN" w:eastAsia="en-US"/>
        </w:rPr>
        <w:id w:val="-984611645"/>
        <w:docPartObj>
          <w:docPartGallery w:val="Table of Contents"/>
          <w:docPartUnique/>
        </w:docPartObj>
      </w:sdtPr>
      <w:sdtEndPr>
        <w:rPr>
          <w:noProof/>
        </w:rPr>
      </w:sdtEndPr>
      <w:sdtContent>
        <w:p w:rsidR="00DC58E2" w:rsidRPr="00DC58E2" w:rsidRDefault="00DC58E2" w:rsidP="00DC58E2">
          <w:pPr>
            <w:pStyle w:val="TOCHeading"/>
            <w:jc w:val="center"/>
            <w:rPr>
              <w:rFonts w:ascii="Times New Roman" w:hAnsi="Times New Roman" w:cs="Times New Roman"/>
              <w:color w:val="000000" w:themeColor="text1"/>
              <w:sz w:val="24"/>
              <w:szCs w:val="24"/>
            </w:rPr>
          </w:pPr>
          <w:r w:rsidRPr="00DC58E2">
            <w:rPr>
              <w:rFonts w:ascii="Times New Roman" w:hAnsi="Times New Roman" w:cs="Times New Roman"/>
              <w:color w:val="000000" w:themeColor="text1"/>
              <w:sz w:val="24"/>
              <w:szCs w:val="24"/>
            </w:rPr>
            <w:t>Table of Contents</w:t>
          </w:r>
        </w:p>
        <w:p w:rsidR="00DC58E2" w:rsidRPr="00DC58E2" w:rsidRDefault="00DC58E2">
          <w:pPr>
            <w:pStyle w:val="TOC1"/>
            <w:tabs>
              <w:tab w:val="right" w:leader="dot" w:pos="9016"/>
            </w:tabs>
            <w:rPr>
              <w:rFonts w:ascii="Times New Roman" w:eastAsiaTheme="minorEastAsia" w:hAnsi="Times New Roman" w:cs="Times New Roman"/>
              <w:noProof/>
              <w:sz w:val="24"/>
              <w:szCs w:val="24"/>
              <w:lang w:eastAsia="en-IN"/>
            </w:rPr>
          </w:pPr>
          <w:r w:rsidRPr="00DC58E2">
            <w:rPr>
              <w:rFonts w:ascii="Times New Roman" w:hAnsi="Times New Roman" w:cs="Times New Roman"/>
              <w:color w:val="000000" w:themeColor="text1"/>
              <w:sz w:val="24"/>
              <w:szCs w:val="24"/>
            </w:rPr>
            <w:fldChar w:fldCharType="begin"/>
          </w:r>
          <w:r w:rsidRPr="00DC58E2">
            <w:rPr>
              <w:rFonts w:ascii="Times New Roman" w:hAnsi="Times New Roman" w:cs="Times New Roman"/>
              <w:color w:val="000000" w:themeColor="text1"/>
              <w:sz w:val="24"/>
              <w:szCs w:val="24"/>
            </w:rPr>
            <w:instrText xml:space="preserve"> TOC \o "1-3" \h \z \u </w:instrText>
          </w:r>
          <w:r w:rsidRPr="00DC58E2">
            <w:rPr>
              <w:rFonts w:ascii="Times New Roman" w:hAnsi="Times New Roman" w:cs="Times New Roman"/>
              <w:color w:val="000000" w:themeColor="text1"/>
              <w:sz w:val="24"/>
              <w:szCs w:val="24"/>
            </w:rPr>
            <w:fldChar w:fldCharType="separate"/>
          </w:r>
          <w:hyperlink w:anchor="_Toc237510451" w:history="1">
            <w:r w:rsidRPr="00DC58E2">
              <w:rPr>
                <w:rStyle w:val="Hyperlink"/>
                <w:rFonts w:ascii="Times New Roman" w:hAnsi="Times New Roman" w:cs="Times New Roman"/>
                <w:noProof/>
                <w:sz w:val="24"/>
                <w:szCs w:val="24"/>
              </w:rPr>
              <w:t>Element 1: The Poster</w:t>
            </w:r>
            <w:r w:rsidRPr="00DC58E2">
              <w:rPr>
                <w:rFonts w:ascii="Times New Roman" w:hAnsi="Times New Roman" w:cs="Times New Roman"/>
                <w:noProof/>
                <w:webHidden/>
                <w:sz w:val="24"/>
                <w:szCs w:val="24"/>
              </w:rPr>
              <w:tab/>
            </w:r>
            <w:r w:rsidRPr="00DC58E2">
              <w:rPr>
                <w:rFonts w:ascii="Times New Roman" w:hAnsi="Times New Roman" w:cs="Times New Roman"/>
                <w:noProof/>
                <w:webHidden/>
                <w:sz w:val="24"/>
                <w:szCs w:val="24"/>
              </w:rPr>
              <w:fldChar w:fldCharType="begin"/>
            </w:r>
            <w:r w:rsidRPr="00DC58E2">
              <w:rPr>
                <w:rFonts w:ascii="Times New Roman" w:hAnsi="Times New Roman" w:cs="Times New Roman"/>
                <w:noProof/>
                <w:webHidden/>
                <w:sz w:val="24"/>
                <w:szCs w:val="24"/>
              </w:rPr>
              <w:instrText xml:space="preserve"> PAGEREF _Toc237510451 \h </w:instrText>
            </w:r>
            <w:r w:rsidRPr="00DC58E2">
              <w:rPr>
                <w:rFonts w:ascii="Times New Roman" w:hAnsi="Times New Roman" w:cs="Times New Roman"/>
                <w:noProof/>
                <w:webHidden/>
                <w:sz w:val="24"/>
                <w:szCs w:val="24"/>
              </w:rPr>
            </w:r>
            <w:r w:rsidRPr="00DC58E2">
              <w:rPr>
                <w:rFonts w:ascii="Times New Roman" w:hAnsi="Times New Roman" w:cs="Times New Roman"/>
                <w:noProof/>
                <w:webHidden/>
                <w:sz w:val="24"/>
                <w:szCs w:val="24"/>
              </w:rPr>
              <w:fldChar w:fldCharType="separate"/>
            </w:r>
            <w:r w:rsidRPr="00DC58E2">
              <w:rPr>
                <w:rFonts w:ascii="Times New Roman" w:hAnsi="Times New Roman" w:cs="Times New Roman"/>
                <w:noProof/>
                <w:webHidden/>
                <w:sz w:val="24"/>
                <w:szCs w:val="24"/>
              </w:rPr>
              <w:t>3</w:t>
            </w:r>
            <w:r w:rsidRPr="00DC58E2">
              <w:rPr>
                <w:rFonts w:ascii="Times New Roman" w:hAnsi="Times New Roman" w:cs="Times New Roman"/>
                <w:noProof/>
                <w:webHidden/>
                <w:sz w:val="24"/>
                <w:szCs w:val="24"/>
              </w:rPr>
              <w:fldChar w:fldCharType="end"/>
            </w:r>
          </w:hyperlink>
        </w:p>
        <w:p w:rsidR="00DC58E2" w:rsidRPr="00DC58E2" w:rsidRDefault="00EA3FE7">
          <w:pPr>
            <w:pStyle w:val="TOC1"/>
            <w:tabs>
              <w:tab w:val="right" w:leader="dot" w:pos="9016"/>
            </w:tabs>
            <w:rPr>
              <w:rFonts w:ascii="Times New Roman" w:eastAsiaTheme="minorEastAsia" w:hAnsi="Times New Roman" w:cs="Times New Roman"/>
              <w:noProof/>
              <w:sz w:val="24"/>
              <w:szCs w:val="24"/>
              <w:lang w:eastAsia="en-IN"/>
            </w:rPr>
          </w:pPr>
          <w:hyperlink w:anchor="_Toc237510452" w:history="1">
            <w:r w:rsidR="00DC58E2" w:rsidRPr="00DC58E2">
              <w:rPr>
                <w:rStyle w:val="Hyperlink"/>
                <w:rFonts w:ascii="Times New Roman" w:hAnsi="Times New Roman" w:cs="Times New Roman"/>
                <w:noProof/>
                <w:sz w:val="24"/>
                <w:szCs w:val="24"/>
              </w:rPr>
              <w:t>Element 2: STDP Analysis</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_Toc237510452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3</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53" w:history="1">
            <w:r w:rsidR="00DC58E2" w:rsidRPr="00DC58E2">
              <w:rPr>
                <w:rStyle w:val="Hyperlink"/>
                <w:rFonts w:ascii="Times New Roman" w:hAnsi="Times New Roman" w:cs="Times New Roman"/>
                <w:noProof/>
                <w:sz w:val="24"/>
                <w:szCs w:val="24"/>
              </w:rPr>
              <w:t>Segmentation</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_Toc237510453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3</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54" w:history="1">
            <w:r w:rsidR="00DC58E2" w:rsidRPr="00DC58E2">
              <w:rPr>
                <w:rStyle w:val="Hyperlink"/>
                <w:rFonts w:ascii="Times New Roman" w:hAnsi="Times New Roman" w:cs="Times New Roman"/>
                <w:noProof/>
                <w:sz w:val="24"/>
                <w:szCs w:val="24"/>
              </w:rPr>
              <w:t>Targeting</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_Toc237510454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5</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55" w:history="1">
            <w:r w:rsidR="00DC58E2" w:rsidRPr="00DC58E2">
              <w:rPr>
                <w:rStyle w:val="Hyperlink"/>
                <w:rFonts w:ascii="Times New Roman" w:hAnsi="Times New Roman" w:cs="Times New Roman"/>
                <w:noProof/>
                <w:sz w:val="24"/>
                <w:szCs w:val="24"/>
              </w:rPr>
              <w:t>Differentiation</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_Toc237510455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5</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56" w:history="1">
            <w:r w:rsidR="00DC58E2" w:rsidRPr="00DC58E2">
              <w:rPr>
                <w:rStyle w:val="Hyperlink"/>
                <w:rFonts w:ascii="Times New Roman" w:hAnsi="Times New Roman" w:cs="Times New Roman"/>
                <w:noProof/>
                <w:sz w:val="24"/>
                <w:szCs w:val="24"/>
              </w:rPr>
              <w:t>Positioning</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_Toc237510456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6</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1"/>
            <w:tabs>
              <w:tab w:val="right" w:leader="dot" w:pos="9016"/>
            </w:tabs>
            <w:rPr>
              <w:rFonts w:ascii="Times New Roman" w:eastAsiaTheme="minorEastAsia" w:hAnsi="Times New Roman" w:cs="Times New Roman"/>
              <w:noProof/>
              <w:sz w:val="24"/>
              <w:szCs w:val="24"/>
              <w:lang w:eastAsia="en-IN"/>
            </w:rPr>
          </w:pPr>
          <w:hyperlink w:anchor="_Toc237510457" w:history="1">
            <w:r w:rsidR="00DC58E2" w:rsidRPr="00DC58E2">
              <w:rPr>
                <w:rStyle w:val="Hyperlink"/>
                <w:rFonts w:ascii="Times New Roman" w:hAnsi="Times New Roman" w:cs="Times New Roman"/>
                <w:noProof/>
                <w:sz w:val="24"/>
                <w:szCs w:val="24"/>
              </w:rPr>
              <w:t>Element 3: Marketing Mix (7Ps)</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_Toc237510457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7</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58" w:history="1">
            <w:r w:rsidR="00DC58E2" w:rsidRPr="00DC58E2">
              <w:rPr>
                <w:rStyle w:val="Hyperlink"/>
                <w:rFonts w:ascii="Times New Roman" w:hAnsi="Times New Roman" w:cs="Times New Roman"/>
                <w:noProof/>
                <w:sz w:val="24"/>
                <w:szCs w:val="24"/>
              </w:rPr>
              <w:t>Product</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_Toc237510458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7</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59" w:history="1">
            <w:r w:rsidR="00DC58E2" w:rsidRPr="00DC58E2">
              <w:rPr>
                <w:rStyle w:val="Hyperlink"/>
                <w:rFonts w:ascii="Times New Roman" w:hAnsi="Times New Roman" w:cs="Times New Roman"/>
                <w:noProof/>
                <w:sz w:val="24"/>
                <w:szCs w:val="24"/>
              </w:rPr>
              <w:t>Price</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_Toc237510459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8</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60" w:history="1">
            <w:r w:rsidR="00DC58E2" w:rsidRPr="00DC58E2">
              <w:rPr>
                <w:rStyle w:val="Hyperlink"/>
                <w:rFonts w:ascii="Times New Roman" w:hAnsi="Times New Roman" w:cs="Times New Roman"/>
                <w:noProof/>
                <w:sz w:val="24"/>
                <w:szCs w:val="24"/>
              </w:rPr>
              <w:t>Place</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_Toc237510460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8</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61" w:history="1">
            <w:r w:rsidR="00DC58E2" w:rsidRPr="00DC58E2">
              <w:rPr>
                <w:rStyle w:val="Hyperlink"/>
                <w:rFonts w:ascii="Times New Roman" w:hAnsi="Times New Roman" w:cs="Times New Roman"/>
                <w:noProof/>
                <w:sz w:val="24"/>
                <w:szCs w:val="24"/>
              </w:rPr>
              <w:t>Promotion</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_Toc237510461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9</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62" w:history="1">
            <w:r w:rsidR="00DC58E2" w:rsidRPr="00DC58E2">
              <w:rPr>
                <w:rStyle w:val="Hyperlink"/>
                <w:rFonts w:ascii="Times New Roman" w:hAnsi="Times New Roman" w:cs="Times New Roman"/>
                <w:noProof/>
                <w:sz w:val="24"/>
                <w:szCs w:val="24"/>
              </w:rPr>
              <w:t>People</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_Toc237510462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9</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63" w:history="1">
            <w:r w:rsidR="00DC58E2" w:rsidRPr="00DC58E2">
              <w:rPr>
                <w:rStyle w:val="Hyperlink"/>
                <w:rFonts w:ascii="Times New Roman" w:hAnsi="Times New Roman" w:cs="Times New Roman"/>
                <w:noProof/>
                <w:sz w:val="24"/>
                <w:szCs w:val="24"/>
              </w:rPr>
              <w:t>Process</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_Toc237510463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9</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2"/>
            <w:tabs>
              <w:tab w:val="right" w:leader="dot" w:pos="9016"/>
            </w:tabs>
            <w:rPr>
              <w:rFonts w:ascii="Times New Roman" w:eastAsiaTheme="minorEastAsia" w:hAnsi="Times New Roman" w:cs="Times New Roman"/>
              <w:noProof/>
              <w:sz w:val="24"/>
              <w:szCs w:val="24"/>
              <w:lang w:eastAsia="en-IN"/>
            </w:rPr>
          </w:pPr>
          <w:hyperlink w:anchor="_Toc237510464" w:history="1">
            <w:r w:rsidR="00DC58E2" w:rsidRPr="00DC58E2">
              <w:rPr>
                <w:rStyle w:val="Hyperlink"/>
                <w:rFonts w:ascii="Times New Roman" w:hAnsi="Times New Roman" w:cs="Times New Roman"/>
                <w:noProof/>
                <w:sz w:val="24"/>
                <w:szCs w:val="24"/>
              </w:rPr>
              <w:t>Physical Evidence</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_Toc237510464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10</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1"/>
            <w:tabs>
              <w:tab w:val="right" w:leader="dot" w:pos="9016"/>
            </w:tabs>
            <w:rPr>
              <w:rFonts w:ascii="Times New Roman" w:eastAsiaTheme="minorEastAsia" w:hAnsi="Times New Roman" w:cs="Times New Roman"/>
              <w:noProof/>
              <w:sz w:val="24"/>
              <w:szCs w:val="24"/>
              <w:lang w:eastAsia="en-IN"/>
            </w:rPr>
          </w:pPr>
          <w:hyperlink w:anchor="_Toc237510465" w:history="1">
            <w:r w:rsidR="00DC58E2" w:rsidRPr="00DC58E2">
              <w:rPr>
                <w:rStyle w:val="Hyperlink"/>
                <w:rFonts w:ascii="Times New Roman" w:hAnsi="Times New Roman" w:cs="Times New Roman"/>
                <w:noProof/>
                <w:sz w:val="24"/>
                <w:szCs w:val="24"/>
              </w:rPr>
              <w:t>Element 4 — Reflection</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_Toc237510465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10</w:t>
            </w:r>
            <w:r w:rsidR="00DC58E2" w:rsidRPr="00DC58E2">
              <w:rPr>
                <w:rFonts w:ascii="Times New Roman" w:hAnsi="Times New Roman" w:cs="Times New Roman"/>
                <w:noProof/>
                <w:webHidden/>
                <w:sz w:val="24"/>
                <w:szCs w:val="24"/>
              </w:rPr>
              <w:fldChar w:fldCharType="end"/>
            </w:r>
          </w:hyperlink>
        </w:p>
        <w:p w:rsidR="00DC58E2" w:rsidRPr="00DC58E2" w:rsidRDefault="00EA3FE7">
          <w:pPr>
            <w:pStyle w:val="TOC1"/>
            <w:tabs>
              <w:tab w:val="right" w:leader="dot" w:pos="9016"/>
            </w:tabs>
            <w:rPr>
              <w:rFonts w:ascii="Times New Roman" w:eastAsiaTheme="minorEastAsia" w:hAnsi="Times New Roman" w:cs="Times New Roman"/>
              <w:noProof/>
              <w:sz w:val="24"/>
              <w:szCs w:val="24"/>
              <w:lang w:eastAsia="en-IN"/>
            </w:rPr>
          </w:pPr>
          <w:hyperlink w:anchor="_Toc237510466" w:history="1">
            <w:r w:rsidR="00DC58E2" w:rsidRPr="00DC58E2">
              <w:rPr>
                <w:rStyle w:val="Hyperlink"/>
                <w:rFonts w:ascii="Times New Roman" w:hAnsi="Times New Roman" w:cs="Times New Roman"/>
                <w:noProof/>
                <w:sz w:val="24"/>
                <w:szCs w:val="24"/>
              </w:rPr>
              <w:t>References</w:t>
            </w:r>
            <w:r w:rsidR="00DC58E2" w:rsidRPr="00DC58E2">
              <w:rPr>
                <w:rFonts w:ascii="Times New Roman" w:hAnsi="Times New Roman" w:cs="Times New Roman"/>
                <w:noProof/>
                <w:webHidden/>
                <w:sz w:val="24"/>
                <w:szCs w:val="24"/>
              </w:rPr>
              <w:tab/>
            </w:r>
            <w:r w:rsidR="00DC58E2" w:rsidRPr="00DC58E2">
              <w:rPr>
                <w:rFonts w:ascii="Times New Roman" w:hAnsi="Times New Roman" w:cs="Times New Roman"/>
                <w:noProof/>
                <w:webHidden/>
                <w:sz w:val="24"/>
                <w:szCs w:val="24"/>
              </w:rPr>
              <w:fldChar w:fldCharType="begin"/>
            </w:r>
            <w:r w:rsidR="00DC58E2" w:rsidRPr="00DC58E2">
              <w:rPr>
                <w:rFonts w:ascii="Times New Roman" w:hAnsi="Times New Roman" w:cs="Times New Roman"/>
                <w:noProof/>
                <w:webHidden/>
                <w:sz w:val="24"/>
                <w:szCs w:val="24"/>
              </w:rPr>
              <w:instrText xml:space="preserve"> PAGEREF _Toc237510466 \h </w:instrText>
            </w:r>
            <w:r w:rsidR="00DC58E2" w:rsidRPr="00DC58E2">
              <w:rPr>
                <w:rFonts w:ascii="Times New Roman" w:hAnsi="Times New Roman" w:cs="Times New Roman"/>
                <w:noProof/>
                <w:webHidden/>
                <w:sz w:val="24"/>
                <w:szCs w:val="24"/>
              </w:rPr>
            </w:r>
            <w:r w:rsidR="00DC58E2" w:rsidRPr="00DC58E2">
              <w:rPr>
                <w:rFonts w:ascii="Times New Roman" w:hAnsi="Times New Roman" w:cs="Times New Roman"/>
                <w:noProof/>
                <w:webHidden/>
                <w:sz w:val="24"/>
                <w:szCs w:val="24"/>
              </w:rPr>
              <w:fldChar w:fldCharType="separate"/>
            </w:r>
            <w:r w:rsidR="00DC58E2" w:rsidRPr="00DC58E2">
              <w:rPr>
                <w:rFonts w:ascii="Times New Roman" w:hAnsi="Times New Roman" w:cs="Times New Roman"/>
                <w:noProof/>
                <w:webHidden/>
                <w:sz w:val="24"/>
                <w:szCs w:val="24"/>
              </w:rPr>
              <w:t>13</w:t>
            </w:r>
            <w:r w:rsidR="00DC58E2" w:rsidRPr="00DC58E2">
              <w:rPr>
                <w:rFonts w:ascii="Times New Roman" w:hAnsi="Times New Roman" w:cs="Times New Roman"/>
                <w:noProof/>
                <w:webHidden/>
                <w:sz w:val="24"/>
                <w:szCs w:val="24"/>
              </w:rPr>
              <w:fldChar w:fldCharType="end"/>
            </w:r>
          </w:hyperlink>
        </w:p>
        <w:p w:rsidR="00DC58E2" w:rsidRDefault="00DC58E2" w:rsidP="00DC58E2">
          <w:pPr>
            <w:jc w:val="center"/>
          </w:pPr>
          <w:r w:rsidRPr="00DC58E2">
            <w:rPr>
              <w:rFonts w:ascii="Times New Roman" w:hAnsi="Times New Roman" w:cs="Times New Roman"/>
              <w:b/>
              <w:bCs/>
              <w:noProof/>
              <w:color w:val="000000" w:themeColor="text1"/>
              <w:sz w:val="24"/>
              <w:szCs w:val="24"/>
            </w:rPr>
            <w:fldChar w:fldCharType="end"/>
          </w:r>
        </w:p>
      </w:sdtContent>
    </w:sdt>
    <w:p w:rsidR="001F1539" w:rsidRPr="00DC58E2" w:rsidRDefault="00DC58E2" w:rsidP="00DC58E2">
      <w:pPr>
        <w:pStyle w:val="Heading1"/>
      </w:pPr>
      <w:r>
        <w:br w:type="column"/>
      </w:r>
      <w:bookmarkStart w:id="1" w:name="_Toc237510451"/>
      <w:r w:rsidR="001F1539" w:rsidRPr="00DC58E2">
        <w:lastRenderedPageBreak/>
        <w:t>Element 1: The Poster</w:t>
      </w:r>
      <w:bookmarkEnd w:id="1"/>
    </w:p>
    <w:p w:rsidR="001F1539" w:rsidRPr="00DC58E2" w:rsidRDefault="00DC58E2" w:rsidP="00DC58E2">
      <w:pPr>
        <w:spacing w:before="240" w:after="240" w:line="360" w:lineRule="auto"/>
        <w:jc w:val="center"/>
        <w:rPr>
          <w:rFonts w:ascii="Times New Roman" w:hAnsi="Times New Roman" w:cs="Times New Roman"/>
          <w:b/>
          <w:sz w:val="24"/>
          <w:szCs w:val="24"/>
        </w:rPr>
      </w:pPr>
      <w:r w:rsidRPr="00DC58E2">
        <w:rPr>
          <w:rFonts w:ascii="Times New Roman" w:hAnsi="Times New Roman" w:cs="Times New Roman"/>
          <w:b/>
          <w:noProof/>
          <w:sz w:val="24"/>
          <w:szCs w:val="24"/>
          <w:lang w:eastAsia="en-IN"/>
        </w:rPr>
        <w:drawing>
          <wp:inline distT="0" distB="0" distL="0" distR="0" wp14:anchorId="0F7DFDEE" wp14:editId="6F8348CF">
            <wp:extent cx="3543482" cy="49786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543482" cy="4978656"/>
                    </a:xfrm>
                    <a:prstGeom prst="rect">
                      <a:avLst/>
                    </a:prstGeom>
                  </pic:spPr>
                </pic:pic>
              </a:graphicData>
            </a:graphic>
          </wp:inline>
        </w:drawing>
      </w:r>
    </w:p>
    <w:p w:rsidR="001F1539" w:rsidRPr="00DC58E2" w:rsidRDefault="001F1539" w:rsidP="00DC58E2">
      <w:pPr>
        <w:pStyle w:val="Heading1"/>
      </w:pPr>
      <w:bookmarkStart w:id="2" w:name="_Toc237510452"/>
      <w:r w:rsidRPr="00DC58E2">
        <w:t>Element 2: STDP Analysis</w:t>
      </w:r>
      <w:bookmarkEnd w:id="2"/>
    </w:p>
    <w:p w:rsidR="001F1539" w:rsidRPr="00DC58E2" w:rsidRDefault="001F1539" w:rsidP="00DC58E2">
      <w:pPr>
        <w:pStyle w:val="Heading2"/>
      </w:pPr>
      <w:bookmarkStart w:id="3" w:name="_Toc237510453"/>
      <w:r w:rsidRPr="00DC58E2">
        <w:t>Segmentation</w:t>
      </w:r>
      <w:bookmarkEnd w:id="3"/>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Market Segmentation is the process of dividing the wide market into various groups of customers having similar characteristics, needs and purchasing behaviours, which helps the organisations to create more relevant marketing strategies (</w:t>
      </w:r>
      <w:proofErr w:type="spellStart"/>
      <w:r w:rsidRPr="00DC58E2">
        <w:rPr>
          <w:rFonts w:ascii="Times New Roman" w:hAnsi="Times New Roman" w:cs="Times New Roman"/>
          <w:sz w:val="24"/>
          <w:szCs w:val="24"/>
        </w:rPr>
        <w:t>Dolnicar</w:t>
      </w:r>
      <w:proofErr w:type="spellEnd"/>
      <w:r w:rsidRPr="00DC58E2">
        <w:rPr>
          <w:rFonts w:ascii="Times New Roman" w:hAnsi="Times New Roman" w:cs="Times New Roman"/>
          <w:sz w:val="24"/>
          <w:szCs w:val="24"/>
        </w:rPr>
        <w:t xml:space="preserve"> et al., 2018). The segmentation of the proposed Tesla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edition can be done with the help of geographic factors, demographic factors, psychographic and behavioural factors. </w:t>
      </w:r>
    </w:p>
    <w:p w:rsidR="001F1539" w:rsidRPr="00DC58E2" w:rsidRDefault="001F1539" w:rsidP="001F1539">
      <w:pPr>
        <w:spacing w:before="240" w:after="240" w:line="360" w:lineRule="auto"/>
        <w:jc w:val="center"/>
        <w:rPr>
          <w:rFonts w:ascii="Times New Roman" w:hAnsi="Times New Roman" w:cs="Times New Roman"/>
          <w:sz w:val="24"/>
          <w:szCs w:val="24"/>
        </w:rPr>
      </w:pPr>
      <w:r w:rsidRPr="00DC58E2">
        <w:rPr>
          <w:rFonts w:ascii="Times New Roman" w:hAnsi="Times New Roman" w:cs="Times New Roman"/>
          <w:noProof/>
          <w:sz w:val="24"/>
          <w:szCs w:val="24"/>
          <w:lang w:eastAsia="en-IN"/>
        </w:rPr>
        <w:lastRenderedPageBreak/>
        <w:drawing>
          <wp:inline distT="0" distB="0" distL="0" distR="0" wp14:anchorId="4ABFBB8C" wp14:editId="388AC187">
            <wp:extent cx="5061020" cy="4678136"/>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065261" cy="4682056"/>
                    </a:xfrm>
                    <a:prstGeom prst="rect">
                      <a:avLst/>
                    </a:prstGeom>
                  </pic:spPr>
                </pic:pic>
              </a:graphicData>
            </a:graphic>
          </wp:inline>
        </w:drawing>
      </w:r>
    </w:p>
    <w:p w:rsidR="001F1539" w:rsidRPr="00DC58E2" w:rsidRDefault="001F1539" w:rsidP="001F1539">
      <w:pPr>
        <w:spacing w:before="240" w:after="240" w:line="360" w:lineRule="auto"/>
        <w:jc w:val="center"/>
        <w:rPr>
          <w:rFonts w:ascii="Times New Roman" w:hAnsi="Times New Roman" w:cs="Times New Roman"/>
          <w:sz w:val="24"/>
          <w:szCs w:val="24"/>
        </w:rPr>
      </w:pPr>
      <w:r w:rsidRPr="00DC58E2">
        <w:rPr>
          <w:rFonts w:ascii="Times New Roman" w:hAnsi="Times New Roman" w:cs="Times New Roman"/>
          <w:sz w:val="24"/>
          <w:szCs w:val="24"/>
        </w:rPr>
        <w:t>Table 1: STDP Analysis</w:t>
      </w:r>
    </w:p>
    <w:p w:rsidR="00593BDC" w:rsidRPr="00DC58E2" w:rsidRDefault="00593BDC" w:rsidP="001F1539">
      <w:pPr>
        <w:spacing w:before="240" w:after="240" w:line="360" w:lineRule="auto"/>
        <w:jc w:val="center"/>
        <w:rPr>
          <w:rFonts w:ascii="Times New Roman" w:hAnsi="Times New Roman" w:cs="Times New Roman"/>
          <w:sz w:val="24"/>
          <w:szCs w:val="24"/>
        </w:rPr>
      </w:pPr>
      <w:r w:rsidRPr="00DC58E2">
        <w:rPr>
          <w:rFonts w:ascii="Times New Roman" w:hAnsi="Times New Roman" w:cs="Times New Roman"/>
          <w:sz w:val="24"/>
          <w:szCs w:val="24"/>
        </w:rPr>
        <w:t>(Source: Self, 2026)</w:t>
      </w:r>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Geographically, the first priority for the extension should be to develop energy vehicle markets and areas with sufficient solar radiation to make solar assisted charging useful. Urban and suburban areas, where EV infrastructure is already present, are especially appealing as charging infrastructure is a key factor in EV adoption (Singh et al., 2025).</w:t>
      </w:r>
    </w:p>
    <w:p w:rsidR="00593BDC"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In terms of demographics,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would likely be marketed to middle to high-income consumers, financial and professional households who are able to afford a </w:t>
      </w:r>
      <w:r w:rsidR="00593BDC" w:rsidRPr="00DC58E2">
        <w:rPr>
          <w:rFonts w:ascii="Times New Roman" w:hAnsi="Times New Roman" w:cs="Times New Roman"/>
          <w:sz w:val="24"/>
          <w:szCs w:val="24"/>
        </w:rPr>
        <w:t>premium</w:t>
      </w:r>
      <w:r w:rsidRPr="00DC58E2">
        <w:rPr>
          <w:rFonts w:ascii="Times New Roman" w:hAnsi="Times New Roman" w:cs="Times New Roman"/>
          <w:sz w:val="24"/>
          <w:szCs w:val="24"/>
        </w:rPr>
        <w:t xml:space="preserve"> electric car. Income is especially pertinent, as EVs often come with higher upfront prices, and studies show that income can play a crucial role in EV adoption (</w:t>
      </w:r>
      <w:proofErr w:type="spellStart"/>
      <w:r w:rsidR="00593BDC" w:rsidRPr="00DC58E2">
        <w:rPr>
          <w:rFonts w:ascii="Times New Roman" w:hAnsi="Times New Roman" w:cs="Times New Roman"/>
          <w:sz w:val="24"/>
          <w:szCs w:val="24"/>
        </w:rPr>
        <w:t>Bindhya</w:t>
      </w:r>
      <w:proofErr w:type="spellEnd"/>
      <w:r w:rsidR="00593BDC" w:rsidRPr="00DC58E2">
        <w:rPr>
          <w:rFonts w:ascii="Times New Roman" w:hAnsi="Times New Roman" w:cs="Times New Roman"/>
          <w:sz w:val="24"/>
          <w:szCs w:val="24"/>
        </w:rPr>
        <w:t xml:space="preserve"> et al., 2025</w:t>
      </w:r>
      <w:r w:rsidRPr="00DC58E2">
        <w:rPr>
          <w:rFonts w:ascii="Times New Roman" w:hAnsi="Times New Roman" w:cs="Times New Roman"/>
          <w:sz w:val="24"/>
          <w:szCs w:val="24"/>
        </w:rPr>
        <w:t xml:space="preserve">). </w:t>
      </w:r>
      <w:r w:rsidR="00593BDC" w:rsidRPr="00DC58E2">
        <w:rPr>
          <w:rFonts w:ascii="Times New Roman" w:hAnsi="Times New Roman" w:cs="Times New Roman"/>
          <w:sz w:val="24"/>
          <w:szCs w:val="24"/>
        </w:rPr>
        <w:t>Psychographically, i</w:t>
      </w:r>
      <w:r w:rsidRPr="00DC58E2">
        <w:rPr>
          <w:rFonts w:ascii="Times New Roman" w:hAnsi="Times New Roman" w:cs="Times New Roman"/>
          <w:sz w:val="24"/>
          <w:szCs w:val="24"/>
        </w:rPr>
        <w:t xml:space="preserve">mportant segments are environmentally conscious consumers, technophiles and those who appreciate the innovation, sustainability and energy independence. This is backed by the latest developments which demonstrate that </w:t>
      </w:r>
      <w:r w:rsidRPr="00DC58E2">
        <w:rPr>
          <w:rFonts w:ascii="Times New Roman" w:hAnsi="Times New Roman" w:cs="Times New Roman"/>
          <w:sz w:val="24"/>
          <w:szCs w:val="24"/>
        </w:rPr>
        <w:lastRenderedPageBreak/>
        <w:t>environmental concerns and attitudes have a positive effect on the intentions of EV adoption (</w:t>
      </w:r>
      <w:r w:rsidR="00593BDC" w:rsidRPr="00DC58E2">
        <w:rPr>
          <w:rFonts w:ascii="Times New Roman" w:hAnsi="Times New Roman" w:cs="Times New Roman"/>
          <w:sz w:val="24"/>
          <w:szCs w:val="24"/>
        </w:rPr>
        <w:t>Gupta et al.</w:t>
      </w:r>
      <w:r w:rsidRPr="00DC58E2">
        <w:rPr>
          <w:rFonts w:ascii="Times New Roman" w:hAnsi="Times New Roman" w:cs="Times New Roman"/>
          <w:sz w:val="24"/>
          <w:szCs w:val="24"/>
        </w:rPr>
        <w:t xml:space="preserve">, 2024). Behaviourally,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could appeal to people who like Tesla and other EV owners, early tech adopters, frequent drivers and customers who have concerns about vehicle range and charging frequency. Personal innovativeness, usefulness and ease of use are also found to be positive factors affecting EV purchase intention (</w:t>
      </w:r>
      <w:proofErr w:type="spellStart"/>
      <w:r w:rsidR="00593BDC" w:rsidRPr="00DC58E2">
        <w:rPr>
          <w:rFonts w:ascii="Times New Roman" w:hAnsi="Times New Roman" w:cs="Times New Roman"/>
          <w:sz w:val="24"/>
          <w:szCs w:val="24"/>
        </w:rPr>
        <w:t>Tu</w:t>
      </w:r>
      <w:proofErr w:type="spellEnd"/>
      <w:r w:rsidR="00593BDC" w:rsidRPr="00DC58E2">
        <w:rPr>
          <w:rFonts w:ascii="Times New Roman" w:hAnsi="Times New Roman" w:cs="Times New Roman"/>
          <w:sz w:val="24"/>
          <w:szCs w:val="24"/>
        </w:rPr>
        <w:t xml:space="preserve"> and Yang, 2019).</w:t>
      </w:r>
    </w:p>
    <w:p w:rsidR="001F1539" w:rsidRPr="00DC58E2" w:rsidRDefault="001F1539" w:rsidP="00DC58E2">
      <w:pPr>
        <w:pStyle w:val="Heading2"/>
      </w:pPr>
      <w:bookmarkStart w:id="4" w:name="_Toc237510454"/>
      <w:r w:rsidRPr="00DC58E2">
        <w:t>Targeting</w:t>
      </w:r>
      <w:bookmarkEnd w:id="4"/>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Rather than trying to market to all vehicles, Tesla needs to have a focused targeting strategy for the first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outing. The main target group should be high-income, green and tech-savvy consumers who want high quality sustainable transport and energy independence. This group is suitable since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not only contributes to the environment but also brings high-tech advantages. The poster highlights lower charging costs, improved driving efficiency, the environmental impact, and integration with Tesla's energy solutions as key components of the value proposition to customers.</w:t>
      </w:r>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A secondary audience may consist of current Tesla owners looking for an upgrade and homes that already have or are considering renewable-energy technologies like solar and battery storage. By targeting these consumers, the challenge of convincing customers of the basic value of electric mobility may be reduced as they may already have a favourable attitude towards sustainable technologies. However, Tesla cannot ignore the fact that initial high costs, infrastructure constraints, range anxiety, and trust are still potential barriers to EV adoption (</w:t>
      </w:r>
      <w:r w:rsidR="00593BDC" w:rsidRPr="00DC58E2">
        <w:rPr>
          <w:rFonts w:ascii="Times New Roman" w:hAnsi="Times New Roman" w:cs="Times New Roman"/>
          <w:sz w:val="24"/>
          <w:szCs w:val="24"/>
        </w:rPr>
        <w:t>Krishna, 2021</w:t>
      </w:r>
      <w:r w:rsidRPr="00DC58E2">
        <w:rPr>
          <w:rFonts w:ascii="Times New Roman" w:hAnsi="Times New Roman" w:cs="Times New Roman"/>
          <w:sz w:val="24"/>
          <w:szCs w:val="24"/>
        </w:rPr>
        <w:t>). Thus, environmental aspects and sustainable customer value must be highlighted in communication.</w:t>
      </w:r>
    </w:p>
    <w:p w:rsidR="001F1539" w:rsidRPr="00DC58E2" w:rsidRDefault="001F1539" w:rsidP="00DC58E2">
      <w:pPr>
        <w:pStyle w:val="Heading2"/>
      </w:pPr>
      <w:bookmarkStart w:id="5" w:name="_Toc237510455"/>
      <w:r w:rsidRPr="00DC58E2">
        <w:t>Differentiation</w:t>
      </w:r>
      <w:bookmarkEnd w:id="5"/>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Solar assisted charging, electric mobility and integration into Tesla's broader renewable-energy portfolio would be the hallmarks of the Tesla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Edition. </w:t>
      </w:r>
      <w:proofErr w:type="spellStart"/>
      <w:r w:rsidRPr="00DC58E2">
        <w:rPr>
          <w:rFonts w:ascii="Times New Roman" w:hAnsi="Times New Roman" w:cs="Times New Roman"/>
          <w:sz w:val="24"/>
          <w:szCs w:val="24"/>
        </w:rPr>
        <w:t>SolarDrive's</w:t>
      </w:r>
      <w:proofErr w:type="spellEnd"/>
      <w:r w:rsidRPr="00DC58E2">
        <w:rPr>
          <w:rFonts w:ascii="Times New Roman" w:hAnsi="Times New Roman" w:cs="Times New Roman"/>
          <w:sz w:val="24"/>
          <w:szCs w:val="24"/>
        </w:rPr>
        <w:t xml:space="preserve"> proposed high efficiency solar roof would complement external electricity charging for the vehicle while it is parked or operating, unlike conventional battery electric vehicles which rely almost exclusively on external electricity charging. The idea also includes the potential for integration with Tesla Solar Roof and </w:t>
      </w:r>
      <w:proofErr w:type="spellStart"/>
      <w:r w:rsidRPr="00DC58E2">
        <w:rPr>
          <w:rFonts w:ascii="Times New Roman" w:hAnsi="Times New Roman" w:cs="Times New Roman"/>
          <w:sz w:val="24"/>
          <w:szCs w:val="24"/>
        </w:rPr>
        <w:t>Powerwall</w:t>
      </w:r>
      <w:proofErr w:type="spellEnd"/>
      <w:r w:rsidRPr="00DC58E2">
        <w:rPr>
          <w:rFonts w:ascii="Times New Roman" w:hAnsi="Times New Roman" w:cs="Times New Roman"/>
          <w:sz w:val="24"/>
          <w:szCs w:val="24"/>
        </w:rPr>
        <w:t xml:space="preserve"> to form a connected renewable-energy ecosystem.</w:t>
      </w:r>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lastRenderedPageBreak/>
        <w:t xml:space="preserve">This distinction is important since range and charging stations continue to be among the best known issues considering EV penetration. </w:t>
      </w:r>
      <w:r w:rsidR="00F00BAA" w:rsidRPr="00DC58E2">
        <w:rPr>
          <w:rFonts w:ascii="Times New Roman" w:hAnsi="Times New Roman" w:cs="Times New Roman"/>
          <w:sz w:val="24"/>
          <w:szCs w:val="24"/>
        </w:rPr>
        <w:t>A major review identified charging-station availability and limited driving range among the most frequently discussed factors influencing EV adoption (</w:t>
      </w:r>
      <w:proofErr w:type="spellStart"/>
      <w:r w:rsidR="00F00BAA" w:rsidRPr="00DC58E2">
        <w:rPr>
          <w:rFonts w:ascii="Times New Roman" w:hAnsi="Times New Roman" w:cs="Times New Roman"/>
          <w:sz w:val="24"/>
          <w:szCs w:val="24"/>
        </w:rPr>
        <w:t>Pamidimukkala</w:t>
      </w:r>
      <w:proofErr w:type="spellEnd"/>
      <w:r w:rsidR="00F00BAA" w:rsidRPr="00DC58E2">
        <w:rPr>
          <w:rFonts w:ascii="Times New Roman" w:hAnsi="Times New Roman" w:cs="Times New Roman"/>
          <w:sz w:val="24"/>
          <w:szCs w:val="24"/>
        </w:rPr>
        <w:t xml:space="preserve"> et al., 2024). </w:t>
      </w:r>
      <w:r w:rsidRPr="00DC58E2">
        <w:rPr>
          <w:rFonts w:ascii="Times New Roman" w:hAnsi="Times New Roman" w:cs="Times New Roman"/>
          <w:sz w:val="24"/>
          <w:szCs w:val="24"/>
        </w:rPr>
        <w:t>The solar charging wouldn't take the place of regular charging, but it would certainly be an added benefit for the user to use solar power while also boosting Tesla's sustainable brand. This combination of functional, environmental and symbolic advantages might make the extension hard to beat on a cost basis alone.</w:t>
      </w:r>
    </w:p>
    <w:p w:rsidR="001F1539" w:rsidRPr="00DC58E2" w:rsidRDefault="001F1539" w:rsidP="00DC58E2">
      <w:pPr>
        <w:pStyle w:val="Heading2"/>
      </w:pPr>
      <w:bookmarkStart w:id="6" w:name="_Toc237510456"/>
      <w:r w:rsidRPr="00DC58E2">
        <w:t>Positioning</w:t>
      </w:r>
      <w:bookmarkEnd w:id="6"/>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Overall, the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Edition is to be anchored as “premium sustainable mobility combining electric driving, solar energy and intelligent energy integration.” This placement highlights the benefits of solar-powered energy and the sense of being innovative and eco-friendly. This positioning also aligns with the poster's aim of moving away from fossil fuels and increasing energy efficiency and promoting clean-mobility targets.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is not just another EV, but should be a unique integrated clean-energy mobility solution. Such positioning can reinforce the perception of how premium the technology Tesla is and deliver value to the customer by means of sustainability, innovation and increased energy independence.</w:t>
      </w:r>
    </w:p>
    <w:p w:rsidR="00F00BAA" w:rsidRPr="00DC58E2" w:rsidRDefault="00F00BAA" w:rsidP="00F00BAA">
      <w:pPr>
        <w:pStyle w:val="NormalWeb"/>
        <w:jc w:val="center"/>
      </w:pPr>
      <w:r w:rsidRPr="00DC58E2">
        <w:rPr>
          <w:noProof/>
        </w:rPr>
        <w:drawing>
          <wp:inline distT="0" distB="0" distL="0" distR="0" wp14:anchorId="3E2F1F73" wp14:editId="30D65C97">
            <wp:extent cx="4356100" cy="2904066"/>
            <wp:effectExtent l="0" t="0" r="6350" b="0"/>
            <wp:docPr id="3" name="Picture 3" descr="C:\Users\user\Downloads\ChatGPT Image Aug 12, 2026, 11_49_48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ChatGPT Image Aug 12, 2026, 11_49_48 PM.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59105" cy="2906069"/>
                    </a:xfrm>
                    <a:prstGeom prst="rect">
                      <a:avLst/>
                    </a:prstGeom>
                    <a:noFill/>
                    <a:ln>
                      <a:noFill/>
                    </a:ln>
                  </pic:spPr>
                </pic:pic>
              </a:graphicData>
            </a:graphic>
          </wp:inline>
        </w:drawing>
      </w:r>
    </w:p>
    <w:p w:rsidR="00F00BAA" w:rsidRPr="00DC58E2" w:rsidRDefault="00F00BAA" w:rsidP="00F00BAA">
      <w:pPr>
        <w:pStyle w:val="NormalWeb"/>
        <w:jc w:val="center"/>
      </w:pPr>
      <w:r w:rsidRPr="00DC58E2">
        <w:t>Figure 1: Positioning Map</w:t>
      </w:r>
    </w:p>
    <w:p w:rsidR="00F00BAA" w:rsidRPr="00DC58E2" w:rsidRDefault="00F00BAA" w:rsidP="00F00BAA">
      <w:pPr>
        <w:pStyle w:val="NormalWeb"/>
        <w:jc w:val="center"/>
      </w:pPr>
      <w:r w:rsidRPr="00DC58E2">
        <w:t>(Source: Self, 2026)</w:t>
      </w:r>
    </w:p>
    <w:p w:rsidR="00F00BAA" w:rsidRPr="00DC58E2" w:rsidRDefault="00F00BAA" w:rsidP="001F1539">
      <w:pPr>
        <w:spacing w:before="240" w:after="240" w:line="360" w:lineRule="auto"/>
        <w:jc w:val="both"/>
        <w:rPr>
          <w:rFonts w:ascii="Times New Roman" w:hAnsi="Times New Roman" w:cs="Times New Roman"/>
          <w:sz w:val="24"/>
          <w:szCs w:val="24"/>
        </w:rPr>
      </w:pPr>
    </w:p>
    <w:p w:rsidR="001F1539" w:rsidRPr="00DC58E2" w:rsidRDefault="001F1539" w:rsidP="00DC58E2">
      <w:pPr>
        <w:pStyle w:val="Heading1"/>
      </w:pPr>
      <w:bookmarkStart w:id="7" w:name="_Toc237510457"/>
      <w:r w:rsidRPr="00DC58E2">
        <w:t>Element 3: Marketing Mix (7Ps)</w:t>
      </w:r>
      <w:bookmarkEnd w:id="7"/>
    </w:p>
    <w:p w:rsidR="00F00BAA" w:rsidRPr="00DC58E2" w:rsidRDefault="00F00BAA" w:rsidP="00F00BAA">
      <w:pPr>
        <w:spacing w:before="240" w:after="240" w:line="360" w:lineRule="auto"/>
        <w:jc w:val="center"/>
        <w:rPr>
          <w:rFonts w:ascii="Times New Roman" w:hAnsi="Times New Roman" w:cs="Times New Roman"/>
          <w:sz w:val="24"/>
          <w:szCs w:val="24"/>
        </w:rPr>
      </w:pPr>
      <w:r w:rsidRPr="00DC58E2">
        <w:rPr>
          <w:rFonts w:ascii="Times New Roman" w:hAnsi="Times New Roman" w:cs="Times New Roman"/>
          <w:noProof/>
          <w:sz w:val="24"/>
          <w:szCs w:val="24"/>
          <w:lang w:eastAsia="en-IN"/>
        </w:rPr>
        <w:drawing>
          <wp:inline distT="0" distB="0" distL="0" distR="0" wp14:anchorId="2AAAD038" wp14:editId="7602B321">
            <wp:extent cx="4397375" cy="3517900"/>
            <wp:effectExtent l="0" t="0" r="317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397863" cy="3518290"/>
                    </a:xfrm>
                    <a:prstGeom prst="rect">
                      <a:avLst/>
                    </a:prstGeom>
                  </pic:spPr>
                </pic:pic>
              </a:graphicData>
            </a:graphic>
          </wp:inline>
        </w:drawing>
      </w:r>
    </w:p>
    <w:p w:rsidR="00F00BAA" w:rsidRPr="00DC58E2" w:rsidRDefault="00F00BAA" w:rsidP="00F00BAA">
      <w:pPr>
        <w:spacing w:before="240" w:after="240" w:line="360" w:lineRule="auto"/>
        <w:jc w:val="center"/>
        <w:rPr>
          <w:rFonts w:ascii="Times New Roman" w:hAnsi="Times New Roman" w:cs="Times New Roman"/>
          <w:sz w:val="24"/>
          <w:szCs w:val="24"/>
        </w:rPr>
      </w:pPr>
      <w:r w:rsidRPr="00DC58E2">
        <w:rPr>
          <w:rFonts w:ascii="Times New Roman" w:hAnsi="Times New Roman" w:cs="Times New Roman"/>
          <w:sz w:val="24"/>
          <w:szCs w:val="24"/>
        </w:rPr>
        <w:t>Table 2: Marketing Mix Table</w:t>
      </w:r>
    </w:p>
    <w:p w:rsidR="00F00BAA" w:rsidRPr="00DC58E2" w:rsidRDefault="00F00BAA" w:rsidP="00F00BAA">
      <w:pPr>
        <w:spacing w:before="240" w:after="240" w:line="360" w:lineRule="auto"/>
        <w:jc w:val="center"/>
        <w:rPr>
          <w:rFonts w:ascii="Times New Roman" w:hAnsi="Times New Roman" w:cs="Times New Roman"/>
          <w:sz w:val="24"/>
          <w:szCs w:val="24"/>
        </w:rPr>
      </w:pPr>
      <w:r w:rsidRPr="00DC58E2">
        <w:rPr>
          <w:rFonts w:ascii="Times New Roman" w:hAnsi="Times New Roman" w:cs="Times New Roman"/>
          <w:sz w:val="24"/>
          <w:szCs w:val="24"/>
        </w:rPr>
        <w:t>(Source: Self, 2026)</w:t>
      </w:r>
    </w:p>
    <w:p w:rsidR="001F1539" w:rsidRPr="00DC58E2" w:rsidRDefault="001F1539" w:rsidP="00DC58E2">
      <w:pPr>
        <w:pStyle w:val="Heading2"/>
      </w:pPr>
      <w:bookmarkStart w:id="8" w:name="_Toc237510458"/>
      <w:r w:rsidRPr="00DC58E2">
        <w:t>Product</w:t>
      </w:r>
      <w:bookmarkEnd w:id="8"/>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The Tesla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Edition should be a high-end sustainable electric vehicle equipped with Tesla's proven EV technology and enhanced by high-efficiency solar-assisted charging. To enhance energy efficiency and minimize reliance on external charging, the proposed extension would incorporate an integrated solar roof for the vehicle, which can help to charge the batteries during parking or driving. The idea would also fit into Tesla's broader energy vision, with Solar Roof and </w:t>
      </w:r>
      <w:proofErr w:type="spellStart"/>
      <w:r w:rsidRPr="00DC58E2">
        <w:rPr>
          <w:rFonts w:ascii="Times New Roman" w:hAnsi="Times New Roman" w:cs="Times New Roman"/>
          <w:sz w:val="24"/>
          <w:szCs w:val="24"/>
        </w:rPr>
        <w:t>Powerwall</w:t>
      </w:r>
      <w:proofErr w:type="spellEnd"/>
      <w:r w:rsidRPr="00DC58E2">
        <w:rPr>
          <w:rFonts w:ascii="Times New Roman" w:hAnsi="Times New Roman" w:cs="Times New Roman"/>
          <w:sz w:val="24"/>
          <w:szCs w:val="24"/>
        </w:rPr>
        <w:t xml:space="preserve">, and would be a more holistic clean energy proposition than just another electric vehicle. The poster notes these improvements of integration, lower charging frequency, improved driving range and lower lifetime carbon emissions as key advantages of the extension. </w:t>
      </w:r>
      <w:r w:rsidR="00F00BAA" w:rsidRPr="00DC58E2">
        <w:rPr>
          <w:rFonts w:ascii="Times New Roman" w:hAnsi="Times New Roman" w:cs="Times New Roman"/>
          <w:sz w:val="24"/>
          <w:szCs w:val="24"/>
        </w:rPr>
        <w:t>From a marketing perspective, the product strategy should emphasise both functional and symbolic value</w:t>
      </w:r>
      <w:r w:rsidRPr="00DC58E2">
        <w:rPr>
          <w:rFonts w:ascii="Times New Roman" w:hAnsi="Times New Roman" w:cs="Times New Roman"/>
          <w:sz w:val="24"/>
          <w:szCs w:val="24"/>
        </w:rPr>
        <w:t xml:space="preserve">. The solar system is more convenient and provides extra renewable energy. It gives customers the opportunity to </w:t>
      </w:r>
      <w:r w:rsidRPr="00DC58E2">
        <w:rPr>
          <w:rFonts w:ascii="Times New Roman" w:hAnsi="Times New Roman" w:cs="Times New Roman"/>
          <w:sz w:val="24"/>
          <w:szCs w:val="24"/>
        </w:rPr>
        <w:lastRenderedPageBreak/>
        <w:t>symbolically link their ownership to innovation, environmental responsibility and technological leadership. But Tesla shouldn't oversell the solar charging, as in real life the amount of electricity produced would depend on weather, location, parking conditions and daily usage. Trust would thus be critical to keep up through the clear communication of realistic solar benefits.</w:t>
      </w:r>
    </w:p>
    <w:p w:rsidR="001F1539" w:rsidRPr="00DC58E2" w:rsidRDefault="001F1539" w:rsidP="00DC58E2">
      <w:pPr>
        <w:pStyle w:val="Heading2"/>
      </w:pPr>
      <w:bookmarkStart w:id="9" w:name="_Toc237510459"/>
      <w:r w:rsidRPr="00DC58E2">
        <w:t>Price</w:t>
      </w:r>
      <w:bookmarkEnd w:id="9"/>
    </w:p>
    <w:p w:rsidR="001F1539" w:rsidRPr="00DC58E2" w:rsidRDefault="001F1539" w:rsidP="001F1539">
      <w:pPr>
        <w:spacing w:before="240" w:after="240" w:line="360" w:lineRule="auto"/>
        <w:jc w:val="both"/>
        <w:rPr>
          <w:rFonts w:ascii="Times New Roman" w:hAnsi="Times New Roman" w:cs="Times New Roman"/>
          <w:sz w:val="24"/>
          <w:szCs w:val="24"/>
        </w:rPr>
      </w:pP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would need a premium value-based pricing for the extra technology and sustainability, as well as for the integration to Tesla's energy ecosystem. Instead, Tesla needs to price the vehicle based on the perceived value it provides in terms of solar-powered charging, cutting-edge EV technology, reduced use of the grid, and long-term savings in energy costs. However, the increased upfront cost may also prove to be a big hurdle. While sustainability is important to consumers, they may also be comparing the sticker price against competing EVs and traditional Tesla models</w:t>
      </w:r>
      <w:r w:rsidR="00F00BAA" w:rsidRPr="00DC58E2">
        <w:rPr>
          <w:rFonts w:ascii="Times New Roman" w:hAnsi="Times New Roman" w:cs="Times New Roman"/>
          <w:sz w:val="24"/>
          <w:szCs w:val="24"/>
        </w:rPr>
        <w:t xml:space="preserve"> (</w:t>
      </w:r>
      <w:proofErr w:type="spellStart"/>
      <w:r w:rsidR="00F00BAA" w:rsidRPr="00DC58E2">
        <w:rPr>
          <w:rFonts w:ascii="Times New Roman" w:hAnsi="Times New Roman" w:cs="Times New Roman"/>
          <w:sz w:val="24"/>
          <w:szCs w:val="24"/>
        </w:rPr>
        <w:t>Rapson</w:t>
      </w:r>
      <w:proofErr w:type="spellEnd"/>
      <w:r w:rsidR="00F00BAA" w:rsidRPr="00DC58E2">
        <w:rPr>
          <w:rFonts w:ascii="Times New Roman" w:hAnsi="Times New Roman" w:cs="Times New Roman"/>
          <w:sz w:val="24"/>
          <w:szCs w:val="24"/>
        </w:rPr>
        <w:t xml:space="preserve"> and </w:t>
      </w:r>
      <w:proofErr w:type="spellStart"/>
      <w:r w:rsidR="00F00BAA" w:rsidRPr="00DC58E2">
        <w:rPr>
          <w:rFonts w:ascii="Times New Roman" w:hAnsi="Times New Roman" w:cs="Times New Roman"/>
          <w:sz w:val="24"/>
          <w:szCs w:val="24"/>
        </w:rPr>
        <w:t>Muehlegger</w:t>
      </w:r>
      <w:proofErr w:type="spellEnd"/>
      <w:r w:rsidR="00F00BAA" w:rsidRPr="00DC58E2">
        <w:rPr>
          <w:rFonts w:ascii="Times New Roman" w:hAnsi="Times New Roman" w:cs="Times New Roman"/>
          <w:sz w:val="24"/>
          <w:szCs w:val="24"/>
        </w:rPr>
        <w:t>, 2023)</w:t>
      </w:r>
      <w:r w:rsidRPr="00DC58E2">
        <w:rPr>
          <w:rFonts w:ascii="Times New Roman" w:hAnsi="Times New Roman" w:cs="Times New Roman"/>
          <w:sz w:val="24"/>
          <w:szCs w:val="24"/>
        </w:rPr>
        <w:t xml:space="preserve">. Therefore, </w:t>
      </w:r>
      <w:r w:rsidR="00F00BAA" w:rsidRPr="00DC58E2">
        <w:rPr>
          <w:rFonts w:ascii="Times New Roman" w:hAnsi="Times New Roman" w:cs="Times New Roman"/>
          <w:sz w:val="24"/>
          <w:szCs w:val="24"/>
        </w:rPr>
        <w:t xml:space="preserve">Tesla should therefore communicate the total value of ownership rather than focusing only on the purchase price. Marketing materials could demonstrate potential charging savings, energy efficiency and longer-term environmental benefits. </w:t>
      </w:r>
      <w:r w:rsidRPr="00DC58E2">
        <w:rPr>
          <w:rFonts w:ascii="Times New Roman" w:hAnsi="Times New Roman" w:cs="Times New Roman"/>
          <w:sz w:val="24"/>
          <w:szCs w:val="24"/>
        </w:rPr>
        <w:t>Financing and leasing might also increase accessibility among customers who can pay their bills each month, but may be unwilling to pay a large lump sum to get a car. The pricing strategy needs to be a balance between exclusivity and enough customer value to prevent being considered a costly piece of technology.</w:t>
      </w:r>
    </w:p>
    <w:p w:rsidR="001F1539" w:rsidRPr="00DC58E2" w:rsidRDefault="001F1539" w:rsidP="00DC58E2">
      <w:pPr>
        <w:pStyle w:val="Heading2"/>
      </w:pPr>
      <w:bookmarkStart w:id="10" w:name="_Toc237510460"/>
      <w:r w:rsidRPr="00DC58E2">
        <w:t>Place</w:t>
      </w:r>
      <w:bookmarkEnd w:id="10"/>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Tesla's current direct-to-consumer distribution strategy is very suitable for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Customers could research, configure and order the vehicle via Tesla's online and digital platforms, and Tesla stores and experience centres would allow customers to experience the solar roof and other Tesla technologies. By doing this, Tesla can ensure they receive the correct pricing, customer communication, and overall purchasing experience, while also reinforcing their innovative brand</w:t>
      </w:r>
      <w:r w:rsidR="00AC2340" w:rsidRPr="00DC58E2">
        <w:rPr>
          <w:rFonts w:ascii="Times New Roman" w:hAnsi="Times New Roman" w:cs="Times New Roman"/>
          <w:sz w:val="24"/>
          <w:szCs w:val="24"/>
        </w:rPr>
        <w:t xml:space="preserve"> (Asuncion et al., 2023)</w:t>
      </w:r>
      <w:r w:rsidRPr="00DC58E2">
        <w:rPr>
          <w:rFonts w:ascii="Times New Roman" w:hAnsi="Times New Roman" w:cs="Times New Roman"/>
          <w:sz w:val="24"/>
          <w:szCs w:val="24"/>
        </w:rPr>
        <w:t xml:space="preserve">. The market rollout of the extension should be carried out in a phased manner, starting with markets with relatively high EV uptake and in which the sun exposure is adequate for the charging to have an impact. This would minimize the danger of introducing the product to places where customers don't get as much practical value from the technology. Selective distribution can be a problem in gaining </w:t>
      </w:r>
      <w:r w:rsidRPr="00DC58E2">
        <w:rPr>
          <w:rFonts w:ascii="Times New Roman" w:hAnsi="Times New Roman" w:cs="Times New Roman"/>
          <w:sz w:val="24"/>
          <w:szCs w:val="24"/>
        </w:rPr>
        <w:lastRenderedPageBreak/>
        <w:t>initial market penetration, however. Thus, Tesla would have to grow slowly with rising consumer awareness, better tech performance and infrastructure support.</w:t>
      </w:r>
    </w:p>
    <w:p w:rsidR="001F1539" w:rsidRPr="00DC58E2" w:rsidRDefault="001F1539" w:rsidP="00DC58E2">
      <w:pPr>
        <w:pStyle w:val="Heading2"/>
      </w:pPr>
      <w:bookmarkStart w:id="11" w:name="_Toc237510461"/>
      <w:r w:rsidRPr="00DC58E2">
        <w:t>Promotion</w:t>
      </w:r>
      <w:bookmarkEnd w:id="11"/>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Promotion should be based on an integrated marketing communications approach that is focused on measurable sustainability and customer benefits</w:t>
      </w:r>
      <w:r w:rsidR="00AC2340" w:rsidRPr="00DC58E2">
        <w:rPr>
          <w:rFonts w:ascii="Times New Roman" w:hAnsi="Times New Roman" w:cs="Times New Roman"/>
          <w:sz w:val="24"/>
          <w:szCs w:val="24"/>
        </w:rPr>
        <w:t xml:space="preserve"> (</w:t>
      </w:r>
      <w:proofErr w:type="spellStart"/>
      <w:r w:rsidR="00AC2340" w:rsidRPr="00DC58E2">
        <w:rPr>
          <w:rFonts w:ascii="Times New Roman" w:hAnsi="Times New Roman" w:cs="Times New Roman"/>
          <w:sz w:val="24"/>
          <w:szCs w:val="24"/>
        </w:rPr>
        <w:t>Bormane</w:t>
      </w:r>
      <w:proofErr w:type="spellEnd"/>
      <w:r w:rsidR="00AC2340" w:rsidRPr="00DC58E2">
        <w:rPr>
          <w:rFonts w:ascii="Times New Roman" w:hAnsi="Times New Roman" w:cs="Times New Roman"/>
          <w:sz w:val="24"/>
          <w:szCs w:val="24"/>
        </w:rPr>
        <w:t>, 2018)</w:t>
      </w:r>
      <w:r w:rsidRPr="00DC58E2">
        <w:rPr>
          <w:rFonts w:ascii="Times New Roman" w:hAnsi="Times New Roman" w:cs="Times New Roman"/>
          <w:sz w:val="24"/>
          <w:szCs w:val="24"/>
        </w:rPr>
        <w:t xml:space="preserve">. To convey the essence of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a combination of digital advertising, the Tesla website, social media, product demonstrations and public relations, launch events, and test-drive experiences might be used. Promoting messages should highlight decreasing reliance on charging, renewable energy usage, innovation and integration into Solar Roof and </w:t>
      </w:r>
      <w:proofErr w:type="spellStart"/>
      <w:r w:rsidRPr="00DC58E2">
        <w:rPr>
          <w:rFonts w:ascii="Times New Roman" w:hAnsi="Times New Roman" w:cs="Times New Roman"/>
          <w:sz w:val="24"/>
          <w:szCs w:val="24"/>
        </w:rPr>
        <w:t>Powerwall</w:t>
      </w:r>
      <w:proofErr w:type="spellEnd"/>
      <w:r w:rsidRPr="00DC58E2">
        <w:rPr>
          <w:rFonts w:ascii="Times New Roman" w:hAnsi="Times New Roman" w:cs="Times New Roman"/>
          <w:sz w:val="24"/>
          <w:szCs w:val="24"/>
        </w:rPr>
        <w:t xml:space="preserve">. This would be significant especially in the visual demonstrations, as solar-assisted mobility might be unknown to many customers. Interactive content that illustrates how sunlight can help power the vehicle in different scenarios, and how the vehicle can help power a home-based renewable-energy system could be a benefit to Tesla. This type of communication would help to make this technology more comprehensible and increase perceived usefulness. Sustainability claims at the same time have to be evidence-based. Tesla should give clear and honest data on performance and lifecycle, not vague statements that might be interpreted as </w:t>
      </w:r>
      <w:proofErr w:type="spellStart"/>
      <w:r w:rsidRPr="00DC58E2">
        <w:rPr>
          <w:rFonts w:ascii="Times New Roman" w:hAnsi="Times New Roman" w:cs="Times New Roman"/>
          <w:sz w:val="24"/>
          <w:szCs w:val="24"/>
        </w:rPr>
        <w:t>greenwashing</w:t>
      </w:r>
      <w:proofErr w:type="spellEnd"/>
      <w:r w:rsidRPr="00DC58E2">
        <w:rPr>
          <w:rFonts w:ascii="Times New Roman" w:hAnsi="Times New Roman" w:cs="Times New Roman"/>
          <w:sz w:val="24"/>
          <w:szCs w:val="24"/>
        </w:rPr>
        <w:t>.</w:t>
      </w:r>
    </w:p>
    <w:p w:rsidR="001F1539" w:rsidRPr="00DC58E2" w:rsidRDefault="001F1539" w:rsidP="00DC58E2">
      <w:pPr>
        <w:pStyle w:val="Heading2"/>
      </w:pPr>
      <w:bookmarkStart w:id="12" w:name="_Toc237510462"/>
      <w:r w:rsidRPr="00DC58E2">
        <w:t>People</w:t>
      </w:r>
      <w:bookmarkEnd w:id="12"/>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Even with Tesla's very digital sales process, people would still be important, as people who are buying a new technology need to be reassured and given expert advice. It is important for sales advisers, technical specialists, delivery teams and customer-support personnel to be familiar with EV technology and the solar-energy component</w:t>
      </w:r>
      <w:r w:rsidR="00AC2340" w:rsidRPr="00DC58E2">
        <w:rPr>
          <w:rFonts w:ascii="Times New Roman" w:hAnsi="Times New Roman" w:cs="Times New Roman"/>
          <w:sz w:val="24"/>
          <w:szCs w:val="24"/>
        </w:rPr>
        <w:t xml:space="preserve"> (</w:t>
      </w:r>
      <w:proofErr w:type="spellStart"/>
      <w:r w:rsidR="00AC2340" w:rsidRPr="00DC58E2">
        <w:rPr>
          <w:rFonts w:ascii="Times New Roman" w:hAnsi="Times New Roman" w:cs="Times New Roman"/>
          <w:sz w:val="24"/>
          <w:szCs w:val="24"/>
        </w:rPr>
        <w:t>Haustein</w:t>
      </w:r>
      <w:proofErr w:type="spellEnd"/>
      <w:r w:rsidR="00AC2340" w:rsidRPr="00DC58E2">
        <w:rPr>
          <w:rFonts w:ascii="Times New Roman" w:hAnsi="Times New Roman" w:cs="Times New Roman"/>
          <w:sz w:val="24"/>
          <w:szCs w:val="24"/>
        </w:rPr>
        <w:t xml:space="preserve"> and Jensen, 2018)</w:t>
      </w:r>
      <w:r w:rsidRPr="00DC58E2">
        <w:rPr>
          <w:rFonts w:ascii="Times New Roman" w:hAnsi="Times New Roman" w:cs="Times New Roman"/>
          <w:sz w:val="24"/>
          <w:szCs w:val="24"/>
        </w:rPr>
        <w:t>. Staff should be able to give the expected performance of the solar equipment, how batteries connect/solar works, maintenance, and how it is compatible with other Tesla energy products. Training of specialists would be necessary in other words before the launching. This is especially pertinent considering the possibility of customer dissatisfaction if they do not get the solar charging that they had expected given the explanation they were given. This, in turn, can reinforce customer confidence and help to ensure Tesla's long-term brand standing.</w:t>
      </w:r>
    </w:p>
    <w:p w:rsidR="001F1539" w:rsidRPr="00DC58E2" w:rsidRDefault="001F1539" w:rsidP="00DC58E2">
      <w:pPr>
        <w:pStyle w:val="Heading2"/>
      </w:pPr>
      <w:bookmarkStart w:id="13" w:name="_Toc237510463"/>
      <w:r w:rsidRPr="00DC58E2">
        <w:t>Process</w:t>
      </w:r>
      <w:bookmarkEnd w:id="13"/>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The purchasing and ownership process should continue to be simple and technology driven. The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Edition could be set up online, with customers able to pick vehicle </w:t>
      </w:r>
      <w:r w:rsidRPr="00DC58E2">
        <w:rPr>
          <w:rFonts w:ascii="Times New Roman" w:hAnsi="Times New Roman" w:cs="Times New Roman"/>
          <w:sz w:val="24"/>
          <w:szCs w:val="24"/>
        </w:rPr>
        <w:lastRenderedPageBreak/>
        <w:t>parameters, look at the solar-energy benefits and design a financing scheme before filling out the final form of purchase electronically. Tesla could also give a personalised estimate depending on the geographical location of the customer and their driving habits, to help them understand what potential solar charging would do for the car in terms of contribution before they buy. Once the power generation, the Tesla app could show solar energy generated, battery contribution, energy savings and possibly avoided emissions. This would make sustainability benefits evident during ownership, instead of having to just promote them</w:t>
      </w:r>
      <w:r w:rsidR="00AC2340" w:rsidRPr="00DC58E2">
        <w:rPr>
          <w:rFonts w:ascii="Times New Roman" w:hAnsi="Times New Roman" w:cs="Times New Roman"/>
          <w:sz w:val="24"/>
          <w:szCs w:val="24"/>
        </w:rPr>
        <w:t xml:space="preserve">. </w:t>
      </w:r>
      <w:r w:rsidRPr="00DC58E2">
        <w:rPr>
          <w:rFonts w:ascii="Times New Roman" w:hAnsi="Times New Roman" w:cs="Times New Roman"/>
          <w:sz w:val="24"/>
          <w:szCs w:val="24"/>
        </w:rPr>
        <w:t>Such a digital process would have to be transparent and understandable to the customer, however, especially to those who are not knowledgeable about renewable-energy systems, Tesla would have to ensure this. Good after sales service and software update/technical service would also be required for long term customer confidence.</w:t>
      </w:r>
    </w:p>
    <w:p w:rsidR="001F1539" w:rsidRPr="00DC58E2" w:rsidRDefault="001F1539" w:rsidP="00DC58E2">
      <w:pPr>
        <w:pStyle w:val="Heading2"/>
      </w:pPr>
      <w:bookmarkStart w:id="14" w:name="_Toc237510464"/>
      <w:r w:rsidRPr="00DC58E2">
        <w:t>Physical Evidence</w:t>
      </w:r>
      <w:bookmarkEnd w:id="14"/>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Physical evidence is important because the customers need tangible evidence of the quality and sustainability of the extension. The solar roof itself, the high quality design of the vehicle, Tesla stores, Supercharger locations, digital interfaces, mobile app and product demo etc. would all help shape the customer's understanding of the brand. Tesla could reinforce this aspect with more transparency, for example by providing information about sustainability in stores and online, as well as estimates for the energy generated and how this will help to make mobility more environmentally friendly through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The design of the extension should also be minimalist and recognizable to Tesla, as to not make it look like a separate product, but more like an extension of the existing brand. </w:t>
      </w:r>
      <w:r w:rsidR="00AC2340" w:rsidRPr="00DC58E2">
        <w:rPr>
          <w:rFonts w:ascii="Times New Roman" w:hAnsi="Times New Roman" w:cs="Times New Roman"/>
          <w:sz w:val="24"/>
          <w:szCs w:val="24"/>
        </w:rPr>
        <w:t>Overall</w:t>
      </w:r>
      <w:r w:rsidRPr="00DC58E2">
        <w:rPr>
          <w:rFonts w:ascii="Times New Roman" w:hAnsi="Times New Roman" w:cs="Times New Roman"/>
          <w:sz w:val="24"/>
          <w:szCs w:val="24"/>
        </w:rPr>
        <w:t xml:space="preserve">, the 7Ps should all play a coherent role in making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the best, most technologically advanced and environmentally friendly mobility solution, to further Tesla's goal of accelerating the transition to sustainable energy.</w:t>
      </w:r>
    </w:p>
    <w:p w:rsidR="001F1539" w:rsidRPr="00DC58E2" w:rsidRDefault="001F1539" w:rsidP="00DC58E2">
      <w:pPr>
        <w:pStyle w:val="Heading1"/>
      </w:pPr>
      <w:bookmarkStart w:id="15" w:name="_Toc237510465"/>
      <w:r w:rsidRPr="00DC58E2">
        <w:t>Element 4 — Reflection</w:t>
      </w:r>
      <w:bookmarkEnd w:id="15"/>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The process of creating the Tesla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Edition as a sustainable brand extension has been a great learning experience for me, as I have been able to put the marketing concepts into a real business case. My knowledge about brand extension was primarily directed towards the launch of a new product in an existing brand. During the assessment though, I gained a wider understanding of what is required for a successful brand extension – to be consistent with the current brand whilst being responsive to the evolving needs of the </w:t>
      </w:r>
      <w:r w:rsidRPr="00DC58E2">
        <w:rPr>
          <w:rFonts w:ascii="Times New Roman" w:hAnsi="Times New Roman" w:cs="Times New Roman"/>
          <w:sz w:val="24"/>
          <w:szCs w:val="24"/>
        </w:rPr>
        <w:lastRenderedPageBreak/>
        <w:t xml:space="preserve">consumers. Developing a solar-assisted electric vehicle was especially </w:t>
      </w:r>
      <w:r w:rsidR="00AC2340" w:rsidRPr="00DC58E2">
        <w:rPr>
          <w:rFonts w:ascii="Times New Roman" w:hAnsi="Times New Roman" w:cs="Times New Roman"/>
          <w:sz w:val="24"/>
          <w:szCs w:val="24"/>
        </w:rPr>
        <w:t>relevant</w:t>
      </w:r>
      <w:r w:rsidRPr="00DC58E2">
        <w:rPr>
          <w:rFonts w:ascii="Times New Roman" w:hAnsi="Times New Roman" w:cs="Times New Roman"/>
          <w:sz w:val="24"/>
          <w:szCs w:val="24"/>
        </w:rPr>
        <w:t xml:space="preserve"> as Tesla already has a foothold in electric vehicles, battery storage and solar energy. This made me realise that a brand extension shouldn't be something totally new, but it should be something that can be done with the strengths that the brand already has. Market research and critical thinking was one of the most significant skills I acquired. I had to research the electric vehicle market and research about sustainability in order to look at different information and find the evidence surrounding the proposed extension. For instance, the poster research revealed that in 2024 globally over 17 million electric vehicles were sold and the growing significance of renewable energy</w:t>
      </w:r>
      <w:r w:rsidR="00AC2340" w:rsidRPr="00DC58E2">
        <w:rPr>
          <w:rFonts w:ascii="Times New Roman" w:hAnsi="Times New Roman" w:cs="Times New Roman"/>
          <w:sz w:val="24"/>
          <w:szCs w:val="24"/>
        </w:rPr>
        <w:t xml:space="preserve"> (IEA, 2025)</w:t>
      </w:r>
      <w:r w:rsidRPr="00DC58E2">
        <w:rPr>
          <w:rFonts w:ascii="Times New Roman" w:hAnsi="Times New Roman" w:cs="Times New Roman"/>
          <w:sz w:val="24"/>
          <w:szCs w:val="24"/>
        </w:rPr>
        <w:t>. This got me to question the product concept itself, and whether there was a suitable market opportunity. Further developing the STDP analysis also strengthened my skills of identifying appropriate customer segments and picking out a specific customer target group rather than taking the assumption that all green consumers would be equally appealing.</w:t>
      </w:r>
    </w:p>
    <w:p w:rsidR="001F1539"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The marketing mix also helped to boost my strategic marketing knowledge. After applying the 7Ps I noticed that sustainable marketing requires more than creating and producing a product that is environmentally responsible. All decisions related to prices, distribution, promotion, and customer processes and physical evidence should reinforce the same positioning. I also learned more about the need for responsible communication of sustainability. </w:t>
      </w:r>
      <w:proofErr w:type="spellStart"/>
      <w:r w:rsidRPr="00DC58E2">
        <w:rPr>
          <w:rFonts w:ascii="Times New Roman" w:hAnsi="Times New Roman" w:cs="Times New Roman"/>
          <w:sz w:val="24"/>
          <w:szCs w:val="24"/>
        </w:rPr>
        <w:t>SolarDrive</w:t>
      </w:r>
      <w:proofErr w:type="spellEnd"/>
      <w:r w:rsidRPr="00DC58E2">
        <w:rPr>
          <w:rFonts w:ascii="Times New Roman" w:hAnsi="Times New Roman" w:cs="Times New Roman"/>
          <w:sz w:val="24"/>
          <w:szCs w:val="24"/>
        </w:rPr>
        <w:t xml:space="preserve"> is designed to help to minimize charging reliance and enhance energy efficiency, yet the performance of solar power systems can differ significantly. Hence, claims should be communicated using realistic evidence in order to make it environment friendly. This made me more aware of the </w:t>
      </w:r>
      <w:proofErr w:type="spellStart"/>
      <w:r w:rsidRPr="00DC58E2">
        <w:rPr>
          <w:rFonts w:ascii="Times New Roman" w:hAnsi="Times New Roman" w:cs="Times New Roman"/>
          <w:sz w:val="24"/>
          <w:szCs w:val="24"/>
        </w:rPr>
        <w:t>greenwashing</w:t>
      </w:r>
      <w:proofErr w:type="spellEnd"/>
      <w:r w:rsidRPr="00DC58E2">
        <w:rPr>
          <w:rFonts w:ascii="Times New Roman" w:hAnsi="Times New Roman" w:cs="Times New Roman"/>
          <w:sz w:val="24"/>
          <w:szCs w:val="24"/>
        </w:rPr>
        <w:t xml:space="preserve"> of products and transparency in sustainable marketing. Making the poster gave me the chance to be creative and enhance my visual communication skills. I was having to transform a relatively complex concept on the electric mobility, solar charging, energy integration and sustainability into information that could be understood quickly. Creating the poster demanded that I focus on the important concepts of the brand extension, market opportunity, </w:t>
      </w:r>
      <w:proofErr w:type="spellStart"/>
      <w:r w:rsidRPr="00DC58E2">
        <w:rPr>
          <w:rFonts w:ascii="Times New Roman" w:hAnsi="Times New Roman" w:cs="Times New Roman"/>
          <w:sz w:val="24"/>
          <w:szCs w:val="24"/>
        </w:rPr>
        <w:t>Ansoff's</w:t>
      </w:r>
      <w:proofErr w:type="spellEnd"/>
      <w:r w:rsidRPr="00DC58E2">
        <w:rPr>
          <w:rFonts w:ascii="Times New Roman" w:hAnsi="Times New Roman" w:cs="Times New Roman"/>
          <w:sz w:val="24"/>
          <w:szCs w:val="24"/>
        </w:rPr>
        <w:t xml:space="preserve"> Product Development strategy, value proposition and sustainability goals. I was able to learn that good visual communication is about being selective on what information to incorporate, and not everything that I managed to find during my research.</w:t>
      </w:r>
    </w:p>
    <w:p w:rsidR="00AC2340" w:rsidRPr="00DC58E2" w:rsidRDefault="001F1539" w:rsidP="001F1539">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In addition, I was able to develop my presentation and time-management skills when delivering the poster presentation. Since it was a limited amount of time to communicate the </w:t>
      </w:r>
      <w:r w:rsidRPr="00DC58E2">
        <w:rPr>
          <w:rFonts w:ascii="Times New Roman" w:hAnsi="Times New Roman" w:cs="Times New Roman"/>
          <w:sz w:val="24"/>
          <w:szCs w:val="24"/>
        </w:rPr>
        <w:lastRenderedPageBreak/>
        <w:t xml:space="preserve">idea, preparation and prioritisation were required. What I took away from it is that knowing the subject isn't enough, you need to communicate it in a way that is confident, logical, and concise so that the audience will not lose interest. In future projects, there are a few things I could work on. I would do more in-depth competitor research earlier in the process to uncover possible weaknesses and other technologies. I would also apply more robust quantitative data in assessing customer value and sustainability performance. I would rehearse more, and make the poster even </w:t>
      </w:r>
      <w:proofErr w:type="gramStart"/>
      <w:r w:rsidRPr="00DC58E2">
        <w:rPr>
          <w:rFonts w:ascii="Times New Roman" w:hAnsi="Times New Roman" w:cs="Times New Roman"/>
          <w:sz w:val="24"/>
          <w:szCs w:val="24"/>
        </w:rPr>
        <w:t>more simple</w:t>
      </w:r>
      <w:proofErr w:type="gramEnd"/>
      <w:r w:rsidRPr="00DC58E2">
        <w:rPr>
          <w:rFonts w:ascii="Times New Roman" w:hAnsi="Times New Roman" w:cs="Times New Roman"/>
          <w:sz w:val="24"/>
          <w:szCs w:val="24"/>
        </w:rPr>
        <w:t xml:space="preserve"> and practise how to relay information less dependent on the written material. In summary, this evaluation has helped to develop my research, strategic thinking, creativity and communication skills, as well as being a valuable addition to my understanding of how sustainability can be applied practically to decisions around the development of a brand.</w:t>
      </w:r>
    </w:p>
    <w:p w:rsidR="00AC2340" w:rsidRPr="00DC58E2" w:rsidRDefault="00AC2340" w:rsidP="00DC58E2">
      <w:pPr>
        <w:pStyle w:val="Heading1"/>
      </w:pPr>
      <w:r w:rsidRPr="00DC58E2">
        <w:br w:type="column"/>
      </w:r>
      <w:bookmarkStart w:id="16" w:name="_Toc237510466"/>
      <w:r w:rsidRPr="00DC58E2">
        <w:lastRenderedPageBreak/>
        <w:t>References</w:t>
      </w:r>
      <w:bookmarkEnd w:id="16"/>
    </w:p>
    <w:p w:rsidR="00AC2340" w:rsidRPr="00DC58E2" w:rsidRDefault="00AC2340" w:rsidP="00AC2340">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Asuncion, J., Murphy, M., </w:t>
      </w:r>
      <w:proofErr w:type="spellStart"/>
      <w:r w:rsidRPr="00DC58E2">
        <w:rPr>
          <w:rFonts w:ascii="Times New Roman" w:hAnsi="Times New Roman" w:cs="Times New Roman"/>
          <w:sz w:val="24"/>
          <w:szCs w:val="24"/>
        </w:rPr>
        <w:t>Prutow</w:t>
      </w:r>
      <w:proofErr w:type="spellEnd"/>
      <w:r w:rsidRPr="00DC58E2">
        <w:rPr>
          <w:rFonts w:ascii="Times New Roman" w:hAnsi="Times New Roman" w:cs="Times New Roman"/>
          <w:sz w:val="24"/>
          <w:szCs w:val="24"/>
        </w:rPr>
        <w:t xml:space="preserve">, N., </w:t>
      </w:r>
      <w:proofErr w:type="spellStart"/>
      <w:r w:rsidRPr="00DC58E2">
        <w:rPr>
          <w:rFonts w:ascii="Times New Roman" w:hAnsi="Times New Roman" w:cs="Times New Roman"/>
          <w:sz w:val="24"/>
          <w:szCs w:val="24"/>
        </w:rPr>
        <w:t>Siantar</w:t>
      </w:r>
      <w:proofErr w:type="spellEnd"/>
      <w:r w:rsidRPr="00DC58E2">
        <w:rPr>
          <w:rFonts w:ascii="Times New Roman" w:hAnsi="Times New Roman" w:cs="Times New Roman"/>
          <w:sz w:val="24"/>
          <w:szCs w:val="24"/>
        </w:rPr>
        <w:t xml:space="preserve">, M., Tyre-Vigil, J. and </w:t>
      </w:r>
      <w:proofErr w:type="spellStart"/>
      <w:r w:rsidRPr="00DC58E2">
        <w:rPr>
          <w:rFonts w:ascii="Times New Roman" w:hAnsi="Times New Roman" w:cs="Times New Roman"/>
          <w:sz w:val="24"/>
          <w:szCs w:val="24"/>
        </w:rPr>
        <w:t>Awwad</w:t>
      </w:r>
      <w:proofErr w:type="spellEnd"/>
      <w:r w:rsidRPr="00DC58E2">
        <w:rPr>
          <w:rFonts w:ascii="Times New Roman" w:hAnsi="Times New Roman" w:cs="Times New Roman"/>
          <w:sz w:val="24"/>
          <w:szCs w:val="24"/>
        </w:rPr>
        <w:t>, M., 2023. Benefits and Effects of Tesla’s Direct-to-Customer Sales Model. In 6th European Conference on Industrial Engineering and Operations Management Lisbon.</w:t>
      </w:r>
    </w:p>
    <w:p w:rsidR="00AC2340" w:rsidRPr="00DC58E2" w:rsidRDefault="00AC2340" w:rsidP="00AC2340">
      <w:pPr>
        <w:spacing w:before="240" w:after="240" w:line="360" w:lineRule="auto"/>
        <w:jc w:val="both"/>
        <w:rPr>
          <w:rFonts w:ascii="Times New Roman" w:hAnsi="Times New Roman" w:cs="Times New Roman"/>
          <w:sz w:val="24"/>
          <w:szCs w:val="24"/>
        </w:rPr>
      </w:pPr>
      <w:proofErr w:type="spellStart"/>
      <w:r w:rsidRPr="00DC58E2">
        <w:rPr>
          <w:rFonts w:ascii="Times New Roman" w:hAnsi="Times New Roman" w:cs="Times New Roman"/>
          <w:sz w:val="24"/>
          <w:szCs w:val="24"/>
        </w:rPr>
        <w:t>Bindhya</w:t>
      </w:r>
      <w:proofErr w:type="spellEnd"/>
      <w:r w:rsidRPr="00DC58E2">
        <w:rPr>
          <w:rFonts w:ascii="Times New Roman" w:hAnsi="Times New Roman" w:cs="Times New Roman"/>
          <w:sz w:val="24"/>
          <w:szCs w:val="24"/>
        </w:rPr>
        <w:t xml:space="preserve">, M.S., </w:t>
      </w:r>
      <w:proofErr w:type="spellStart"/>
      <w:r w:rsidRPr="00DC58E2">
        <w:rPr>
          <w:rFonts w:ascii="Times New Roman" w:hAnsi="Times New Roman" w:cs="Times New Roman"/>
          <w:sz w:val="24"/>
          <w:szCs w:val="24"/>
        </w:rPr>
        <w:t>Kartha</w:t>
      </w:r>
      <w:proofErr w:type="spellEnd"/>
      <w:r w:rsidRPr="00DC58E2">
        <w:rPr>
          <w:rFonts w:ascii="Times New Roman" w:hAnsi="Times New Roman" w:cs="Times New Roman"/>
          <w:sz w:val="24"/>
          <w:szCs w:val="24"/>
        </w:rPr>
        <w:t xml:space="preserve">, N.V., Jacob, G., </w:t>
      </w:r>
      <w:proofErr w:type="spellStart"/>
      <w:r w:rsidRPr="00DC58E2">
        <w:rPr>
          <w:rFonts w:ascii="Times New Roman" w:hAnsi="Times New Roman" w:cs="Times New Roman"/>
          <w:sz w:val="24"/>
          <w:szCs w:val="24"/>
        </w:rPr>
        <w:t>Lukose</w:t>
      </w:r>
      <w:proofErr w:type="spellEnd"/>
      <w:r w:rsidRPr="00DC58E2">
        <w:rPr>
          <w:rFonts w:ascii="Times New Roman" w:hAnsi="Times New Roman" w:cs="Times New Roman"/>
          <w:sz w:val="24"/>
          <w:szCs w:val="24"/>
        </w:rPr>
        <w:t>, A. and Joseph, J., 2025. Electrifying the road: a comprehensive analysis of factors influencing consumer adoption of electric vehicles. International Journal of Energy Economics and Policy, 15(1), pp.552-565.</w:t>
      </w:r>
    </w:p>
    <w:p w:rsidR="00AC2340" w:rsidRPr="00DC58E2" w:rsidRDefault="00AC2340" w:rsidP="00AC2340">
      <w:pPr>
        <w:spacing w:before="240" w:after="240" w:line="360" w:lineRule="auto"/>
        <w:jc w:val="both"/>
        <w:rPr>
          <w:rFonts w:ascii="Times New Roman" w:hAnsi="Times New Roman" w:cs="Times New Roman"/>
          <w:sz w:val="24"/>
          <w:szCs w:val="24"/>
        </w:rPr>
      </w:pPr>
      <w:proofErr w:type="spellStart"/>
      <w:r w:rsidRPr="00DC58E2">
        <w:rPr>
          <w:rFonts w:ascii="Times New Roman" w:hAnsi="Times New Roman" w:cs="Times New Roman"/>
          <w:sz w:val="24"/>
          <w:szCs w:val="24"/>
        </w:rPr>
        <w:t>Bormane</w:t>
      </w:r>
      <w:proofErr w:type="spellEnd"/>
      <w:r w:rsidRPr="00DC58E2">
        <w:rPr>
          <w:rFonts w:ascii="Times New Roman" w:hAnsi="Times New Roman" w:cs="Times New Roman"/>
          <w:sz w:val="24"/>
          <w:szCs w:val="24"/>
        </w:rPr>
        <w:t>, S., 2018, May. Integrated marketing communications in sustainable business. In Society. Integration. Education. Proceedings of the international scientific conference (Vol. 6, pp. 80-96).</w:t>
      </w:r>
    </w:p>
    <w:p w:rsidR="00AC2340" w:rsidRPr="00DC58E2" w:rsidRDefault="00AC2340" w:rsidP="00AC2340">
      <w:pPr>
        <w:spacing w:before="240" w:after="240" w:line="360" w:lineRule="auto"/>
        <w:jc w:val="both"/>
        <w:rPr>
          <w:rFonts w:ascii="Times New Roman" w:hAnsi="Times New Roman" w:cs="Times New Roman"/>
          <w:sz w:val="24"/>
          <w:szCs w:val="24"/>
        </w:rPr>
      </w:pPr>
      <w:proofErr w:type="spellStart"/>
      <w:r w:rsidRPr="00DC58E2">
        <w:rPr>
          <w:rFonts w:ascii="Times New Roman" w:hAnsi="Times New Roman" w:cs="Times New Roman"/>
          <w:sz w:val="24"/>
          <w:szCs w:val="24"/>
        </w:rPr>
        <w:t>Dolnicar</w:t>
      </w:r>
      <w:proofErr w:type="spellEnd"/>
      <w:r w:rsidRPr="00DC58E2">
        <w:rPr>
          <w:rFonts w:ascii="Times New Roman" w:hAnsi="Times New Roman" w:cs="Times New Roman"/>
          <w:sz w:val="24"/>
          <w:szCs w:val="24"/>
        </w:rPr>
        <w:t xml:space="preserve">, S., </w:t>
      </w:r>
      <w:proofErr w:type="spellStart"/>
      <w:r w:rsidRPr="00DC58E2">
        <w:rPr>
          <w:rFonts w:ascii="Times New Roman" w:hAnsi="Times New Roman" w:cs="Times New Roman"/>
          <w:sz w:val="24"/>
          <w:szCs w:val="24"/>
        </w:rPr>
        <w:t>Grün</w:t>
      </w:r>
      <w:proofErr w:type="spellEnd"/>
      <w:r w:rsidRPr="00DC58E2">
        <w:rPr>
          <w:rFonts w:ascii="Times New Roman" w:hAnsi="Times New Roman" w:cs="Times New Roman"/>
          <w:sz w:val="24"/>
          <w:szCs w:val="24"/>
        </w:rPr>
        <w:t xml:space="preserve">, B. and </w:t>
      </w:r>
      <w:proofErr w:type="spellStart"/>
      <w:r w:rsidRPr="00DC58E2">
        <w:rPr>
          <w:rFonts w:ascii="Times New Roman" w:hAnsi="Times New Roman" w:cs="Times New Roman"/>
          <w:sz w:val="24"/>
          <w:szCs w:val="24"/>
        </w:rPr>
        <w:t>Leisch</w:t>
      </w:r>
      <w:proofErr w:type="spellEnd"/>
      <w:r w:rsidRPr="00DC58E2">
        <w:rPr>
          <w:rFonts w:ascii="Times New Roman" w:hAnsi="Times New Roman" w:cs="Times New Roman"/>
          <w:sz w:val="24"/>
          <w:szCs w:val="24"/>
        </w:rPr>
        <w:t>, F., 2018. Market segmentation analysis. In Market segmentation analysis: Understanding it, doing it, and making it useful (pp. 11-22). Singapore: Springer Singapore.</w:t>
      </w:r>
    </w:p>
    <w:p w:rsidR="00AC2340" w:rsidRPr="00DC58E2" w:rsidRDefault="00AC2340" w:rsidP="00AC2340">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Gupta, S., Bansal, R., </w:t>
      </w:r>
      <w:proofErr w:type="spellStart"/>
      <w:r w:rsidRPr="00DC58E2">
        <w:rPr>
          <w:rFonts w:ascii="Times New Roman" w:hAnsi="Times New Roman" w:cs="Times New Roman"/>
          <w:sz w:val="24"/>
          <w:szCs w:val="24"/>
        </w:rPr>
        <w:t>Bankoti</w:t>
      </w:r>
      <w:proofErr w:type="spellEnd"/>
      <w:r w:rsidRPr="00DC58E2">
        <w:rPr>
          <w:rFonts w:ascii="Times New Roman" w:hAnsi="Times New Roman" w:cs="Times New Roman"/>
          <w:sz w:val="24"/>
          <w:szCs w:val="24"/>
        </w:rPr>
        <w:t xml:space="preserve">, N., </w:t>
      </w:r>
      <w:proofErr w:type="spellStart"/>
      <w:r w:rsidRPr="00DC58E2">
        <w:rPr>
          <w:rFonts w:ascii="Times New Roman" w:hAnsi="Times New Roman" w:cs="Times New Roman"/>
          <w:sz w:val="24"/>
          <w:szCs w:val="24"/>
        </w:rPr>
        <w:t>Kar</w:t>
      </w:r>
      <w:proofErr w:type="spellEnd"/>
      <w:r w:rsidRPr="00DC58E2">
        <w:rPr>
          <w:rFonts w:ascii="Times New Roman" w:hAnsi="Times New Roman" w:cs="Times New Roman"/>
          <w:sz w:val="24"/>
          <w:szCs w:val="24"/>
        </w:rPr>
        <w:t xml:space="preserve">, S.K., Mishra, S.K., Kaur, P. and </w:t>
      </w:r>
      <w:proofErr w:type="spellStart"/>
      <w:r w:rsidRPr="00DC58E2">
        <w:rPr>
          <w:rFonts w:ascii="Times New Roman" w:hAnsi="Times New Roman" w:cs="Times New Roman"/>
          <w:sz w:val="24"/>
          <w:szCs w:val="24"/>
        </w:rPr>
        <w:t>Harichandan</w:t>
      </w:r>
      <w:proofErr w:type="spellEnd"/>
      <w:r w:rsidRPr="00DC58E2">
        <w:rPr>
          <w:rFonts w:ascii="Times New Roman" w:hAnsi="Times New Roman" w:cs="Times New Roman"/>
          <w:sz w:val="24"/>
          <w:szCs w:val="24"/>
        </w:rPr>
        <w:t>, S., 2024. Factors affecting consumer’s intention to use electric vehicles: Mediating role of awareness and knowledge. Journal of Advanced Transportation, 2024(1), p.5922430.</w:t>
      </w:r>
    </w:p>
    <w:p w:rsidR="00AC2340" w:rsidRPr="00DC58E2" w:rsidRDefault="00AC2340" w:rsidP="00AC2340">
      <w:pPr>
        <w:spacing w:before="240" w:after="240" w:line="360" w:lineRule="auto"/>
        <w:jc w:val="both"/>
        <w:rPr>
          <w:rFonts w:ascii="Times New Roman" w:hAnsi="Times New Roman" w:cs="Times New Roman"/>
          <w:sz w:val="24"/>
          <w:szCs w:val="24"/>
        </w:rPr>
      </w:pPr>
      <w:proofErr w:type="spellStart"/>
      <w:r w:rsidRPr="00DC58E2">
        <w:rPr>
          <w:rFonts w:ascii="Times New Roman" w:hAnsi="Times New Roman" w:cs="Times New Roman"/>
          <w:sz w:val="24"/>
          <w:szCs w:val="24"/>
        </w:rPr>
        <w:t>Haustein</w:t>
      </w:r>
      <w:proofErr w:type="spellEnd"/>
      <w:r w:rsidRPr="00DC58E2">
        <w:rPr>
          <w:rFonts w:ascii="Times New Roman" w:hAnsi="Times New Roman" w:cs="Times New Roman"/>
          <w:sz w:val="24"/>
          <w:szCs w:val="24"/>
        </w:rPr>
        <w:t xml:space="preserve">, S. and Jensen, A.F., 2018. Factors of electric vehicle adoption: A comparison of conventional and electric car users based on an extended theory of planned </w:t>
      </w:r>
      <w:proofErr w:type="spellStart"/>
      <w:r w:rsidRPr="00DC58E2">
        <w:rPr>
          <w:rFonts w:ascii="Times New Roman" w:hAnsi="Times New Roman" w:cs="Times New Roman"/>
          <w:sz w:val="24"/>
          <w:szCs w:val="24"/>
        </w:rPr>
        <w:t>behavior</w:t>
      </w:r>
      <w:proofErr w:type="spellEnd"/>
      <w:r w:rsidRPr="00DC58E2">
        <w:rPr>
          <w:rFonts w:ascii="Times New Roman" w:hAnsi="Times New Roman" w:cs="Times New Roman"/>
          <w:sz w:val="24"/>
          <w:szCs w:val="24"/>
        </w:rPr>
        <w:t>. International Journal of Sustainable Transportation, 12(7), pp.484-496.</w:t>
      </w:r>
    </w:p>
    <w:p w:rsidR="00AC2340" w:rsidRPr="00DC58E2" w:rsidRDefault="00AC2340" w:rsidP="00AC2340">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IEA, 2025. Trends in electric car markets. https://www.iea.org/reports/global-ev-outlook-2025/trends-in-electric-car-markets-2  </w:t>
      </w:r>
    </w:p>
    <w:p w:rsidR="00AC2340" w:rsidRPr="00DC58E2" w:rsidRDefault="00AC2340" w:rsidP="00AC2340">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Krishna, G., 2021. Understanding and identifying barriers to electric vehicle adoption through thematic analysis. Transportation Research Interdisciplinary Perspectives, 10, p.100364.</w:t>
      </w:r>
    </w:p>
    <w:p w:rsidR="00AC2340" w:rsidRPr="00DC58E2" w:rsidRDefault="00AC2340" w:rsidP="00AC2340">
      <w:pPr>
        <w:spacing w:before="240" w:after="240" w:line="360" w:lineRule="auto"/>
        <w:jc w:val="both"/>
        <w:rPr>
          <w:rFonts w:ascii="Times New Roman" w:hAnsi="Times New Roman" w:cs="Times New Roman"/>
          <w:sz w:val="24"/>
          <w:szCs w:val="24"/>
        </w:rPr>
      </w:pPr>
      <w:proofErr w:type="spellStart"/>
      <w:r w:rsidRPr="00DC58E2">
        <w:rPr>
          <w:rFonts w:ascii="Times New Roman" w:hAnsi="Times New Roman" w:cs="Times New Roman"/>
          <w:sz w:val="24"/>
          <w:szCs w:val="24"/>
        </w:rPr>
        <w:t>Pamidimukkala</w:t>
      </w:r>
      <w:proofErr w:type="spellEnd"/>
      <w:r w:rsidRPr="00DC58E2">
        <w:rPr>
          <w:rFonts w:ascii="Times New Roman" w:hAnsi="Times New Roman" w:cs="Times New Roman"/>
          <w:sz w:val="24"/>
          <w:szCs w:val="24"/>
        </w:rPr>
        <w:t xml:space="preserve">, A., </w:t>
      </w:r>
      <w:proofErr w:type="spellStart"/>
      <w:r w:rsidRPr="00DC58E2">
        <w:rPr>
          <w:rFonts w:ascii="Times New Roman" w:hAnsi="Times New Roman" w:cs="Times New Roman"/>
          <w:sz w:val="24"/>
          <w:szCs w:val="24"/>
        </w:rPr>
        <w:t>Kermanshachi</w:t>
      </w:r>
      <w:proofErr w:type="spellEnd"/>
      <w:r w:rsidRPr="00DC58E2">
        <w:rPr>
          <w:rFonts w:ascii="Times New Roman" w:hAnsi="Times New Roman" w:cs="Times New Roman"/>
          <w:sz w:val="24"/>
          <w:szCs w:val="24"/>
        </w:rPr>
        <w:t xml:space="preserve">, S., Rosenberger, J.M. and </w:t>
      </w:r>
      <w:proofErr w:type="spellStart"/>
      <w:r w:rsidRPr="00DC58E2">
        <w:rPr>
          <w:rFonts w:ascii="Times New Roman" w:hAnsi="Times New Roman" w:cs="Times New Roman"/>
          <w:sz w:val="24"/>
          <w:szCs w:val="24"/>
        </w:rPr>
        <w:t>Hladik</w:t>
      </w:r>
      <w:proofErr w:type="spellEnd"/>
      <w:r w:rsidRPr="00DC58E2">
        <w:rPr>
          <w:rFonts w:ascii="Times New Roman" w:hAnsi="Times New Roman" w:cs="Times New Roman"/>
          <w:sz w:val="24"/>
          <w:szCs w:val="24"/>
        </w:rPr>
        <w:t>, G., 2024. Barriers and motivators to the adoption of electric vehicles: A global review. Green Energy and Intelligent Transportation, 3(2), p.100153.</w:t>
      </w:r>
    </w:p>
    <w:p w:rsidR="00AC2340" w:rsidRPr="00DC58E2" w:rsidRDefault="00AC2340" w:rsidP="00AC2340">
      <w:pPr>
        <w:spacing w:before="240" w:after="240" w:line="360" w:lineRule="auto"/>
        <w:jc w:val="both"/>
        <w:rPr>
          <w:rFonts w:ascii="Times New Roman" w:hAnsi="Times New Roman" w:cs="Times New Roman"/>
          <w:sz w:val="24"/>
          <w:szCs w:val="24"/>
        </w:rPr>
      </w:pPr>
      <w:proofErr w:type="spellStart"/>
      <w:r w:rsidRPr="00DC58E2">
        <w:rPr>
          <w:rFonts w:ascii="Times New Roman" w:hAnsi="Times New Roman" w:cs="Times New Roman"/>
          <w:sz w:val="24"/>
          <w:szCs w:val="24"/>
        </w:rPr>
        <w:lastRenderedPageBreak/>
        <w:t>Rapson</w:t>
      </w:r>
      <w:proofErr w:type="spellEnd"/>
      <w:r w:rsidRPr="00DC58E2">
        <w:rPr>
          <w:rFonts w:ascii="Times New Roman" w:hAnsi="Times New Roman" w:cs="Times New Roman"/>
          <w:sz w:val="24"/>
          <w:szCs w:val="24"/>
        </w:rPr>
        <w:t xml:space="preserve">, D.S. and </w:t>
      </w:r>
      <w:proofErr w:type="spellStart"/>
      <w:r w:rsidRPr="00DC58E2">
        <w:rPr>
          <w:rFonts w:ascii="Times New Roman" w:hAnsi="Times New Roman" w:cs="Times New Roman"/>
          <w:sz w:val="24"/>
          <w:szCs w:val="24"/>
        </w:rPr>
        <w:t>Muehlegger</w:t>
      </w:r>
      <w:proofErr w:type="spellEnd"/>
      <w:r w:rsidRPr="00DC58E2">
        <w:rPr>
          <w:rFonts w:ascii="Times New Roman" w:hAnsi="Times New Roman" w:cs="Times New Roman"/>
          <w:sz w:val="24"/>
          <w:szCs w:val="24"/>
        </w:rPr>
        <w:t>, E., 2023. The economics of electric vehicles. Review of environmental economics and policy, 17(2), pp.274-294.</w:t>
      </w:r>
    </w:p>
    <w:p w:rsidR="00AC2340" w:rsidRPr="00DC58E2" w:rsidRDefault="00AC2340" w:rsidP="00AC2340">
      <w:pPr>
        <w:spacing w:before="240" w:after="240" w:line="360" w:lineRule="auto"/>
        <w:jc w:val="both"/>
        <w:rPr>
          <w:rFonts w:ascii="Times New Roman" w:hAnsi="Times New Roman" w:cs="Times New Roman"/>
          <w:sz w:val="24"/>
          <w:szCs w:val="24"/>
        </w:rPr>
      </w:pPr>
      <w:r w:rsidRPr="00DC58E2">
        <w:rPr>
          <w:rFonts w:ascii="Times New Roman" w:hAnsi="Times New Roman" w:cs="Times New Roman"/>
          <w:sz w:val="24"/>
          <w:szCs w:val="24"/>
        </w:rPr>
        <w:t xml:space="preserve">Singh, R., Quinn, C. and </w:t>
      </w:r>
      <w:proofErr w:type="spellStart"/>
      <w:r w:rsidRPr="00DC58E2">
        <w:rPr>
          <w:rFonts w:ascii="Times New Roman" w:hAnsi="Times New Roman" w:cs="Times New Roman"/>
          <w:sz w:val="24"/>
          <w:szCs w:val="24"/>
        </w:rPr>
        <w:t>MacKenzie</w:t>
      </w:r>
      <w:proofErr w:type="spellEnd"/>
      <w:r w:rsidRPr="00DC58E2">
        <w:rPr>
          <w:rFonts w:ascii="Times New Roman" w:hAnsi="Times New Roman" w:cs="Times New Roman"/>
          <w:sz w:val="24"/>
          <w:szCs w:val="24"/>
        </w:rPr>
        <w:t>, D., 2025. Poor reliability of public charging stations can impede the growth of the electric vehicle market. Transport Policy, 171, pp.695-705.</w:t>
      </w:r>
    </w:p>
    <w:p w:rsidR="00AC2340" w:rsidRPr="00AC2340" w:rsidRDefault="00AC2340" w:rsidP="00AC2340">
      <w:pPr>
        <w:spacing w:before="240" w:after="240" w:line="360" w:lineRule="auto"/>
        <w:jc w:val="both"/>
        <w:rPr>
          <w:rFonts w:ascii="Times New Roman" w:hAnsi="Times New Roman" w:cs="Times New Roman"/>
          <w:sz w:val="24"/>
          <w:szCs w:val="24"/>
        </w:rPr>
      </w:pPr>
      <w:proofErr w:type="spellStart"/>
      <w:r w:rsidRPr="00DC58E2">
        <w:rPr>
          <w:rFonts w:ascii="Times New Roman" w:hAnsi="Times New Roman" w:cs="Times New Roman"/>
          <w:sz w:val="24"/>
          <w:szCs w:val="24"/>
        </w:rPr>
        <w:t>Tu</w:t>
      </w:r>
      <w:proofErr w:type="spellEnd"/>
      <w:r w:rsidRPr="00DC58E2">
        <w:rPr>
          <w:rFonts w:ascii="Times New Roman" w:hAnsi="Times New Roman" w:cs="Times New Roman"/>
          <w:sz w:val="24"/>
          <w:szCs w:val="24"/>
        </w:rPr>
        <w:t>, J.C. and Yang, C., 2019. Key factors influencing consumers’ purchase of electric vehicles. Sustainability, 11(14), p.3863.</w:t>
      </w:r>
    </w:p>
    <w:sectPr w:rsidR="00AC2340" w:rsidRPr="00AC2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1539"/>
    <w:rsid w:val="00171A7A"/>
    <w:rsid w:val="001F1539"/>
    <w:rsid w:val="002C1C66"/>
    <w:rsid w:val="004422D4"/>
    <w:rsid w:val="00576DCB"/>
    <w:rsid w:val="00593BDC"/>
    <w:rsid w:val="00AB324F"/>
    <w:rsid w:val="00AC2340"/>
    <w:rsid w:val="00DC58E2"/>
    <w:rsid w:val="00EA3FE7"/>
    <w:rsid w:val="00F00BAA"/>
    <w:rsid w:val="00F110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8477B20-F4FF-4826-B790-7BE34BBA8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DC58E2"/>
    <w:pPr>
      <w:keepNext/>
      <w:keepLines/>
      <w:spacing w:before="480" w:after="0"/>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autoRedefine/>
    <w:uiPriority w:val="9"/>
    <w:unhideWhenUsed/>
    <w:qFormat/>
    <w:rsid w:val="00DC58E2"/>
    <w:pPr>
      <w:keepNext/>
      <w:keepLines/>
      <w:spacing w:before="200" w:after="0"/>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F1539"/>
    <w:rPr>
      <w:b/>
      <w:bCs/>
    </w:rPr>
  </w:style>
  <w:style w:type="table" w:styleId="TableGrid">
    <w:name w:val="Table Grid"/>
    <w:basedOn w:val="TableNormal"/>
    <w:uiPriority w:val="59"/>
    <w:rsid w:val="001F15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F15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1539"/>
    <w:rPr>
      <w:rFonts w:ascii="Tahoma" w:hAnsi="Tahoma" w:cs="Tahoma"/>
      <w:sz w:val="16"/>
      <w:szCs w:val="16"/>
    </w:rPr>
  </w:style>
  <w:style w:type="paragraph" w:styleId="NormalWeb">
    <w:name w:val="Normal (Web)"/>
    <w:basedOn w:val="Normal"/>
    <w:uiPriority w:val="99"/>
    <w:semiHidden/>
    <w:unhideWhenUsed/>
    <w:rsid w:val="00F00BA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DC58E2"/>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DC58E2"/>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DC58E2"/>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DC58E2"/>
    <w:pPr>
      <w:spacing w:after="100"/>
    </w:pPr>
  </w:style>
  <w:style w:type="paragraph" w:styleId="TOC2">
    <w:name w:val="toc 2"/>
    <w:basedOn w:val="Normal"/>
    <w:next w:val="Normal"/>
    <w:autoRedefine/>
    <w:uiPriority w:val="39"/>
    <w:unhideWhenUsed/>
    <w:rsid w:val="00DC58E2"/>
    <w:pPr>
      <w:spacing w:after="100"/>
      <w:ind w:left="220"/>
    </w:pPr>
  </w:style>
  <w:style w:type="character" w:styleId="Hyperlink">
    <w:name w:val="Hyperlink"/>
    <w:basedOn w:val="DefaultParagraphFont"/>
    <w:uiPriority w:val="99"/>
    <w:unhideWhenUsed/>
    <w:rsid w:val="00DC58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4699525">
      <w:bodyDiv w:val="1"/>
      <w:marLeft w:val="0"/>
      <w:marRight w:val="0"/>
      <w:marTop w:val="0"/>
      <w:marBottom w:val="0"/>
      <w:divBdr>
        <w:top w:val="none" w:sz="0" w:space="0" w:color="auto"/>
        <w:left w:val="none" w:sz="0" w:space="0" w:color="auto"/>
        <w:bottom w:val="none" w:sz="0" w:space="0" w:color="auto"/>
        <w:right w:val="none" w:sz="0" w:space="0" w:color="auto"/>
      </w:divBdr>
    </w:div>
    <w:div w:id="1470593955">
      <w:bodyDiv w:val="1"/>
      <w:marLeft w:val="0"/>
      <w:marRight w:val="0"/>
      <w:marTop w:val="0"/>
      <w:marBottom w:val="0"/>
      <w:divBdr>
        <w:top w:val="none" w:sz="0" w:space="0" w:color="auto"/>
        <w:left w:val="none" w:sz="0" w:space="0" w:color="auto"/>
        <w:bottom w:val="none" w:sz="0" w:space="0" w:color="auto"/>
        <w:right w:val="none" w:sz="0" w:space="0" w:color="auto"/>
      </w:divBdr>
    </w:div>
    <w:div w:id="1579747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3596EE-6C37-41A2-86FA-548327A8C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1261</TotalTime>
  <Pages>14</Pages>
  <Words>3182</Words>
  <Characters>18142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Darshana Malviya</dc:creator>
  <cp:lastModifiedBy>Darshana Malviya</cp:lastModifiedBy>
  <cp:revision>9</cp:revision>
  <dcterms:created xsi:type="dcterms:W3CDTF">2026-08-06T13:09:00Z</dcterms:created>
  <dcterms:modified xsi:type="dcterms:W3CDTF">2026-08-14T13:57:00Z</dcterms:modified>
</cp:coreProperties>
</file>