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30E17" w14:textId="77777777" w:rsidR="00D676E7" w:rsidRDefault="00D676E7" w:rsidP="00D676E7">
      <w:pPr>
        <w:jc w:val="both"/>
        <w:rPr>
          <w:rFonts w:ascii="Arial" w:hAnsi="Arial" w:cs="Arial"/>
        </w:rPr>
      </w:pPr>
    </w:p>
    <w:p w14:paraId="418AB724" w14:textId="77777777" w:rsidR="00D676E7" w:rsidRDefault="00D676E7" w:rsidP="00D676E7">
      <w:pPr>
        <w:jc w:val="both"/>
        <w:rPr>
          <w:rFonts w:ascii="Arial" w:hAnsi="Arial" w:cs="Arial"/>
        </w:rPr>
      </w:pPr>
    </w:p>
    <w:p w14:paraId="0D5CC5CE" w14:textId="523EFD94" w:rsidR="00D676E7" w:rsidRPr="00B33FEE" w:rsidRDefault="00B33FEE" w:rsidP="00D676E7">
      <w:pPr>
        <w:jc w:val="center"/>
        <w:rPr>
          <w:rFonts w:ascii="Arial" w:hAnsi="Arial" w:cs="Arial"/>
          <w:sz w:val="40"/>
          <w:szCs w:val="40"/>
        </w:rPr>
      </w:pPr>
      <w:r w:rsidRPr="00B33FEE">
        <w:rPr>
          <w:rFonts w:ascii="Arial" w:hAnsi="Arial" w:cs="Arial"/>
          <w:sz w:val="40"/>
          <w:szCs w:val="40"/>
        </w:rPr>
        <w:t xml:space="preserve">Strategic </w:t>
      </w:r>
      <w:r w:rsidR="00383F0F">
        <w:rPr>
          <w:rFonts w:ascii="Arial" w:hAnsi="Arial" w:cs="Arial"/>
          <w:sz w:val="40"/>
          <w:szCs w:val="40"/>
        </w:rPr>
        <w:t>management report on Reiss</w:t>
      </w:r>
      <w:r w:rsidRPr="00B33FEE">
        <w:rPr>
          <w:rFonts w:ascii="Arial" w:hAnsi="Arial" w:cs="Arial"/>
          <w:sz w:val="40"/>
          <w:szCs w:val="40"/>
        </w:rPr>
        <w:t xml:space="preserve"> </w:t>
      </w:r>
    </w:p>
    <w:p w14:paraId="6A5EB486" w14:textId="77777777" w:rsidR="00D676E7" w:rsidRDefault="00D676E7" w:rsidP="00D676E7">
      <w:pPr>
        <w:jc w:val="both"/>
        <w:rPr>
          <w:rFonts w:ascii="Arial" w:hAnsi="Arial" w:cs="Arial"/>
        </w:rPr>
      </w:pPr>
    </w:p>
    <w:p w14:paraId="17AA0776" w14:textId="77777777" w:rsidR="00D676E7" w:rsidRDefault="00D676E7" w:rsidP="00D676E7">
      <w:pPr>
        <w:jc w:val="both"/>
        <w:rPr>
          <w:rFonts w:ascii="Arial" w:hAnsi="Arial" w:cs="Arial"/>
        </w:rPr>
      </w:pPr>
    </w:p>
    <w:p w14:paraId="4E1D6656" w14:textId="77777777" w:rsidR="00D676E7" w:rsidRDefault="00D676E7" w:rsidP="00D676E7">
      <w:pPr>
        <w:jc w:val="both"/>
        <w:rPr>
          <w:rFonts w:ascii="Arial" w:hAnsi="Arial" w:cs="Arial"/>
        </w:rPr>
      </w:pPr>
    </w:p>
    <w:p w14:paraId="6992AE06" w14:textId="77777777" w:rsidR="00D676E7" w:rsidRDefault="00D676E7" w:rsidP="00D676E7">
      <w:pPr>
        <w:jc w:val="both"/>
        <w:rPr>
          <w:rFonts w:ascii="Arial" w:hAnsi="Arial" w:cs="Arial"/>
        </w:rPr>
      </w:pPr>
    </w:p>
    <w:p w14:paraId="7AD3A7FC" w14:textId="77777777" w:rsidR="00D676E7" w:rsidRDefault="00D676E7" w:rsidP="00D676E7">
      <w:pPr>
        <w:jc w:val="both"/>
        <w:rPr>
          <w:rFonts w:ascii="Arial" w:hAnsi="Arial" w:cs="Arial"/>
        </w:rPr>
      </w:pPr>
    </w:p>
    <w:p w14:paraId="4FA11D88" w14:textId="77777777" w:rsidR="00D676E7" w:rsidRDefault="00D676E7" w:rsidP="00D676E7">
      <w:pPr>
        <w:jc w:val="both"/>
        <w:rPr>
          <w:rFonts w:ascii="Arial" w:hAnsi="Arial" w:cs="Arial"/>
        </w:rPr>
      </w:pPr>
    </w:p>
    <w:p w14:paraId="02A4F61A" w14:textId="77777777" w:rsidR="00D676E7" w:rsidRDefault="00D676E7" w:rsidP="00D676E7">
      <w:pPr>
        <w:jc w:val="both"/>
        <w:rPr>
          <w:rFonts w:ascii="Arial" w:hAnsi="Arial" w:cs="Arial"/>
        </w:rPr>
      </w:pPr>
    </w:p>
    <w:p w14:paraId="4E12CB99" w14:textId="77777777" w:rsidR="00D676E7" w:rsidRDefault="00D676E7" w:rsidP="00D676E7">
      <w:pPr>
        <w:jc w:val="both"/>
        <w:rPr>
          <w:rFonts w:ascii="Arial" w:hAnsi="Arial" w:cs="Arial"/>
        </w:rPr>
      </w:pPr>
    </w:p>
    <w:p w14:paraId="68C24958" w14:textId="77777777" w:rsidR="00D676E7" w:rsidRDefault="00D676E7" w:rsidP="00D676E7">
      <w:pPr>
        <w:jc w:val="both"/>
        <w:rPr>
          <w:rFonts w:ascii="Arial" w:hAnsi="Arial" w:cs="Arial"/>
        </w:rPr>
      </w:pPr>
    </w:p>
    <w:p w14:paraId="7A86B46D" w14:textId="77777777" w:rsidR="00D676E7" w:rsidRDefault="00D676E7" w:rsidP="00D676E7">
      <w:pPr>
        <w:jc w:val="both"/>
        <w:rPr>
          <w:rFonts w:ascii="Arial" w:hAnsi="Arial" w:cs="Arial"/>
        </w:rPr>
      </w:pPr>
    </w:p>
    <w:p w14:paraId="4049FF81" w14:textId="77777777" w:rsidR="00D676E7" w:rsidRDefault="00D676E7" w:rsidP="00D676E7">
      <w:pPr>
        <w:jc w:val="both"/>
        <w:rPr>
          <w:rFonts w:ascii="Arial" w:hAnsi="Arial" w:cs="Arial"/>
        </w:rPr>
      </w:pPr>
    </w:p>
    <w:p w14:paraId="1A814720" w14:textId="77777777" w:rsidR="00D676E7" w:rsidRDefault="00D676E7" w:rsidP="00D676E7">
      <w:pPr>
        <w:jc w:val="both"/>
        <w:rPr>
          <w:rFonts w:ascii="Arial" w:hAnsi="Arial" w:cs="Arial"/>
        </w:rPr>
      </w:pPr>
    </w:p>
    <w:p w14:paraId="42B8DE8D" w14:textId="77777777" w:rsidR="00D676E7" w:rsidRDefault="00D676E7" w:rsidP="00D676E7">
      <w:pPr>
        <w:jc w:val="both"/>
        <w:rPr>
          <w:rFonts w:ascii="Arial" w:hAnsi="Arial" w:cs="Arial"/>
        </w:rPr>
      </w:pPr>
    </w:p>
    <w:p w14:paraId="3B8252A9" w14:textId="77777777" w:rsidR="00D676E7" w:rsidRDefault="00D676E7" w:rsidP="00D676E7">
      <w:pPr>
        <w:jc w:val="both"/>
        <w:rPr>
          <w:rFonts w:ascii="Arial" w:hAnsi="Arial" w:cs="Arial"/>
        </w:rPr>
      </w:pPr>
    </w:p>
    <w:p w14:paraId="3EBB3EC6" w14:textId="77777777" w:rsidR="00D676E7" w:rsidRDefault="00D676E7" w:rsidP="00D676E7">
      <w:pPr>
        <w:jc w:val="both"/>
        <w:rPr>
          <w:rFonts w:ascii="Arial" w:hAnsi="Arial" w:cs="Arial"/>
        </w:rPr>
      </w:pPr>
    </w:p>
    <w:p w14:paraId="084CBFF1" w14:textId="77777777" w:rsidR="00D676E7" w:rsidRDefault="00D676E7" w:rsidP="00D676E7">
      <w:pPr>
        <w:jc w:val="both"/>
        <w:rPr>
          <w:rFonts w:ascii="Arial" w:hAnsi="Arial" w:cs="Arial"/>
        </w:rPr>
      </w:pPr>
    </w:p>
    <w:p w14:paraId="6956DF3D" w14:textId="77777777" w:rsidR="00D676E7" w:rsidRDefault="00D676E7" w:rsidP="00D676E7">
      <w:pPr>
        <w:jc w:val="both"/>
        <w:rPr>
          <w:rFonts w:ascii="Arial" w:hAnsi="Arial" w:cs="Arial"/>
        </w:rPr>
      </w:pPr>
    </w:p>
    <w:p w14:paraId="56835FD0" w14:textId="6561ED3E" w:rsidR="00D676E7" w:rsidRPr="00E56825" w:rsidRDefault="00D676E7" w:rsidP="00D676E7">
      <w:pPr>
        <w:jc w:val="both"/>
        <w:rPr>
          <w:rFonts w:ascii="Arial" w:hAnsi="Arial" w:cs="Arial"/>
        </w:rPr>
      </w:pPr>
      <w:r w:rsidRPr="00E56825">
        <w:rPr>
          <w:rFonts w:ascii="Arial" w:hAnsi="Arial" w:cs="Arial"/>
        </w:rPr>
        <w:t>Student name: Gabriel Catalin Manole</w:t>
      </w:r>
    </w:p>
    <w:p w14:paraId="08FF8003" w14:textId="77777777" w:rsidR="00D676E7" w:rsidRPr="00E56825" w:rsidRDefault="00D676E7" w:rsidP="00D676E7">
      <w:pPr>
        <w:jc w:val="both"/>
        <w:rPr>
          <w:rFonts w:ascii="Arial" w:hAnsi="Arial" w:cs="Arial"/>
        </w:rPr>
      </w:pPr>
      <w:r w:rsidRPr="00E56825">
        <w:rPr>
          <w:rFonts w:ascii="Arial" w:hAnsi="Arial" w:cs="Arial"/>
        </w:rPr>
        <w:t>Student ID: 2223641</w:t>
      </w:r>
    </w:p>
    <w:p w14:paraId="4CDEB793" w14:textId="526C3460" w:rsidR="00D676E7" w:rsidRPr="00E56825" w:rsidRDefault="00D676E7" w:rsidP="00D676E7">
      <w:pPr>
        <w:jc w:val="both"/>
        <w:rPr>
          <w:rFonts w:ascii="Arial" w:hAnsi="Arial" w:cs="Arial"/>
        </w:rPr>
      </w:pPr>
      <w:r w:rsidRPr="00E56825">
        <w:rPr>
          <w:rFonts w:ascii="Arial" w:hAnsi="Arial" w:cs="Arial"/>
        </w:rPr>
        <w:t>Module name:</w:t>
      </w:r>
      <w:r>
        <w:rPr>
          <w:rFonts w:ascii="Arial" w:hAnsi="Arial" w:cs="Arial"/>
        </w:rPr>
        <w:t xml:space="preserve"> Strategic management and sustainability</w:t>
      </w:r>
    </w:p>
    <w:p w14:paraId="17355CFE" w14:textId="5E870AA2" w:rsidR="00D676E7" w:rsidRPr="00E56825" w:rsidRDefault="00D676E7" w:rsidP="00D676E7">
      <w:pPr>
        <w:jc w:val="both"/>
        <w:rPr>
          <w:rFonts w:ascii="Arial" w:hAnsi="Arial" w:cs="Arial"/>
        </w:rPr>
      </w:pPr>
      <w:r w:rsidRPr="00E56825">
        <w:rPr>
          <w:rFonts w:ascii="Arial" w:hAnsi="Arial" w:cs="Arial"/>
        </w:rPr>
        <w:t>Module code:</w:t>
      </w:r>
      <w:r>
        <w:rPr>
          <w:rFonts w:ascii="Arial" w:hAnsi="Arial" w:cs="Arial"/>
        </w:rPr>
        <w:t xml:space="preserve"> LCBB 6015</w:t>
      </w:r>
    </w:p>
    <w:p w14:paraId="60B0F5EA" w14:textId="77777777" w:rsidR="0014086D" w:rsidRDefault="0014086D"/>
    <w:p w14:paraId="2DDD468E" w14:textId="77777777" w:rsidR="00B33FEE" w:rsidRDefault="00B33FEE"/>
    <w:p w14:paraId="1BDF734E" w14:textId="77777777" w:rsidR="00B33FEE" w:rsidRDefault="00B33FEE"/>
    <w:sdt>
      <w:sdtPr>
        <w:rPr>
          <w:rFonts w:asciiTheme="minorHAnsi" w:eastAsiaTheme="minorHAnsi" w:hAnsiTheme="minorHAnsi" w:cstheme="minorBidi"/>
          <w:color w:val="auto"/>
          <w:kern w:val="2"/>
          <w:sz w:val="24"/>
          <w:szCs w:val="24"/>
          <w:lang w:eastAsia="en-US"/>
          <w14:ligatures w14:val="standardContextual"/>
        </w:rPr>
        <w:id w:val="2113316226"/>
        <w:docPartObj>
          <w:docPartGallery w:val="Table of Contents"/>
          <w:docPartUnique/>
        </w:docPartObj>
      </w:sdtPr>
      <w:sdtEndPr>
        <w:rPr>
          <w:b/>
          <w:bCs/>
        </w:rPr>
      </w:sdtEndPr>
      <w:sdtContent>
        <w:p w14:paraId="51ED1637" w14:textId="75C91A1C" w:rsidR="00B33FEE" w:rsidRDefault="00B33FEE">
          <w:pPr>
            <w:pStyle w:val="TOCHeading"/>
          </w:pPr>
          <w:r>
            <w:t>Contents</w:t>
          </w:r>
        </w:p>
        <w:p w14:paraId="275413A1" w14:textId="17C632F2" w:rsidR="00FD31BE" w:rsidRDefault="00B33F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2879834" w:history="1">
            <w:r w:rsidR="00FD31BE" w:rsidRPr="00990000">
              <w:rPr>
                <w:rStyle w:val="Hyperlink"/>
                <w:rFonts w:ascii="Arial" w:hAnsi="Arial" w:cs="Arial"/>
                <w:noProof/>
              </w:rPr>
              <w:t>Executive summary</w:t>
            </w:r>
            <w:r w:rsidR="00FD31BE">
              <w:rPr>
                <w:noProof/>
                <w:webHidden/>
              </w:rPr>
              <w:tab/>
            </w:r>
            <w:r w:rsidR="00FD31BE">
              <w:rPr>
                <w:noProof/>
                <w:webHidden/>
              </w:rPr>
              <w:fldChar w:fldCharType="begin"/>
            </w:r>
            <w:r w:rsidR="00FD31BE">
              <w:rPr>
                <w:noProof/>
                <w:webHidden/>
              </w:rPr>
              <w:instrText xml:space="preserve"> PAGEREF _Toc242879834 \h </w:instrText>
            </w:r>
            <w:r w:rsidR="00FD31BE">
              <w:rPr>
                <w:noProof/>
                <w:webHidden/>
              </w:rPr>
            </w:r>
            <w:r w:rsidR="00FD31BE">
              <w:rPr>
                <w:noProof/>
                <w:webHidden/>
              </w:rPr>
              <w:fldChar w:fldCharType="separate"/>
            </w:r>
            <w:r w:rsidR="00FD31BE">
              <w:rPr>
                <w:noProof/>
                <w:webHidden/>
              </w:rPr>
              <w:t>2</w:t>
            </w:r>
            <w:r w:rsidR="00FD31BE">
              <w:rPr>
                <w:noProof/>
                <w:webHidden/>
              </w:rPr>
              <w:fldChar w:fldCharType="end"/>
            </w:r>
          </w:hyperlink>
        </w:p>
        <w:p w14:paraId="5F81BE09" w14:textId="0C8CA5B3" w:rsidR="00FD31BE" w:rsidRDefault="00FD31BE">
          <w:pPr>
            <w:pStyle w:val="TOC1"/>
            <w:tabs>
              <w:tab w:val="right" w:leader="dot" w:pos="9016"/>
            </w:tabs>
            <w:rPr>
              <w:rFonts w:eastAsiaTheme="minorEastAsia"/>
              <w:noProof/>
              <w:lang w:eastAsia="en-GB"/>
            </w:rPr>
          </w:pPr>
          <w:hyperlink w:anchor="_Toc242879835" w:history="1">
            <w:r w:rsidRPr="0099000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_Toc242879835 \h </w:instrText>
            </w:r>
            <w:r>
              <w:rPr>
                <w:noProof/>
                <w:webHidden/>
              </w:rPr>
            </w:r>
            <w:r>
              <w:rPr>
                <w:noProof/>
                <w:webHidden/>
              </w:rPr>
              <w:fldChar w:fldCharType="separate"/>
            </w:r>
            <w:r>
              <w:rPr>
                <w:noProof/>
                <w:webHidden/>
              </w:rPr>
              <w:t>4</w:t>
            </w:r>
            <w:r>
              <w:rPr>
                <w:noProof/>
                <w:webHidden/>
              </w:rPr>
              <w:fldChar w:fldCharType="end"/>
            </w:r>
          </w:hyperlink>
        </w:p>
        <w:p w14:paraId="0F64421A" w14:textId="24F9DADE" w:rsidR="00FD31BE" w:rsidRDefault="00FD31BE" w:rsidP="00FD31BE">
          <w:pPr>
            <w:pStyle w:val="TOC2"/>
            <w:tabs>
              <w:tab w:val="right" w:leader="dot" w:pos="9016"/>
            </w:tabs>
            <w:ind w:left="0"/>
            <w:rPr>
              <w:rFonts w:eastAsiaTheme="minorEastAsia"/>
              <w:noProof/>
              <w:lang w:eastAsia="en-GB"/>
            </w:rPr>
          </w:pPr>
          <w:hyperlink w:anchor="_Toc242879836" w:history="1">
            <w:r w:rsidRPr="00990000">
              <w:rPr>
                <w:rStyle w:val="Hyperlink"/>
                <w:rFonts w:ascii="Arial" w:hAnsi="Arial" w:cs="Arial"/>
                <w:noProof/>
              </w:rPr>
              <w:t>Strategic analysis</w:t>
            </w:r>
            <w:r>
              <w:rPr>
                <w:noProof/>
                <w:webHidden/>
              </w:rPr>
              <w:tab/>
            </w:r>
            <w:r>
              <w:rPr>
                <w:noProof/>
                <w:webHidden/>
              </w:rPr>
              <w:fldChar w:fldCharType="begin"/>
            </w:r>
            <w:r>
              <w:rPr>
                <w:noProof/>
                <w:webHidden/>
              </w:rPr>
              <w:instrText xml:space="preserve"> PAGEREF _Toc242879836 \h </w:instrText>
            </w:r>
            <w:r>
              <w:rPr>
                <w:noProof/>
                <w:webHidden/>
              </w:rPr>
            </w:r>
            <w:r>
              <w:rPr>
                <w:noProof/>
                <w:webHidden/>
              </w:rPr>
              <w:fldChar w:fldCharType="separate"/>
            </w:r>
            <w:r>
              <w:rPr>
                <w:noProof/>
                <w:webHidden/>
              </w:rPr>
              <w:t>5</w:t>
            </w:r>
            <w:r>
              <w:rPr>
                <w:noProof/>
                <w:webHidden/>
              </w:rPr>
              <w:fldChar w:fldCharType="end"/>
            </w:r>
          </w:hyperlink>
        </w:p>
        <w:p w14:paraId="1448A954" w14:textId="76B205BE" w:rsidR="00FD31BE" w:rsidRDefault="00FD31BE" w:rsidP="00FD31BE">
          <w:pPr>
            <w:pStyle w:val="TOC2"/>
            <w:tabs>
              <w:tab w:val="right" w:leader="dot" w:pos="9016"/>
            </w:tabs>
            <w:ind w:left="0"/>
            <w:rPr>
              <w:rFonts w:eastAsiaTheme="minorEastAsia"/>
              <w:noProof/>
              <w:lang w:eastAsia="en-GB"/>
            </w:rPr>
          </w:pPr>
          <w:hyperlink w:anchor="_Toc242879837" w:history="1">
            <w:r w:rsidRPr="00990000">
              <w:rPr>
                <w:rStyle w:val="Hyperlink"/>
                <w:rFonts w:ascii="Arial" w:hAnsi="Arial" w:cs="Arial"/>
                <w:noProof/>
              </w:rPr>
              <w:t>External environment audit</w:t>
            </w:r>
            <w:r>
              <w:rPr>
                <w:noProof/>
                <w:webHidden/>
              </w:rPr>
              <w:tab/>
            </w:r>
            <w:r>
              <w:rPr>
                <w:noProof/>
                <w:webHidden/>
              </w:rPr>
              <w:fldChar w:fldCharType="begin"/>
            </w:r>
            <w:r>
              <w:rPr>
                <w:noProof/>
                <w:webHidden/>
              </w:rPr>
              <w:instrText xml:space="preserve"> PAGEREF _Toc242879837 \h </w:instrText>
            </w:r>
            <w:r>
              <w:rPr>
                <w:noProof/>
                <w:webHidden/>
              </w:rPr>
            </w:r>
            <w:r>
              <w:rPr>
                <w:noProof/>
                <w:webHidden/>
              </w:rPr>
              <w:fldChar w:fldCharType="separate"/>
            </w:r>
            <w:r>
              <w:rPr>
                <w:noProof/>
                <w:webHidden/>
              </w:rPr>
              <w:t>5</w:t>
            </w:r>
            <w:r>
              <w:rPr>
                <w:noProof/>
                <w:webHidden/>
              </w:rPr>
              <w:fldChar w:fldCharType="end"/>
            </w:r>
          </w:hyperlink>
        </w:p>
        <w:p w14:paraId="4294B2BD" w14:textId="7CA4789A" w:rsidR="00FD31BE" w:rsidRDefault="00FD31BE" w:rsidP="00FD31BE">
          <w:pPr>
            <w:pStyle w:val="TOC2"/>
            <w:tabs>
              <w:tab w:val="right" w:leader="dot" w:pos="9016"/>
            </w:tabs>
            <w:ind w:left="0"/>
            <w:rPr>
              <w:rFonts w:eastAsiaTheme="minorEastAsia"/>
              <w:noProof/>
              <w:lang w:eastAsia="en-GB"/>
            </w:rPr>
          </w:pPr>
          <w:hyperlink w:anchor="_Toc242879838" w:history="1">
            <w:r w:rsidRPr="00990000">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_Toc242879838 \h </w:instrText>
            </w:r>
            <w:r>
              <w:rPr>
                <w:noProof/>
                <w:webHidden/>
              </w:rPr>
            </w:r>
            <w:r>
              <w:rPr>
                <w:noProof/>
                <w:webHidden/>
              </w:rPr>
              <w:fldChar w:fldCharType="separate"/>
            </w:r>
            <w:r>
              <w:rPr>
                <w:noProof/>
                <w:webHidden/>
              </w:rPr>
              <w:t>5</w:t>
            </w:r>
            <w:r>
              <w:rPr>
                <w:noProof/>
                <w:webHidden/>
              </w:rPr>
              <w:fldChar w:fldCharType="end"/>
            </w:r>
          </w:hyperlink>
        </w:p>
        <w:p w14:paraId="5D99D17A" w14:textId="24B795EE" w:rsidR="00FD31BE" w:rsidRDefault="00FD31BE" w:rsidP="00FD31BE">
          <w:pPr>
            <w:pStyle w:val="TOC2"/>
            <w:tabs>
              <w:tab w:val="right" w:leader="dot" w:pos="9016"/>
            </w:tabs>
            <w:ind w:left="0"/>
            <w:rPr>
              <w:rFonts w:eastAsiaTheme="minorEastAsia"/>
              <w:noProof/>
              <w:lang w:eastAsia="en-GB"/>
            </w:rPr>
          </w:pPr>
          <w:hyperlink w:anchor="_Toc242879839" w:history="1">
            <w:r w:rsidRPr="00990000">
              <w:rPr>
                <w:rStyle w:val="Hyperlink"/>
                <w:rFonts w:ascii="Arial" w:hAnsi="Arial" w:cs="Arial"/>
                <w:noProof/>
              </w:rPr>
              <w:t>PESTLE factors</w:t>
            </w:r>
            <w:r>
              <w:rPr>
                <w:noProof/>
                <w:webHidden/>
              </w:rPr>
              <w:tab/>
            </w:r>
            <w:r>
              <w:rPr>
                <w:noProof/>
                <w:webHidden/>
              </w:rPr>
              <w:fldChar w:fldCharType="begin"/>
            </w:r>
            <w:r>
              <w:rPr>
                <w:noProof/>
                <w:webHidden/>
              </w:rPr>
              <w:instrText xml:space="preserve"> PAGEREF _Toc242879839 \h </w:instrText>
            </w:r>
            <w:r>
              <w:rPr>
                <w:noProof/>
                <w:webHidden/>
              </w:rPr>
            </w:r>
            <w:r>
              <w:rPr>
                <w:noProof/>
                <w:webHidden/>
              </w:rPr>
              <w:fldChar w:fldCharType="separate"/>
            </w:r>
            <w:r>
              <w:rPr>
                <w:noProof/>
                <w:webHidden/>
              </w:rPr>
              <w:t>6</w:t>
            </w:r>
            <w:r>
              <w:rPr>
                <w:noProof/>
                <w:webHidden/>
              </w:rPr>
              <w:fldChar w:fldCharType="end"/>
            </w:r>
          </w:hyperlink>
        </w:p>
        <w:p w14:paraId="710626D6" w14:textId="33679B55" w:rsidR="00FD31BE" w:rsidRDefault="00FD31BE" w:rsidP="00FD31BE">
          <w:pPr>
            <w:pStyle w:val="TOC2"/>
            <w:tabs>
              <w:tab w:val="right" w:leader="dot" w:pos="9016"/>
            </w:tabs>
            <w:ind w:left="0"/>
            <w:rPr>
              <w:rFonts w:eastAsiaTheme="minorEastAsia"/>
              <w:noProof/>
              <w:lang w:eastAsia="en-GB"/>
            </w:rPr>
          </w:pPr>
          <w:hyperlink w:anchor="_Toc242879840" w:history="1">
            <w:r w:rsidRPr="00990000">
              <w:rPr>
                <w:rStyle w:val="Hyperlink"/>
                <w:rFonts w:ascii="Arial" w:hAnsi="Arial" w:cs="Arial"/>
                <w:noProof/>
              </w:rPr>
              <w:t>Porter’s Five Forces</w:t>
            </w:r>
            <w:r>
              <w:rPr>
                <w:noProof/>
                <w:webHidden/>
              </w:rPr>
              <w:tab/>
            </w:r>
            <w:r>
              <w:rPr>
                <w:noProof/>
                <w:webHidden/>
              </w:rPr>
              <w:fldChar w:fldCharType="begin"/>
            </w:r>
            <w:r>
              <w:rPr>
                <w:noProof/>
                <w:webHidden/>
              </w:rPr>
              <w:instrText xml:space="preserve"> PAGEREF _Toc242879840 \h </w:instrText>
            </w:r>
            <w:r>
              <w:rPr>
                <w:noProof/>
                <w:webHidden/>
              </w:rPr>
            </w:r>
            <w:r>
              <w:rPr>
                <w:noProof/>
                <w:webHidden/>
              </w:rPr>
              <w:fldChar w:fldCharType="separate"/>
            </w:r>
            <w:r>
              <w:rPr>
                <w:noProof/>
                <w:webHidden/>
              </w:rPr>
              <w:t>6</w:t>
            </w:r>
            <w:r>
              <w:rPr>
                <w:noProof/>
                <w:webHidden/>
              </w:rPr>
              <w:fldChar w:fldCharType="end"/>
            </w:r>
          </w:hyperlink>
        </w:p>
        <w:p w14:paraId="140CC0B4" w14:textId="3D2984E8" w:rsidR="00FD31BE" w:rsidRDefault="00FD31BE" w:rsidP="00FD31BE">
          <w:pPr>
            <w:pStyle w:val="TOC2"/>
            <w:tabs>
              <w:tab w:val="right" w:leader="dot" w:pos="9016"/>
            </w:tabs>
            <w:ind w:left="0"/>
            <w:rPr>
              <w:rFonts w:eastAsiaTheme="minorEastAsia"/>
              <w:noProof/>
              <w:lang w:eastAsia="en-GB"/>
            </w:rPr>
          </w:pPr>
          <w:hyperlink w:anchor="_Toc242879841" w:history="1">
            <w:r w:rsidRPr="00990000">
              <w:rPr>
                <w:rStyle w:val="Hyperlink"/>
                <w:rFonts w:ascii="Arial" w:hAnsi="Arial" w:cs="Arial"/>
                <w:noProof/>
              </w:rPr>
              <w:t>Internal environment audit</w:t>
            </w:r>
            <w:r>
              <w:rPr>
                <w:noProof/>
                <w:webHidden/>
              </w:rPr>
              <w:tab/>
            </w:r>
            <w:r>
              <w:rPr>
                <w:noProof/>
                <w:webHidden/>
              </w:rPr>
              <w:fldChar w:fldCharType="begin"/>
            </w:r>
            <w:r>
              <w:rPr>
                <w:noProof/>
                <w:webHidden/>
              </w:rPr>
              <w:instrText xml:space="preserve"> PAGEREF _Toc242879841 \h </w:instrText>
            </w:r>
            <w:r>
              <w:rPr>
                <w:noProof/>
                <w:webHidden/>
              </w:rPr>
            </w:r>
            <w:r>
              <w:rPr>
                <w:noProof/>
                <w:webHidden/>
              </w:rPr>
              <w:fldChar w:fldCharType="separate"/>
            </w:r>
            <w:r>
              <w:rPr>
                <w:noProof/>
                <w:webHidden/>
              </w:rPr>
              <w:t>7</w:t>
            </w:r>
            <w:r>
              <w:rPr>
                <w:noProof/>
                <w:webHidden/>
              </w:rPr>
              <w:fldChar w:fldCharType="end"/>
            </w:r>
          </w:hyperlink>
        </w:p>
        <w:p w14:paraId="48496EAA" w14:textId="338E3011" w:rsidR="00FD31BE" w:rsidRDefault="00FD31BE" w:rsidP="00FD31BE">
          <w:pPr>
            <w:pStyle w:val="TOC2"/>
            <w:tabs>
              <w:tab w:val="right" w:leader="dot" w:pos="9016"/>
            </w:tabs>
            <w:ind w:left="0"/>
            <w:rPr>
              <w:rFonts w:eastAsiaTheme="minorEastAsia"/>
              <w:noProof/>
              <w:lang w:eastAsia="en-GB"/>
            </w:rPr>
          </w:pPr>
          <w:hyperlink w:anchor="_Toc242879842" w:history="1">
            <w:r w:rsidRPr="00990000">
              <w:rPr>
                <w:rStyle w:val="Hyperlink"/>
                <w:rFonts w:ascii="Arial" w:hAnsi="Arial" w:cs="Arial"/>
                <w:noProof/>
              </w:rPr>
              <w:t>Value chain analysis</w:t>
            </w:r>
            <w:r>
              <w:rPr>
                <w:noProof/>
                <w:webHidden/>
              </w:rPr>
              <w:tab/>
            </w:r>
            <w:r>
              <w:rPr>
                <w:noProof/>
                <w:webHidden/>
              </w:rPr>
              <w:fldChar w:fldCharType="begin"/>
            </w:r>
            <w:r>
              <w:rPr>
                <w:noProof/>
                <w:webHidden/>
              </w:rPr>
              <w:instrText xml:space="preserve"> PAGEREF _Toc242879842 \h </w:instrText>
            </w:r>
            <w:r>
              <w:rPr>
                <w:noProof/>
                <w:webHidden/>
              </w:rPr>
            </w:r>
            <w:r>
              <w:rPr>
                <w:noProof/>
                <w:webHidden/>
              </w:rPr>
              <w:fldChar w:fldCharType="separate"/>
            </w:r>
            <w:r>
              <w:rPr>
                <w:noProof/>
                <w:webHidden/>
              </w:rPr>
              <w:t>7</w:t>
            </w:r>
            <w:r>
              <w:rPr>
                <w:noProof/>
                <w:webHidden/>
              </w:rPr>
              <w:fldChar w:fldCharType="end"/>
            </w:r>
          </w:hyperlink>
        </w:p>
        <w:p w14:paraId="44274F37" w14:textId="7A538659" w:rsidR="00FD31BE" w:rsidRDefault="00FD31BE" w:rsidP="00FD31BE">
          <w:pPr>
            <w:pStyle w:val="TOC2"/>
            <w:tabs>
              <w:tab w:val="right" w:leader="dot" w:pos="9016"/>
            </w:tabs>
            <w:ind w:left="0"/>
            <w:rPr>
              <w:rFonts w:eastAsiaTheme="minorEastAsia"/>
              <w:noProof/>
              <w:lang w:eastAsia="en-GB"/>
            </w:rPr>
          </w:pPr>
          <w:hyperlink w:anchor="_Toc242879843" w:history="1">
            <w:r w:rsidRPr="00990000">
              <w:rPr>
                <w:rStyle w:val="Hyperlink"/>
                <w:rFonts w:ascii="Arial" w:hAnsi="Arial" w:cs="Arial"/>
                <w:noProof/>
              </w:rPr>
              <w:t>Resource-based view and VRIO</w:t>
            </w:r>
            <w:r>
              <w:rPr>
                <w:noProof/>
                <w:webHidden/>
              </w:rPr>
              <w:tab/>
            </w:r>
            <w:r>
              <w:rPr>
                <w:noProof/>
                <w:webHidden/>
              </w:rPr>
              <w:fldChar w:fldCharType="begin"/>
            </w:r>
            <w:r>
              <w:rPr>
                <w:noProof/>
                <w:webHidden/>
              </w:rPr>
              <w:instrText xml:space="preserve"> PAGEREF _Toc242879843 \h </w:instrText>
            </w:r>
            <w:r>
              <w:rPr>
                <w:noProof/>
                <w:webHidden/>
              </w:rPr>
            </w:r>
            <w:r>
              <w:rPr>
                <w:noProof/>
                <w:webHidden/>
              </w:rPr>
              <w:fldChar w:fldCharType="separate"/>
            </w:r>
            <w:r>
              <w:rPr>
                <w:noProof/>
                <w:webHidden/>
              </w:rPr>
              <w:t>7</w:t>
            </w:r>
            <w:r>
              <w:rPr>
                <w:noProof/>
                <w:webHidden/>
              </w:rPr>
              <w:fldChar w:fldCharType="end"/>
            </w:r>
          </w:hyperlink>
        </w:p>
        <w:p w14:paraId="3316DA8E" w14:textId="0D7FBBEE" w:rsidR="00FD31BE" w:rsidRDefault="00FD31BE" w:rsidP="00FD31BE">
          <w:pPr>
            <w:pStyle w:val="TOC2"/>
            <w:tabs>
              <w:tab w:val="right" w:leader="dot" w:pos="9016"/>
            </w:tabs>
            <w:ind w:left="0"/>
            <w:rPr>
              <w:rFonts w:eastAsiaTheme="minorEastAsia"/>
              <w:noProof/>
              <w:lang w:eastAsia="en-GB"/>
            </w:rPr>
          </w:pPr>
          <w:hyperlink w:anchor="_Toc242879844" w:history="1">
            <w:r w:rsidRPr="00990000">
              <w:rPr>
                <w:rStyle w:val="Hyperlink"/>
                <w:rFonts w:ascii="Arial" w:hAnsi="Arial" w:cs="Arial"/>
                <w:noProof/>
              </w:rPr>
              <w:t>SWOT synthesis</w:t>
            </w:r>
            <w:r>
              <w:rPr>
                <w:noProof/>
                <w:webHidden/>
              </w:rPr>
              <w:tab/>
            </w:r>
            <w:r>
              <w:rPr>
                <w:noProof/>
                <w:webHidden/>
              </w:rPr>
              <w:fldChar w:fldCharType="begin"/>
            </w:r>
            <w:r>
              <w:rPr>
                <w:noProof/>
                <w:webHidden/>
              </w:rPr>
              <w:instrText xml:space="preserve"> PAGEREF _Toc242879844 \h </w:instrText>
            </w:r>
            <w:r>
              <w:rPr>
                <w:noProof/>
                <w:webHidden/>
              </w:rPr>
            </w:r>
            <w:r>
              <w:rPr>
                <w:noProof/>
                <w:webHidden/>
              </w:rPr>
              <w:fldChar w:fldCharType="separate"/>
            </w:r>
            <w:r>
              <w:rPr>
                <w:noProof/>
                <w:webHidden/>
              </w:rPr>
              <w:t>8</w:t>
            </w:r>
            <w:r>
              <w:rPr>
                <w:noProof/>
                <w:webHidden/>
              </w:rPr>
              <w:fldChar w:fldCharType="end"/>
            </w:r>
          </w:hyperlink>
        </w:p>
        <w:p w14:paraId="0ECB50CE" w14:textId="18253F9E" w:rsidR="00FD31BE" w:rsidRDefault="00FD31BE" w:rsidP="00FD31BE">
          <w:pPr>
            <w:pStyle w:val="TOC3"/>
            <w:tabs>
              <w:tab w:val="right" w:leader="dot" w:pos="9016"/>
            </w:tabs>
            <w:ind w:left="0"/>
            <w:rPr>
              <w:rFonts w:eastAsiaTheme="minorEastAsia"/>
              <w:noProof/>
              <w:lang w:eastAsia="en-GB"/>
            </w:rPr>
          </w:pPr>
          <w:hyperlink w:anchor="_Toc242879845" w:history="1">
            <w:r w:rsidRPr="00990000">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_Toc242879845 \h </w:instrText>
            </w:r>
            <w:r>
              <w:rPr>
                <w:noProof/>
                <w:webHidden/>
              </w:rPr>
            </w:r>
            <w:r>
              <w:rPr>
                <w:noProof/>
                <w:webHidden/>
              </w:rPr>
              <w:fldChar w:fldCharType="separate"/>
            </w:r>
            <w:r>
              <w:rPr>
                <w:noProof/>
                <w:webHidden/>
              </w:rPr>
              <w:t>10</w:t>
            </w:r>
            <w:r>
              <w:rPr>
                <w:noProof/>
                <w:webHidden/>
              </w:rPr>
              <w:fldChar w:fldCharType="end"/>
            </w:r>
          </w:hyperlink>
        </w:p>
        <w:p w14:paraId="28E7B2CC" w14:textId="53B7366D" w:rsidR="00FD31BE" w:rsidRDefault="00FD31BE" w:rsidP="00FD31BE">
          <w:pPr>
            <w:pStyle w:val="TOC3"/>
            <w:tabs>
              <w:tab w:val="right" w:leader="dot" w:pos="9016"/>
            </w:tabs>
            <w:ind w:left="0"/>
            <w:rPr>
              <w:rFonts w:eastAsiaTheme="minorEastAsia"/>
              <w:noProof/>
              <w:lang w:eastAsia="en-GB"/>
            </w:rPr>
          </w:pPr>
          <w:hyperlink w:anchor="_Toc242879846" w:history="1">
            <w:r w:rsidRPr="0099000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_Toc242879846 \h </w:instrText>
            </w:r>
            <w:r>
              <w:rPr>
                <w:noProof/>
                <w:webHidden/>
              </w:rPr>
            </w:r>
            <w:r>
              <w:rPr>
                <w:noProof/>
                <w:webHidden/>
              </w:rPr>
              <w:fldChar w:fldCharType="separate"/>
            </w:r>
            <w:r>
              <w:rPr>
                <w:noProof/>
                <w:webHidden/>
              </w:rPr>
              <w:t>11</w:t>
            </w:r>
            <w:r>
              <w:rPr>
                <w:noProof/>
                <w:webHidden/>
              </w:rPr>
              <w:fldChar w:fldCharType="end"/>
            </w:r>
          </w:hyperlink>
        </w:p>
        <w:p w14:paraId="0F7A1454" w14:textId="5BC30C48" w:rsidR="00B33FEE" w:rsidRDefault="00B33FEE">
          <w:r>
            <w:rPr>
              <w:b/>
              <w:bCs/>
            </w:rPr>
            <w:fldChar w:fldCharType="end"/>
          </w:r>
        </w:p>
      </w:sdtContent>
    </w:sdt>
    <w:p w14:paraId="3B26074F" w14:textId="77777777" w:rsidR="00B33FEE" w:rsidRDefault="00B33FEE"/>
    <w:p w14:paraId="5BCE3127" w14:textId="77777777" w:rsidR="00B33FEE" w:rsidRDefault="00B33FEE"/>
    <w:p w14:paraId="16B9B15D" w14:textId="77777777" w:rsidR="00B33FEE" w:rsidRDefault="00B33FEE"/>
    <w:p w14:paraId="6A461FC8" w14:textId="77777777" w:rsidR="00B33FEE" w:rsidRDefault="00B33FEE"/>
    <w:p w14:paraId="2D3B6A42" w14:textId="77777777" w:rsidR="00B33FEE" w:rsidRDefault="00B33FEE"/>
    <w:p w14:paraId="4503F909" w14:textId="77777777" w:rsidR="00B33FEE" w:rsidRDefault="00B33FEE"/>
    <w:p w14:paraId="7012939A" w14:textId="77777777" w:rsidR="00B33FEE" w:rsidRDefault="00B33FEE"/>
    <w:p w14:paraId="3100980F" w14:textId="77777777" w:rsidR="00B33FEE" w:rsidRDefault="00B33FEE"/>
    <w:p w14:paraId="7B13E26D" w14:textId="77777777" w:rsidR="00B33FEE" w:rsidRDefault="00B33FEE"/>
    <w:p w14:paraId="3F6ECBA2" w14:textId="77777777" w:rsidR="00B33FEE" w:rsidRDefault="00B33FEE"/>
    <w:p w14:paraId="06B99813" w14:textId="77777777" w:rsidR="00B33FEE" w:rsidRDefault="00B33FEE"/>
    <w:p w14:paraId="2DAAC0B1" w14:textId="77777777" w:rsidR="00B33FEE" w:rsidRDefault="00B33FEE"/>
    <w:p w14:paraId="4D84275D" w14:textId="77777777" w:rsidR="00FD31BE" w:rsidRDefault="00FD31BE"/>
    <w:p w14:paraId="7726C826" w14:textId="3458E75F" w:rsidR="00B33FEE" w:rsidRDefault="00B33FEE" w:rsidP="00B33FEE">
      <w:pPr>
        <w:pStyle w:val="Heading1"/>
        <w:spacing w:line="360" w:lineRule="auto"/>
        <w:jc w:val="both"/>
        <w:rPr>
          <w:rFonts w:ascii="Arial" w:hAnsi="Arial" w:cs="Arial"/>
          <w:sz w:val="24"/>
          <w:szCs w:val="24"/>
        </w:rPr>
      </w:pPr>
      <w:bookmarkStart w:id="0" w:name="_Toc242879834"/>
      <w:r w:rsidRPr="00383F0F">
        <w:rPr>
          <w:rFonts w:ascii="Arial" w:hAnsi="Arial" w:cs="Arial"/>
          <w:sz w:val="24"/>
          <w:szCs w:val="24"/>
        </w:rPr>
        <w:lastRenderedPageBreak/>
        <w:t>Executive summary</w:t>
      </w:r>
      <w:bookmarkEnd w:id="0"/>
    </w:p>
    <w:p w14:paraId="15D022DA" w14:textId="7FC31681" w:rsidR="00383F0F" w:rsidRDefault="00383F0F" w:rsidP="00383F0F">
      <w:pPr>
        <w:spacing w:line="360" w:lineRule="auto"/>
        <w:jc w:val="both"/>
        <w:rPr>
          <w:rFonts w:ascii="Arial" w:hAnsi="Arial" w:cs="Arial"/>
          <w:sz w:val="22"/>
          <w:szCs w:val="22"/>
        </w:rPr>
      </w:pPr>
      <w:r>
        <w:rPr>
          <w:rFonts w:ascii="Arial" w:hAnsi="Arial" w:cs="Arial"/>
          <w:sz w:val="22"/>
          <w:szCs w:val="22"/>
        </w:rPr>
        <w:t xml:space="preserve">Reiss should pursue focused differentiation through versatile tailoring, occasion wear and personalised service, supported by NEXT’s operational infrastructure. External analysis identifies discretionary spending volatility, accessible alternatives and increasing scrutiny of environmental claims. Internal analysis highlights design identity and platform access, but neither automatically establishes sustained competitive advantage. SWOT synthesis favours improving existing products and customer relationships before accelerating international expansion. Price-led growth risks undermining the attainable luxury proposition. </w:t>
      </w:r>
    </w:p>
    <w:p w14:paraId="061E0AC0" w14:textId="6FEAC5F4" w:rsidR="00383F0F" w:rsidRDefault="00383F0F" w:rsidP="00383F0F">
      <w:pPr>
        <w:spacing w:line="360" w:lineRule="auto"/>
        <w:jc w:val="both"/>
        <w:rPr>
          <w:rFonts w:ascii="Arial" w:hAnsi="Arial" w:cs="Arial"/>
          <w:sz w:val="22"/>
          <w:szCs w:val="22"/>
        </w:rPr>
      </w:pPr>
      <w:r>
        <w:rPr>
          <w:rFonts w:ascii="Arial" w:hAnsi="Arial" w:cs="Arial"/>
          <w:sz w:val="22"/>
          <w:szCs w:val="22"/>
        </w:rPr>
        <w:t>Implementation should combine customer research, inventory discipline, controlled service pilots and supplier accountability. The recommendation prioritises profitable repeat purchasing, with responsibilities and thresholds to prevent growth from concealing operational weaknesses.</w:t>
      </w:r>
    </w:p>
    <w:p w14:paraId="05C7280C" w14:textId="77777777" w:rsidR="00383F0F" w:rsidRPr="00383F0F" w:rsidRDefault="00383F0F" w:rsidP="00383F0F">
      <w:pPr>
        <w:spacing w:line="360" w:lineRule="auto"/>
        <w:jc w:val="both"/>
        <w:rPr>
          <w:rFonts w:ascii="Arial" w:hAnsi="Arial" w:cs="Arial"/>
          <w:sz w:val="22"/>
          <w:szCs w:val="22"/>
        </w:rPr>
      </w:pPr>
    </w:p>
    <w:p w14:paraId="027C7628" w14:textId="3A8A5AD9" w:rsidR="00B33FEE" w:rsidRDefault="00B33FEE" w:rsidP="00B33FEE">
      <w:pPr>
        <w:spacing w:line="360" w:lineRule="auto"/>
        <w:jc w:val="both"/>
        <w:rPr>
          <w:rFonts w:ascii="Arial" w:hAnsi="Arial" w:cs="Arial"/>
          <w:sz w:val="22"/>
          <w:szCs w:val="22"/>
        </w:rPr>
      </w:pPr>
    </w:p>
    <w:p w14:paraId="18B8874A" w14:textId="77777777" w:rsidR="00B33FEE" w:rsidRDefault="00B33FEE" w:rsidP="00B33FEE">
      <w:pPr>
        <w:spacing w:line="360" w:lineRule="auto"/>
        <w:jc w:val="both"/>
        <w:rPr>
          <w:rFonts w:ascii="Arial" w:hAnsi="Arial" w:cs="Arial"/>
          <w:sz w:val="22"/>
          <w:szCs w:val="22"/>
        </w:rPr>
      </w:pPr>
    </w:p>
    <w:p w14:paraId="5C304F16" w14:textId="77777777" w:rsidR="00B33FEE" w:rsidRDefault="00B33FEE" w:rsidP="00B33FEE">
      <w:pPr>
        <w:spacing w:line="360" w:lineRule="auto"/>
        <w:jc w:val="both"/>
        <w:rPr>
          <w:rFonts w:ascii="Arial" w:hAnsi="Arial" w:cs="Arial"/>
          <w:sz w:val="22"/>
          <w:szCs w:val="22"/>
        </w:rPr>
      </w:pPr>
    </w:p>
    <w:p w14:paraId="564A0CB3" w14:textId="77777777" w:rsidR="00B33FEE" w:rsidRDefault="00B33FEE" w:rsidP="00B33FEE">
      <w:pPr>
        <w:spacing w:line="360" w:lineRule="auto"/>
        <w:jc w:val="both"/>
        <w:rPr>
          <w:rFonts w:ascii="Arial" w:hAnsi="Arial" w:cs="Arial"/>
          <w:sz w:val="22"/>
          <w:szCs w:val="22"/>
        </w:rPr>
      </w:pPr>
    </w:p>
    <w:p w14:paraId="3DD69F06" w14:textId="77777777" w:rsidR="00B33FEE" w:rsidRDefault="00B33FEE" w:rsidP="00B33FEE">
      <w:pPr>
        <w:spacing w:line="360" w:lineRule="auto"/>
        <w:jc w:val="both"/>
        <w:rPr>
          <w:rFonts w:ascii="Arial" w:hAnsi="Arial" w:cs="Arial"/>
          <w:sz w:val="22"/>
          <w:szCs w:val="22"/>
        </w:rPr>
      </w:pPr>
    </w:p>
    <w:p w14:paraId="1B66A902" w14:textId="77777777" w:rsidR="00B33FEE" w:rsidRDefault="00B33FEE" w:rsidP="00B33FEE">
      <w:pPr>
        <w:spacing w:line="360" w:lineRule="auto"/>
        <w:jc w:val="both"/>
        <w:rPr>
          <w:rFonts w:ascii="Arial" w:hAnsi="Arial" w:cs="Arial"/>
          <w:sz w:val="22"/>
          <w:szCs w:val="22"/>
        </w:rPr>
      </w:pPr>
    </w:p>
    <w:p w14:paraId="449A31A1" w14:textId="77777777" w:rsidR="00B33FEE" w:rsidRDefault="00B33FEE" w:rsidP="00B33FEE">
      <w:pPr>
        <w:spacing w:line="360" w:lineRule="auto"/>
        <w:jc w:val="both"/>
        <w:rPr>
          <w:rFonts w:ascii="Arial" w:hAnsi="Arial" w:cs="Arial"/>
          <w:sz w:val="22"/>
          <w:szCs w:val="22"/>
        </w:rPr>
      </w:pPr>
    </w:p>
    <w:p w14:paraId="35A5816A" w14:textId="77777777" w:rsidR="00B33FEE" w:rsidRDefault="00B33FEE" w:rsidP="00B33FEE">
      <w:pPr>
        <w:spacing w:line="360" w:lineRule="auto"/>
        <w:jc w:val="both"/>
        <w:rPr>
          <w:rFonts w:ascii="Arial" w:hAnsi="Arial" w:cs="Arial"/>
          <w:sz w:val="22"/>
          <w:szCs w:val="22"/>
        </w:rPr>
      </w:pPr>
    </w:p>
    <w:p w14:paraId="458249F0" w14:textId="77777777" w:rsidR="00B33FEE" w:rsidRDefault="00B33FEE" w:rsidP="00B33FEE">
      <w:pPr>
        <w:spacing w:line="360" w:lineRule="auto"/>
        <w:jc w:val="both"/>
        <w:rPr>
          <w:rFonts w:ascii="Arial" w:hAnsi="Arial" w:cs="Arial"/>
          <w:sz w:val="22"/>
          <w:szCs w:val="22"/>
        </w:rPr>
      </w:pPr>
    </w:p>
    <w:p w14:paraId="73736E0F" w14:textId="77777777" w:rsidR="00B33FEE" w:rsidRDefault="00B33FEE" w:rsidP="00B33FEE">
      <w:pPr>
        <w:spacing w:line="360" w:lineRule="auto"/>
        <w:jc w:val="both"/>
        <w:rPr>
          <w:rFonts w:ascii="Arial" w:hAnsi="Arial" w:cs="Arial"/>
          <w:sz w:val="22"/>
          <w:szCs w:val="22"/>
        </w:rPr>
      </w:pPr>
    </w:p>
    <w:p w14:paraId="21CD25D5" w14:textId="77777777" w:rsidR="00B33FEE" w:rsidRDefault="00B33FEE" w:rsidP="00B33FEE">
      <w:pPr>
        <w:spacing w:line="360" w:lineRule="auto"/>
        <w:jc w:val="both"/>
        <w:rPr>
          <w:rFonts w:ascii="Arial" w:hAnsi="Arial" w:cs="Arial"/>
          <w:sz w:val="22"/>
          <w:szCs w:val="22"/>
        </w:rPr>
      </w:pPr>
    </w:p>
    <w:p w14:paraId="3600164A" w14:textId="77777777" w:rsidR="00B33FEE" w:rsidRDefault="00B33FEE" w:rsidP="00B33FEE">
      <w:pPr>
        <w:spacing w:line="360" w:lineRule="auto"/>
        <w:jc w:val="both"/>
        <w:rPr>
          <w:rFonts w:ascii="Arial" w:hAnsi="Arial" w:cs="Arial"/>
          <w:sz w:val="22"/>
          <w:szCs w:val="22"/>
        </w:rPr>
      </w:pPr>
    </w:p>
    <w:p w14:paraId="5DA804F6" w14:textId="77777777" w:rsidR="00B33FEE" w:rsidRDefault="00B33FEE" w:rsidP="00B33FEE">
      <w:pPr>
        <w:spacing w:line="360" w:lineRule="auto"/>
        <w:jc w:val="both"/>
        <w:rPr>
          <w:rFonts w:ascii="Arial" w:hAnsi="Arial" w:cs="Arial"/>
          <w:sz w:val="22"/>
          <w:szCs w:val="22"/>
        </w:rPr>
      </w:pPr>
    </w:p>
    <w:p w14:paraId="6CF104A4" w14:textId="77777777" w:rsidR="00B33FEE" w:rsidRDefault="00B33FEE" w:rsidP="00B33FEE">
      <w:pPr>
        <w:spacing w:line="360" w:lineRule="auto"/>
        <w:jc w:val="both"/>
        <w:rPr>
          <w:rFonts w:ascii="Arial" w:hAnsi="Arial" w:cs="Arial"/>
          <w:sz w:val="22"/>
          <w:szCs w:val="22"/>
        </w:rPr>
      </w:pPr>
    </w:p>
    <w:p w14:paraId="7C7AE760" w14:textId="77777777" w:rsidR="00B33FEE" w:rsidRDefault="00B33FEE" w:rsidP="00B33FEE">
      <w:pPr>
        <w:spacing w:line="360" w:lineRule="auto"/>
        <w:jc w:val="both"/>
        <w:rPr>
          <w:rFonts w:ascii="Arial" w:hAnsi="Arial" w:cs="Arial"/>
          <w:sz w:val="22"/>
          <w:szCs w:val="22"/>
        </w:rPr>
      </w:pPr>
    </w:p>
    <w:p w14:paraId="543B43FB" w14:textId="77777777" w:rsidR="00B33FEE" w:rsidRDefault="00B33FEE" w:rsidP="00B33FEE">
      <w:pPr>
        <w:spacing w:line="360" w:lineRule="auto"/>
        <w:jc w:val="both"/>
        <w:rPr>
          <w:rFonts w:ascii="Arial" w:hAnsi="Arial" w:cs="Arial"/>
          <w:sz w:val="22"/>
          <w:szCs w:val="22"/>
        </w:rPr>
      </w:pPr>
    </w:p>
    <w:p w14:paraId="77F8B942" w14:textId="6620A165" w:rsidR="00B33FEE" w:rsidRPr="00383F0F" w:rsidRDefault="00B33FEE" w:rsidP="00B33FEE">
      <w:pPr>
        <w:pStyle w:val="Heading1"/>
        <w:rPr>
          <w:rFonts w:ascii="Arial" w:hAnsi="Arial" w:cs="Arial"/>
          <w:sz w:val="24"/>
          <w:szCs w:val="24"/>
        </w:rPr>
      </w:pPr>
      <w:bookmarkStart w:id="1" w:name="_Toc242879835"/>
      <w:r w:rsidRPr="00383F0F">
        <w:rPr>
          <w:rFonts w:ascii="Arial" w:hAnsi="Arial" w:cs="Arial"/>
          <w:sz w:val="24"/>
          <w:szCs w:val="24"/>
        </w:rPr>
        <w:lastRenderedPageBreak/>
        <w:t>Introduction</w:t>
      </w:r>
      <w:bookmarkEnd w:id="1"/>
      <w:r w:rsidRPr="00383F0F">
        <w:rPr>
          <w:rFonts w:ascii="Arial" w:hAnsi="Arial" w:cs="Arial"/>
          <w:sz w:val="24"/>
          <w:szCs w:val="24"/>
        </w:rPr>
        <w:t xml:space="preserve">  </w:t>
      </w:r>
    </w:p>
    <w:p w14:paraId="7665AB4B" w14:textId="278D7613" w:rsidR="00D95493" w:rsidRDefault="00383F0F" w:rsidP="00B33FEE">
      <w:pPr>
        <w:spacing w:line="360" w:lineRule="auto"/>
        <w:jc w:val="both"/>
        <w:rPr>
          <w:rFonts w:ascii="Arial" w:hAnsi="Arial" w:cs="Arial"/>
          <w:sz w:val="22"/>
          <w:szCs w:val="22"/>
        </w:rPr>
      </w:pPr>
      <w:r>
        <w:rPr>
          <w:rFonts w:ascii="Arial" w:hAnsi="Arial" w:cs="Arial"/>
          <w:sz w:val="22"/>
          <w:szCs w:val="22"/>
        </w:rPr>
        <w:t>Strategic management connects environmental conditions, organisational capabilities and investment decisions. It helps managers priorities opportunities, coordinate functions and evaluate trade-offs. Porter (1985) locates competitive advantage within value-creating activities, while Teece, Pisano and Shuen (1997) emphasise the processes enabling adaptation. For Reiss, strategic effectiveness therefore requires both a coherent customer proposition and the capacity to revise products and operations as demand changes.</w:t>
      </w:r>
    </w:p>
    <w:p w14:paraId="1B815289" w14:textId="00689024" w:rsidR="00383F0F" w:rsidRDefault="00383F0F" w:rsidP="00B33FEE">
      <w:pPr>
        <w:spacing w:line="360" w:lineRule="auto"/>
        <w:jc w:val="both"/>
        <w:rPr>
          <w:rFonts w:ascii="Arial" w:hAnsi="Arial" w:cs="Arial"/>
          <w:sz w:val="22"/>
          <w:szCs w:val="22"/>
        </w:rPr>
      </w:pPr>
      <w:r>
        <w:rPr>
          <w:rFonts w:ascii="Arial" w:hAnsi="Arial" w:cs="Arial"/>
          <w:sz w:val="22"/>
          <w:szCs w:val="22"/>
        </w:rPr>
        <w:t xml:space="preserve">Founded in 1971 as a London menswear retailer, Reiss introduced womenswear and international operations (Reiss, </w:t>
      </w:r>
      <w:proofErr w:type="spellStart"/>
      <w:r>
        <w:rPr>
          <w:rFonts w:ascii="Arial" w:hAnsi="Arial" w:cs="Arial"/>
          <w:sz w:val="22"/>
          <w:szCs w:val="22"/>
        </w:rPr>
        <w:t>n.d.b</w:t>
      </w:r>
      <w:proofErr w:type="spellEnd"/>
      <w:r>
        <w:rPr>
          <w:rFonts w:ascii="Arial" w:hAnsi="Arial" w:cs="Arial"/>
          <w:sz w:val="22"/>
          <w:szCs w:val="22"/>
        </w:rPr>
        <w:t>). NEXT’s latest interim disclosure records a 74.3% equity interest and identifies Reiss as an independently operated business using Total Platform (NEXT, 2026). Reiss should therefore be analysed as a distinct brand within a wider operational relationship, rather than equated with NEXT’s entire retail business.</w:t>
      </w:r>
    </w:p>
    <w:p w14:paraId="14C7C019" w14:textId="6BA9BF57" w:rsidR="00383F0F" w:rsidRPr="00383F0F" w:rsidRDefault="00383F0F" w:rsidP="00B33FEE">
      <w:pPr>
        <w:spacing w:line="360" w:lineRule="auto"/>
        <w:jc w:val="both"/>
        <w:rPr>
          <w:rFonts w:ascii="Arial" w:hAnsi="Arial" w:cs="Arial"/>
          <w:sz w:val="22"/>
          <w:szCs w:val="22"/>
        </w:rPr>
      </w:pPr>
      <w:r>
        <w:rPr>
          <w:rFonts w:ascii="Arial" w:hAnsi="Arial" w:cs="Arial"/>
          <w:sz w:val="22"/>
          <w:szCs w:val="22"/>
        </w:rPr>
        <w:t xml:space="preserve">Reiss states its vision and purpose </w:t>
      </w:r>
      <w:proofErr w:type="gramStart"/>
      <w:r>
        <w:rPr>
          <w:rFonts w:ascii="Arial" w:hAnsi="Arial" w:cs="Arial"/>
          <w:sz w:val="22"/>
          <w:szCs w:val="22"/>
        </w:rPr>
        <w:t>as ’</w:t>
      </w:r>
      <w:proofErr w:type="gramEnd"/>
      <w:r>
        <w:rPr>
          <w:rFonts w:ascii="Arial" w:hAnsi="Arial" w:cs="Arial"/>
          <w:sz w:val="22"/>
          <w:szCs w:val="22"/>
        </w:rPr>
        <w:t xml:space="preserve">’Enduring Style, Responsible Business’’ (Reiss, </w:t>
      </w:r>
      <w:proofErr w:type="spellStart"/>
      <w:r>
        <w:rPr>
          <w:rFonts w:ascii="Arial" w:hAnsi="Arial" w:cs="Arial"/>
          <w:sz w:val="22"/>
          <w:szCs w:val="22"/>
        </w:rPr>
        <w:t>n.d.b.</w:t>
      </w:r>
      <w:proofErr w:type="spellEnd"/>
      <w:r>
        <w:rPr>
          <w:rFonts w:ascii="Arial" w:hAnsi="Arial" w:cs="Arial"/>
          <w:sz w:val="22"/>
          <w:szCs w:val="22"/>
        </w:rPr>
        <w:t>). its mission can be interpreted as delivering versatile, design-led clothing with enduring quality while improving ethical business practices. This interpretation reflects published commitments, not a separately labelled corporate mission. Strategic objectives implied by these commitments include protecting design quality, strengthening customer value and improving responsible sourcing. The measurable objectives recommended below are proposals, not company targets. This report combines academic frameworks, official statistics and corporate disclosures, recognising that management narratives establish intentions more reliably than independent evidence of competitive superiority.</w:t>
      </w:r>
    </w:p>
    <w:p w14:paraId="250125A1" w14:textId="77777777" w:rsidR="00D95493" w:rsidRDefault="00D95493" w:rsidP="00B33FEE">
      <w:pPr>
        <w:spacing w:line="360" w:lineRule="auto"/>
        <w:jc w:val="both"/>
        <w:rPr>
          <w:rFonts w:ascii="Arial" w:hAnsi="Arial" w:cs="Arial"/>
        </w:rPr>
      </w:pPr>
    </w:p>
    <w:p w14:paraId="721292C4" w14:textId="77777777" w:rsidR="00D95493" w:rsidRDefault="00D95493" w:rsidP="00B33FEE">
      <w:pPr>
        <w:spacing w:line="360" w:lineRule="auto"/>
        <w:jc w:val="both"/>
        <w:rPr>
          <w:rFonts w:ascii="Arial" w:hAnsi="Arial" w:cs="Arial"/>
        </w:rPr>
      </w:pPr>
    </w:p>
    <w:p w14:paraId="79105FE8" w14:textId="77777777" w:rsidR="00D95493" w:rsidRDefault="00D95493" w:rsidP="00B33FEE">
      <w:pPr>
        <w:spacing w:line="360" w:lineRule="auto"/>
        <w:jc w:val="both"/>
        <w:rPr>
          <w:rFonts w:ascii="Arial" w:hAnsi="Arial" w:cs="Arial"/>
        </w:rPr>
      </w:pPr>
    </w:p>
    <w:p w14:paraId="1513EE74" w14:textId="77777777" w:rsidR="00D95493" w:rsidRDefault="00D95493" w:rsidP="00B33FEE">
      <w:pPr>
        <w:spacing w:line="360" w:lineRule="auto"/>
        <w:jc w:val="both"/>
        <w:rPr>
          <w:rFonts w:ascii="Arial" w:hAnsi="Arial" w:cs="Arial"/>
        </w:rPr>
      </w:pPr>
    </w:p>
    <w:p w14:paraId="421317FE" w14:textId="77777777" w:rsidR="00D95493" w:rsidRDefault="00D95493" w:rsidP="00B33FEE">
      <w:pPr>
        <w:spacing w:line="360" w:lineRule="auto"/>
        <w:jc w:val="both"/>
        <w:rPr>
          <w:rFonts w:ascii="Arial" w:hAnsi="Arial" w:cs="Arial"/>
        </w:rPr>
      </w:pPr>
    </w:p>
    <w:p w14:paraId="2CEB1F38" w14:textId="77777777" w:rsidR="00D95493" w:rsidRDefault="00D95493" w:rsidP="00B33FEE">
      <w:pPr>
        <w:spacing w:line="360" w:lineRule="auto"/>
        <w:jc w:val="both"/>
        <w:rPr>
          <w:rFonts w:ascii="Arial" w:hAnsi="Arial" w:cs="Arial"/>
        </w:rPr>
      </w:pPr>
    </w:p>
    <w:p w14:paraId="109566C1" w14:textId="77777777" w:rsidR="00D95493" w:rsidRDefault="00D95493" w:rsidP="00B33FEE">
      <w:pPr>
        <w:spacing w:line="360" w:lineRule="auto"/>
        <w:jc w:val="both"/>
        <w:rPr>
          <w:rFonts w:ascii="Arial" w:hAnsi="Arial" w:cs="Arial"/>
        </w:rPr>
      </w:pPr>
    </w:p>
    <w:p w14:paraId="149972F5" w14:textId="77777777" w:rsidR="00D95493" w:rsidRDefault="00D95493" w:rsidP="00B33FEE">
      <w:pPr>
        <w:spacing w:line="360" w:lineRule="auto"/>
        <w:jc w:val="both"/>
        <w:rPr>
          <w:rFonts w:ascii="Arial" w:hAnsi="Arial" w:cs="Arial"/>
        </w:rPr>
      </w:pPr>
    </w:p>
    <w:p w14:paraId="58C61E13" w14:textId="77777777" w:rsidR="00D95493" w:rsidRDefault="00D95493" w:rsidP="00B33FEE">
      <w:pPr>
        <w:spacing w:line="360" w:lineRule="auto"/>
        <w:jc w:val="both"/>
        <w:rPr>
          <w:rFonts w:ascii="Arial" w:hAnsi="Arial" w:cs="Arial"/>
        </w:rPr>
      </w:pPr>
    </w:p>
    <w:p w14:paraId="1F163606" w14:textId="77777777" w:rsidR="00D95493" w:rsidRDefault="00D95493" w:rsidP="00B33FEE">
      <w:pPr>
        <w:spacing w:line="360" w:lineRule="auto"/>
        <w:jc w:val="both"/>
        <w:rPr>
          <w:rFonts w:ascii="Arial" w:hAnsi="Arial" w:cs="Arial"/>
        </w:rPr>
      </w:pPr>
    </w:p>
    <w:p w14:paraId="0EC15B2F" w14:textId="69F1970C" w:rsidR="00D95493" w:rsidRDefault="00AF4C84" w:rsidP="00D95493">
      <w:pPr>
        <w:pStyle w:val="Heading2"/>
        <w:rPr>
          <w:rFonts w:ascii="Arial" w:hAnsi="Arial" w:cs="Arial"/>
          <w:sz w:val="28"/>
          <w:szCs w:val="28"/>
        </w:rPr>
      </w:pPr>
      <w:bookmarkStart w:id="2" w:name="_Toc242879836"/>
      <w:r>
        <w:rPr>
          <w:rFonts w:ascii="Arial" w:hAnsi="Arial" w:cs="Arial"/>
          <w:sz w:val="28"/>
          <w:szCs w:val="28"/>
        </w:rPr>
        <w:lastRenderedPageBreak/>
        <w:t>Strategic analysis</w:t>
      </w:r>
      <w:bookmarkEnd w:id="2"/>
    </w:p>
    <w:p w14:paraId="5D5A4AB1" w14:textId="4DA084D6" w:rsidR="00D95493" w:rsidRDefault="00AF4C84" w:rsidP="00D95493">
      <w:pPr>
        <w:pStyle w:val="Heading2"/>
        <w:rPr>
          <w:rFonts w:ascii="Arial" w:hAnsi="Arial" w:cs="Arial"/>
          <w:sz w:val="24"/>
          <w:szCs w:val="24"/>
        </w:rPr>
      </w:pPr>
      <w:bookmarkStart w:id="3" w:name="_Toc242879837"/>
      <w:r>
        <w:rPr>
          <w:rFonts w:ascii="Arial" w:hAnsi="Arial" w:cs="Arial"/>
          <w:sz w:val="24"/>
          <w:szCs w:val="24"/>
        </w:rPr>
        <w:t>External environment audit</w:t>
      </w:r>
      <w:bookmarkEnd w:id="3"/>
      <w:r>
        <w:rPr>
          <w:rFonts w:ascii="Arial" w:hAnsi="Arial" w:cs="Arial"/>
          <w:sz w:val="24"/>
          <w:szCs w:val="24"/>
        </w:rPr>
        <w:t xml:space="preserve"> </w:t>
      </w:r>
      <w:r w:rsidR="00D95493" w:rsidRPr="00D95493">
        <w:rPr>
          <w:rFonts w:ascii="Arial" w:hAnsi="Arial" w:cs="Arial"/>
          <w:sz w:val="24"/>
          <w:szCs w:val="24"/>
        </w:rPr>
        <w:t xml:space="preserve"> </w:t>
      </w:r>
    </w:p>
    <w:p w14:paraId="621D5DBE" w14:textId="79CEDE6C" w:rsidR="00D95493" w:rsidRDefault="00AF4C84" w:rsidP="00D95493">
      <w:pPr>
        <w:pStyle w:val="Heading2"/>
        <w:rPr>
          <w:rFonts w:ascii="Arial" w:hAnsi="Arial" w:cs="Arial"/>
          <w:sz w:val="24"/>
          <w:szCs w:val="24"/>
        </w:rPr>
      </w:pPr>
      <w:bookmarkStart w:id="4" w:name="_Toc242879838"/>
      <w:r>
        <w:rPr>
          <w:rFonts w:ascii="Arial" w:hAnsi="Arial" w:cs="Arial"/>
          <w:sz w:val="24"/>
          <w:szCs w:val="24"/>
        </w:rPr>
        <w:t>PESTLE analysis</w:t>
      </w:r>
      <w:bookmarkEnd w:id="4"/>
      <w:r>
        <w:rPr>
          <w:rFonts w:ascii="Arial" w:hAnsi="Arial" w:cs="Arial"/>
          <w:sz w:val="24"/>
          <w:szCs w:val="24"/>
        </w:rPr>
        <w:t xml:space="preserve"> </w:t>
      </w:r>
    </w:p>
    <w:p w14:paraId="461B7CDB" w14:textId="38F2190A" w:rsidR="00AF4C84" w:rsidRDefault="00AF4C84" w:rsidP="00AF4C84">
      <w:pPr>
        <w:spacing w:line="360" w:lineRule="auto"/>
        <w:jc w:val="both"/>
        <w:rPr>
          <w:rFonts w:ascii="Arial" w:hAnsi="Arial" w:cs="Arial"/>
          <w:sz w:val="22"/>
          <w:szCs w:val="22"/>
        </w:rPr>
      </w:pPr>
      <w:r>
        <w:rPr>
          <w:rFonts w:ascii="Arial" w:hAnsi="Arial" w:cs="Arial"/>
          <w:sz w:val="22"/>
          <w:szCs w:val="22"/>
        </w:rPr>
        <w:t>Political factors expose Reiss to international sourcing and distribution uncertainty. Its governance assessment identifies China, Turkey, India, Vietnam and Italy as its five largest sourcing regions by order volume (Reiss, n.d.). changes in trade conditions or transport access could therefore affect availability and landed costs. Supplier diversification can increase costs and complicate quality control. Management should assess dependencies at product level rather than assume geographic breadth guarantees protection.</w:t>
      </w:r>
    </w:p>
    <w:p w14:paraId="739F5DF0" w14:textId="6643B3FF" w:rsidR="00AF4C84" w:rsidRDefault="00AF4C84" w:rsidP="00AF4C84">
      <w:pPr>
        <w:spacing w:line="360" w:lineRule="auto"/>
        <w:jc w:val="both"/>
        <w:rPr>
          <w:rFonts w:ascii="Arial" w:hAnsi="Arial" w:cs="Arial"/>
          <w:sz w:val="22"/>
          <w:szCs w:val="22"/>
        </w:rPr>
      </w:pPr>
      <w:r>
        <w:rPr>
          <w:rFonts w:ascii="Arial" w:hAnsi="Arial" w:cs="Arial"/>
          <w:sz w:val="22"/>
          <w:szCs w:val="22"/>
        </w:rPr>
        <w:t xml:space="preserve">Economic factors affect willingness to pay for discretionary clothing. </w:t>
      </w:r>
      <w:r w:rsidR="00180E67">
        <w:rPr>
          <w:rFonts w:ascii="Arial" w:hAnsi="Arial" w:cs="Arial"/>
          <w:sz w:val="22"/>
          <w:szCs w:val="22"/>
        </w:rPr>
        <w:t>According to the Office for National Statistics (2026), UK retail sales volumes increased by 0.9% in the three months leading to August, whereas non-food retailers recorded growth of only 0.2%.</w:t>
      </w:r>
      <w:r>
        <w:rPr>
          <w:rFonts w:ascii="Arial" w:hAnsi="Arial" w:cs="Arial"/>
          <w:sz w:val="22"/>
          <w:szCs w:val="22"/>
        </w:rPr>
        <w:t xml:space="preserve"> this uneven performance cautions against treating aggregate recovery as evidence of strong premium fashion demand. NEXT (2026) also moderates its UK outlook, citing household financial pressures. Reiss’s customers may trade down or defer purchases, making demonstrable quality and wardrobe price increases.</w:t>
      </w:r>
    </w:p>
    <w:p w14:paraId="491040B1" w14:textId="19732A9B" w:rsidR="00AF4C84" w:rsidRDefault="00AF4C84" w:rsidP="00AF4C84">
      <w:pPr>
        <w:spacing w:line="360" w:lineRule="auto"/>
        <w:jc w:val="both"/>
        <w:rPr>
          <w:rFonts w:ascii="Arial" w:hAnsi="Arial" w:cs="Arial"/>
          <w:sz w:val="22"/>
          <w:szCs w:val="22"/>
        </w:rPr>
      </w:pPr>
      <w:r>
        <w:rPr>
          <w:rFonts w:ascii="Arial" w:hAnsi="Arial" w:cs="Arial"/>
          <w:sz w:val="22"/>
          <w:szCs w:val="22"/>
        </w:rPr>
        <w:t>Social factors create opportunities around clothing suitable for multiple occasions. Reiss explicitly promotes versatility and has expanded casualwear alongside its tailoring heritage (Reiss, n.d.</w:t>
      </w:r>
      <w:r w:rsidR="001056EA">
        <w:rPr>
          <w:rFonts w:ascii="Arial" w:hAnsi="Arial" w:cs="Arial"/>
          <w:sz w:val="22"/>
          <w:szCs w:val="22"/>
        </w:rPr>
        <w:t>-b</w:t>
      </w:r>
      <w:r>
        <w:rPr>
          <w:rFonts w:ascii="Arial" w:hAnsi="Arial" w:cs="Arial"/>
          <w:sz w:val="22"/>
          <w:szCs w:val="22"/>
        </w:rPr>
        <w:t xml:space="preserve">). however, brand positioning does not establish how customers </w:t>
      </w:r>
      <w:r w:rsidR="001056EA">
        <w:rPr>
          <w:rFonts w:ascii="Arial" w:hAnsi="Arial" w:cs="Arial"/>
          <w:sz w:val="22"/>
          <w:szCs w:val="22"/>
        </w:rPr>
        <w:t>dress</w:t>
      </w:r>
      <w:r>
        <w:rPr>
          <w:rFonts w:ascii="Arial" w:hAnsi="Arial" w:cs="Arial"/>
          <w:sz w:val="22"/>
          <w:szCs w:val="22"/>
        </w:rPr>
        <w:t xml:space="preserve"> or what the</w:t>
      </w:r>
      <w:r w:rsidR="001056EA">
        <w:rPr>
          <w:rFonts w:ascii="Arial" w:hAnsi="Arial" w:cs="Arial"/>
          <w:sz w:val="22"/>
          <w:szCs w:val="22"/>
        </w:rPr>
        <w:t>y</w:t>
      </w:r>
      <w:r>
        <w:rPr>
          <w:rFonts w:ascii="Arial" w:hAnsi="Arial" w:cs="Arial"/>
          <w:sz w:val="22"/>
          <w:szCs w:val="22"/>
        </w:rPr>
        <w:t xml:space="preserve"> will pay. Management should test demand across work, leisure and events rather than infer a universal preference for relaxed clothing. Excessive casualisation could weaken a recognisable tailoring proposition without producing distinctive alternatives.</w:t>
      </w:r>
    </w:p>
    <w:p w14:paraId="37EF9906" w14:textId="4E37ED0F" w:rsidR="00AF4C84" w:rsidRDefault="00AF4C84" w:rsidP="00AF4C84">
      <w:pPr>
        <w:spacing w:line="360" w:lineRule="auto"/>
        <w:jc w:val="both"/>
        <w:rPr>
          <w:rFonts w:ascii="Arial" w:hAnsi="Arial" w:cs="Arial"/>
          <w:sz w:val="22"/>
          <w:szCs w:val="22"/>
        </w:rPr>
      </w:pPr>
      <w:r>
        <w:rPr>
          <w:rFonts w:ascii="Arial" w:hAnsi="Arial" w:cs="Arial"/>
          <w:sz w:val="22"/>
          <w:szCs w:val="22"/>
        </w:rPr>
        <w:t xml:space="preserve">Technological factors favour coordinated stock, digital discovery and fulfilment. NEXT’s disclosure </w:t>
      </w:r>
      <w:r w:rsidR="001056EA">
        <w:rPr>
          <w:rFonts w:ascii="Arial" w:hAnsi="Arial" w:cs="Arial"/>
          <w:sz w:val="22"/>
          <w:szCs w:val="22"/>
        </w:rPr>
        <w:t>confirms</w:t>
      </w:r>
      <w:r>
        <w:rPr>
          <w:rFonts w:ascii="Arial" w:hAnsi="Arial" w:cs="Arial"/>
          <w:sz w:val="22"/>
          <w:szCs w:val="22"/>
        </w:rPr>
        <w:t xml:space="preserve"> Reiss’s access to Total Platform across online, stores and wholesale (NEXT, 2026</w:t>
      </w:r>
      <w:r w:rsidR="001056EA">
        <w:rPr>
          <w:rFonts w:ascii="Arial" w:hAnsi="Arial" w:cs="Arial"/>
          <w:sz w:val="22"/>
          <w:szCs w:val="22"/>
        </w:rPr>
        <w:t>)</w:t>
      </w:r>
      <w:r>
        <w:rPr>
          <w:rFonts w:ascii="Arial" w:hAnsi="Arial" w:cs="Arial"/>
          <w:sz w:val="22"/>
          <w:szCs w:val="22"/>
        </w:rPr>
        <w:t>. This potentially lowers the burden of building infrastructure independently. Nevertheless, technology creates value only when availability, product information and service meet customer expectations. Dependence on shared systems also introduces concentration risk. Platform service levels, incident response and data access should therefore form part of strategic governance.</w:t>
      </w:r>
    </w:p>
    <w:p w14:paraId="50BBBB53" w14:textId="10E85F85" w:rsidR="00AF4C84" w:rsidRDefault="00AF4C84" w:rsidP="00AF4C84">
      <w:pPr>
        <w:spacing w:line="360" w:lineRule="auto"/>
        <w:jc w:val="both"/>
        <w:rPr>
          <w:rFonts w:ascii="Arial" w:hAnsi="Arial" w:cs="Arial"/>
          <w:sz w:val="22"/>
          <w:szCs w:val="22"/>
        </w:rPr>
      </w:pPr>
      <w:r>
        <w:rPr>
          <w:rFonts w:ascii="Arial" w:hAnsi="Arial" w:cs="Arial"/>
          <w:sz w:val="22"/>
          <w:szCs w:val="22"/>
        </w:rPr>
        <w:t xml:space="preserve">Legal factors include accurate environmental marketing. The Competition and Markets Authority (2024) requires fashion businesses to examine their green claims and provides sector-specific guidance. Reiss should retain evidence supporting materials claims and avoid implying that one </w:t>
      </w:r>
      <w:r w:rsidR="00764641">
        <w:rPr>
          <w:rFonts w:ascii="Arial" w:hAnsi="Arial" w:cs="Arial"/>
          <w:sz w:val="22"/>
          <w:szCs w:val="22"/>
        </w:rPr>
        <w:t>improved</w:t>
      </w:r>
      <w:r>
        <w:rPr>
          <w:rFonts w:ascii="Arial" w:hAnsi="Arial" w:cs="Arial"/>
          <w:sz w:val="22"/>
          <w:szCs w:val="22"/>
        </w:rPr>
        <w:t xml:space="preserve"> attribute makes an entire garment sustainable. The regulator’s </w:t>
      </w:r>
      <w:r>
        <w:rPr>
          <w:rFonts w:ascii="Arial" w:hAnsi="Arial" w:cs="Arial"/>
          <w:sz w:val="22"/>
          <w:szCs w:val="22"/>
        </w:rPr>
        <w:lastRenderedPageBreak/>
        <w:t>action involving other retailers indicates sector expectations; it is not evidence of misconduct by Reiss. Verification costs are necessary investments in customer trust</w:t>
      </w:r>
      <w:r w:rsidR="00764641">
        <w:rPr>
          <w:rFonts w:ascii="Arial" w:hAnsi="Arial" w:cs="Arial"/>
          <w:sz w:val="22"/>
          <w:szCs w:val="22"/>
        </w:rPr>
        <w:t>.</w:t>
      </w:r>
    </w:p>
    <w:p w14:paraId="635C31B2" w14:textId="4D616F9B" w:rsidR="00764641" w:rsidRDefault="00764641" w:rsidP="00FD31BE">
      <w:pPr>
        <w:spacing w:line="360" w:lineRule="auto"/>
        <w:jc w:val="both"/>
        <w:rPr>
          <w:rFonts w:ascii="Arial" w:hAnsi="Arial" w:cs="Arial"/>
          <w:sz w:val="22"/>
          <w:szCs w:val="22"/>
        </w:rPr>
      </w:pPr>
      <w:r>
        <w:rPr>
          <w:rFonts w:ascii="Arial" w:hAnsi="Arial" w:cs="Arial"/>
          <w:sz w:val="22"/>
          <w:szCs w:val="22"/>
        </w:rPr>
        <w:t>Environmental factors challenge claims of enduring style. Reiss reports that 73% of main fabric materials met its preferred standards in 2025 (Reiss, n.d.</w:t>
      </w:r>
      <w:r w:rsidR="001056EA">
        <w:rPr>
          <w:rFonts w:ascii="Arial" w:hAnsi="Arial" w:cs="Arial"/>
          <w:sz w:val="22"/>
          <w:szCs w:val="22"/>
        </w:rPr>
        <w:t>-c</w:t>
      </w:r>
      <w:r>
        <w:rPr>
          <w:rFonts w:ascii="Arial" w:hAnsi="Arial" w:cs="Arial"/>
          <w:sz w:val="22"/>
          <w:szCs w:val="22"/>
        </w:rPr>
        <w:t xml:space="preserve">). this indicates sourcing progress but does not measure garment longevity or absolute environmental impact. </w:t>
      </w:r>
      <w:r w:rsidR="001056EA" w:rsidRPr="001056EA">
        <w:rPr>
          <w:rFonts w:ascii="Arial" w:hAnsi="Arial" w:cs="Arial"/>
          <w:sz w:val="22"/>
          <w:szCs w:val="22"/>
        </w:rPr>
        <w:t>Niinimäki</w:t>
      </w:r>
      <w:r>
        <w:rPr>
          <w:rFonts w:ascii="Arial" w:hAnsi="Arial" w:cs="Arial"/>
          <w:sz w:val="22"/>
          <w:szCs w:val="22"/>
        </w:rPr>
        <w:t xml:space="preserve"> et al. (2020) connect fashion’s impacts to production and consumption patterns, although their fast fashion evidence cannot be directly assigned to Reiss. Durability testing, reduced overproduction and transparent boundaries are therefore more informative than unqualified sustainability language.</w:t>
      </w:r>
    </w:p>
    <w:p w14:paraId="3AE3C86A" w14:textId="578D71B5" w:rsidR="00764641" w:rsidRPr="00764641" w:rsidRDefault="00764641" w:rsidP="00764641">
      <w:pPr>
        <w:spacing w:line="360" w:lineRule="auto"/>
        <w:jc w:val="both"/>
        <w:rPr>
          <w:rFonts w:ascii="Arial" w:hAnsi="Arial" w:cs="Arial"/>
          <w:sz w:val="22"/>
          <w:szCs w:val="22"/>
        </w:rPr>
      </w:pPr>
      <w:r>
        <w:rPr>
          <w:rFonts w:ascii="Arial" w:hAnsi="Arial" w:cs="Arial"/>
          <w:sz w:val="22"/>
          <w:szCs w:val="22"/>
        </w:rPr>
        <w:t xml:space="preserve">PESTLE factors </w:t>
      </w:r>
      <w:r w:rsidR="00D95232">
        <w:rPr>
          <w:rFonts w:ascii="Arial" w:hAnsi="Arial" w:cs="Arial"/>
          <w:sz w:val="22"/>
          <w:szCs w:val="22"/>
        </w:rPr>
        <w:t>interact</w:t>
      </w:r>
      <w:r>
        <w:rPr>
          <w:rFonts w:ascii="Arial" w:hAnsi="Arial" w:cs="Arial"/>
          <w:sz w:val="22"/>
          <w:szCs w:val="22"/>
        </w:rPr>
        <w:t xml:space="preserve"> weaker spending can encourage discounting, while excessive inventory increases waste. Yuksel (2012) criticises conventional PESTLE for insufficiently integrating relationships between factors. Accordingly, Reiss should prioritise customer value and inventory resilience rather than treat six headings as independent risks of equal importance.</w:t>
      </w:r>
    </w:p>
    <w:p w14:paraId="415DE2A8" w14:textId="77777777" w:rsidR="00764641" w:rsidRPr="00764641" w:rsidRDefault="00764641" w:rsidP="00764641"/>
    <w:p w14:paraId="56C3DCF3" w14:textId="315A73A5" w:rsidR="003F7B2E" w:rsidRPr="00764641" w:rsidRDefault="003F7B2E" w:rsidP="003F7B2E">
      <w:pPr>
        <w:pStyle w:val="Heading2"/>
        <w:rPr>
          <w:rFonts w:ascii="Arial" w:hAnsi="Arial" w:cs="Arial"/>
          <w:sz w:val="24"/>
          <w:szCs w:val="24"/>
        </w:rPr>
      </w:pPr>
      <w:bookmarkStart w:id="5" w:name="_Toc242879840"/>
      <w:r w:rsidRPr="00764641">
        <w:rPr>
          <w:rFonts w:ascii="Arial" w:hAnsi="Arial" w:cs="Arial"/>
          <w:sz w:val="24"/>
          <w:szCs w:val="24"/>
        </w:rPr>
        <w:t>Porter’s Five Forces</w:t>
      </w:r>
      <w:bookmarkEnd w:id="5"/>
      <w:r w:rsidRPr="00764641">
        <w:rPr>
          <w:rFonts w:ascii="Arial" w:hAnsi="Arial" w:cs="Arial"/>
          <w:sz w:val="24"/>
          <w:szCs w:val="24"/>
        </w:rPr>
        <w:t xml:space="preserve"> </w:t>
      </w:r>
    </w:p>
    <w:p w14:paraId="4D70667D" w14:textId="53E064CD" w:rsidR="00D95493" w:rsidRDefault="00764641" w:rsidP="00D95493">
      <w:pPr>
        <w:spacing w:line="360" w:lineRule="auto"/>
        <w:jc w:val="both"/>
        <w:rPr>
          <w:rFonts w:ascii="Arial" w:hAnsi="Arial" w:cs="Arial"/>
          <w:sz w:val="22"/>
          <w:szCs w:val="22"/>
        </w:rPr>
      </w:pPr>
      <w:r>
        <w:rPr>
          <w:rFonts w:ascii="Arial" w:hAnsi="Arial" w:cs="Arial"/>
          <w:sz w:val="22"/>
          <w:szCs w:val="22"/>
        </w:rPr>
        <w:t>The relevant industry is premium and attainable luxury clothing, serving UK consumers. Porter (2008) identifies five pressures on profitability. Their ratings below are qualitative judgements requiring validation through competitor and customer research.</w:t>
      </w:r>
    </w:p>
    <w:p w14:paraId="14110BED" w14:textId="5BCC0CE4" w:rsidR="00764641" w:rsidRDefault="00764641" w:rsidP="00D95493">
      <w:pPr>
        <w:spacing w:line="360" w:lineRule="auto"/>
        <w:jc w:val="both"/>
        <w:rPr>
          <w:rFonts w:ascii="Arial" w:hAnsi="Arial" w:cs="Arial"/>
          <w:sz w:val="22"/>
          <w:szCs w:val="22"/>
        </w:rPr>
      </w:pPr>
      <w:r>
        <w:rPr>
          <w:rFonts w:ascii="Arial" w:hAnsi="Arial" w:cs="Arial"/>
          <w:sz w:val="22"/>
          <w:szCs w:val="22"/>
        </w:rPr>
        <w:t>Rivalry is high because customers can compare numerous premium labels and higher-quality high-street ranges. Brands compete through design, service and promotion, while stores and inventory create continuing financial commitments. Reiss needs recognisable product expertise rather than a generic premium claim that competitors can reproduce.</w:t>
      </w:r>
    </w:p>
    <w:p w14:paraId="2650DED7" w14:textId="2CE70794" w:rsidR="00764641" w:rsidRDefault="00764641" w:rsidP="00D95493">
      <w:pPr>
        <w:spacing w:line="360" w:lineRule="auto"/>
        <w:jc w:val="both"/>
        <w:rPr>
          <w:rFonts w:ascii="Arial" w:hAnsi="Arial" w:cs="Arial"/>
          <w:sz w:val="22"/>
          <w:szCs w:val="22"/>
        </w:rPr>
      </w:pPr>
      <w:r>
        <w:rPr>
          <w:rFonts w:ascii="Arial" w:hAnsi="Arial" w:cs="Arial"/>
          <w:sz w:val="22"/>
          <w:szCs w:val="22"/>
        </w:rPr>
        <w:t xml:space="preserve">Buyer power is moderate to high in its practical effect. Individual shoppers rarely negotiate, but low switching costs and easy online comparison constrain pricing. Wholesale partners can exert additional influence over commercial terms and presentation. Distinctive fit and reliable service can encourage loyalty, although they cannot remove </w:t>
      </w:r>
      <w:proofErr w:type="spellStart"/>
      <w:r>
        <w:rPr>
          <w:rFonts w:ascii="Arial" w:hAnsi="Arial" w:cs="Arial"/>
          <w:sz w:val="22"/>
          <w:szCs w:val="22"/>
        </w:rPr>
        <w:t>customers</w:t>
      </w:r>
      <w:proofErr w:type="spellEnd"/>
      <w:r>
        <w:rPr>
          <w:rFonts w:ascii="Arial" w:hAnsi="Arial" w:cs="Arial"/>
          <w:sz w:val="22"/>
          <w:szCs w:val="22"/>
        </w:rPr>
        <w:t xml:space="preserve"> ability to postpone spending.</w:t>
      </w:r>
    </w:p>
    <w:p w14:paraId="2FB17872" w14:textId="5C5003AB" w:rsidR="00764641" w:rsidRDefault="00764641" w:rsidP="00D95493">
      <w:pPr>
        <w:spacing w:line="360" w:lineRule="auto"/>
        <w:jc w:val="both"/>
        <w:rPr>
          <w:rFonts w:ascii="Arial" w:hAnsi="Arial" w:cs="Arial"/>
          <w:sz w:val="22"/>
          <w:szCs w:val="22"/>
        </w:rPr>
      </w:pPr>
      <w:r>
        <w:rPr>
          <w:rFonts w:ascii="Arial" w:hAnsi="Arial" w:cs="Arial"/>
          <w:sz w:val="22"/>
          <w:szCs w:val="22"/>
        </w:rPr>
        <w:t>Supplier power is moderate and differentiated. Generic manufacturing capacity offers alternatives, whereas dependable fabric quality, technical skills and compliance capabilities are harder to replace quickly. Reiss’s identified labour and sourcing risks reinforce the importance of careful supplier selection (Reiss, n.d.</w:t>
      </w:r>
      <w:r w:rsidR="00D95232">
        <w:rPr>
          <w:rFonts w:ascii="Arial" w:hAnsi="Arial" w:cs="Arial"/>
          <w:sz w:val="22"/>
          <w:szCs w:val="22"/>
        </w:rPr>
        <w:t>-a</w:t>
      </w:r>
      <w:r>
        <w:rPr>
          <w:rFonts w:ascii="Arial" w:hAnsi="Arial" w:cs="Arial"/>
          <w:sz w:val="22"/>
          <w:szCs w:val="22"/>
        </w:rPr>
        <w:t>). aggressive purchasing targets could undermine the quality and working conditions supporting its positioning.</w:t>
      </w:r>
    </w:p>
    <w:p w14:paraId="7BE0C7DA" w14:textId="12068E23" w:rsidR="00764641" w:rsidRDefault="00764641" w:rsidP="00D95493">
      <w:pPr>
        <w:spacing w:line="360" w:lineRule="auto"/>
        <w:jc w:val="both"/>
        <w:rPr>
          <w:rFonts w:ascii="Arial" w:hAnsi="Arial" w:cs="Arial"/>
          <w:sz w:val="22"/>
          <w:szCs w:val="22"/>
        </w:rPr>
      </w:pPr>
      <w:r>
        <w:rPr>
          <w:rFonts w:ascii="Arial" w:hAnsi="Arial" w:cs="Arial"/>
          <w:sz w:val="22"/>
          <w:szCs w:val="22"/>
        </w:rPr>
        <w:lastRenderedPageBreak/>
        <w:t xml:space="preserve">New entry presents a moderate threat. Digital distribution enables small labels to launch without extensive store networks, but building recognition, dependable fit and profitable fulfilment takes investment. Reiss’s established customer relationships provide some protection, although a new competitor can capture a narrow </w:t>
      </w:r>
      <w:r w:rsidR="00FD31BE">
        <w:rPr>
          <w:rFonts w:ascii="Arial" w:hAnsi="Arial" w:cs="Arial"/>
          <w:sz w:val="22"/>
          <w:szCs w:val="22"/>
        </w:rPr>
        <w:t>occasion wear</w:t>
      </w:r>
      <w:r>
        <w:rPr>
          <w:rFonts w:ascii="Arial" w:hAnsi="Arial" w:cs="Arial"/>
          <w:sz w:val="22"/>
          <w:szCs w:val="22"/>
        </w:rPr>
        <w:t xml:space="preserve"> niche without replicating its complete business.</w:t>
      </w:r>
    </w:p>
    <w:p w14:paraId="241E9CC6" w14:textId="0BB4A01B" w:rsidR="00764641" w:rsidRDefault="00FD31BE" w:rsidP="00D95493">
      <w:pPr>
        <w:spacing w:line="360" w:lineRule="auto"/>
        <w:jc w:val="both"/>
        <w:rPr>
          <w:rFonts w:ascii="Arial" w:hAnsi="Arial" w:cs="Arial"/>
          <w:sz w:val="22"/>
          <w:szCs w:val="22"/>
        </w:rPr>
      </w:pPr>
      <w:r>
        <w:rPr>
          <w:rFonts w:ascii="Arial" w:hAnsi="Arial" w:cs="Arial"/>
          <w:sz w:val="22"/>
          <w:szCs w:val="22"/>
        </w:rPr>
        <w:t>Substitution is high because rental, resale and existing wardrobes can satisfy clothing needs. Travel or entertainment also compete for discretionary budgets. Rival new clothing brands belong under rivalry, whereas alternative consumption models alter the underlying purchase decision. Harvard Business School (n.d., ‘’Threat of Substitute Products or Services’’) defines a substitute as meeting the same need in a different way. The framework supports clearer choices, but industry boundaries must be revisited as resale and retail converge.</w:t>
      </w:r>
    </w:p>
    <w:p w14:paraId="292EB0B8" w14:textId="77777777" w:rsidR="00FD31BE" w:rsidRPr="00764641" w:rsidRDefault="00FD31BE" w:rsidP="00D95493">
      <w:pPr>
        <w:spacing w:line="360" w:lineRule="auto"/>
        <w:jc w:val="both"/>
        <w:rPr>
          <w:rFonts w:ascii="Arial" w:hAnsi="Arial" w:cs="Arial"/>
          <w:sz w:val="22"/>
          <w:szCs w:val="22"/>
        </w:rPr>
      </w:pPr>
    </w:p>
    <w:p w14:paraId="04B0A914" w14:textId="0926E735" w:rsidR="00166DE2" w:rsidRDefault="00166DE2" w:rsidP="00166DE2">
      <w:pPr>
        <w:pStyle w:val="Heading2"/>
        <w:rPr>
          <w:rFonts w:ascii="Arial" w:hAnsi="Arial" w:cs="Arial"/>
          <w:sz w:val="28"/>
          <w:szCs w:val="28"/>
        </w:rPr>
      </w:pPr>
      <w:bookmarkStart w:id="6" w:name="_Toc242879841"/>
      <w:r w:rsidRPr="00166DE2">
        <w:rPr>
          <w:rFonts w:ascii="Arial" w:hAnsi="Arial" w:cs="Arial"/>
          <w:sz w:val="28"/>
          <w:szCs w:val="28"/>
        </w:rPr>
        <w:t>Internal environment audit</w:t>
      </w:r>
      <w:bookmarkEnd w:id="6"/>
      <w:r w:rsidRPr="00166DE2">
        <w:rPr>
          <w:rFonts w:ascii="Arial" w:hAnsi="Arial" w:cs="Arial"/>
          <w:sz w:val="28"/>
          <w:szCs w:val="28"/>
        </w:rPr>
        <w:t xml:space="preserve"> </w:t>
      </w:r>
    </w:p>
    <w:p w14:paraId="545C440C" w14:textId="19D836B0" w:rsidR="00166DE2" w:rsidRDefault="00166DE2" w:rsidP="00166DE2">
      <w:pPr>
        <w:pStyle w:val="Heading2"/>
        <w:rPr>
          <w:rFonts w:ascii="Arial" w:hAnsi="Arial" w:cs="Arial"/>
          <w:sz w:val="24"/>
          <w:szCs w:val="24"/>
        </w:rPr>
      </w:pPr>
      <w:bookmarkStart w:id="7" w:name="_Toc242879842"/>
      <w:r w:rsidRPr="00166DE2">
        <w:rPr>
          <w:rFonts w:ascii="Arial" w:hAnsi="Arial" w:cs="Arial"/>
          <w:sz w:val="24"/>
          <w:szCs w:val="24"/>
        </w:rPr>
        <w:t>Value chain analysis</w:t>
      </w:r>
      <w:bookmarkEnd w:id="7"/>
      <w:r w:rsidRPr="00166DE2">
        <w:rPr>
          <w:rFonts w:ascii="Arial" w:hAnsi="Arial" w:cs="Arial"/>
          <w:sz w:val="24"/>
          <w:szCs w:val="24"/>
        </w:rPr>
        <w:t xml:space="preserve"> </w:t>
      </w:r>
    </w:p>
    <w:p w14:paraId="06EEFD65" w14:textId="04A9AD96"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Porter’s (1985) value chain reveals whether connected activities reinforce differentiation. Reiss’s London design capability translates its brand positioning into products, while sourcing determines whether materials and construction support premium expectations (Reiss, n.d.</w:t>
      </w:r>
      <w:r w:rsidR="00D95232">
        <w:rPr>
          <w:rFonts w:ascii="Arial" w:hAnsi="Arial" w:cs="Arial"/>
          <w:sz w:val="22"/>
          <w:szCs w:val="22"/>
        </w:rPr>
        <w:t>-</w:t>
      </w:r>
      <w:r w:rsidRPr="00FD31BE">
        <w:rPr>
          <w:rFonts w:ascii="Arial" w:hAnsi="Arial" w:cs="Arial"/>
          <w:sz w:val="22"/>
          <w:szCs w:val="22"/>
        </w:rPr>
        <w:t>b). Inbound coordination and production planning should align fabric commitments with demand. A visually distinctive collection cannot create lasting value if inconsistent sizing or poor availability undermines purchasing confidence.</w:t>
      </w:r>
    </w:p>
    <w:p w14:paraId="197BBE7F" w14:textId="7C750DA2"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Distribution benefits from NEXT’s platform relationship, while stores can provide human reassurance about styling and fit. Reiss already offers complimentary personal shopping for workwear, events and wardrobe renewal (Reiss, n.d.</w:t>
      </w:r>
      <w:r w:rsidR="00D95232">
        <w:rPr>
          <w:rFonts w:ascii="Arial" w:hAnsi="Arial" w:cs="Arial"/>
          <w:sz w:val="22"/>
          <w:szCs w:val="22"/>
        </w:rPr>
        <w:t>-</w:t>
      </w:r>
      <w:r w:rsidRPr="00FD31BE">
        <w:rPr>
          <w:rFonts w:ascii="Arial" w:hAnsi="Arial" w:cs="Arial"/>
          <w:sz w:val="22"/>
          <w:szCs w:val="22"/>
        </w:rPr>
        <w:t>c). Consequently, service recommendations should improve the effectiveness of an existing capability rather than present personal shopping as an innovation. Linking appointment feedback, product availability and returns information could improve both conversion and assortment decisions.</w:t>
      </w:r>
    </w:p>
    <w:p w14:paraId="3B47C775" w14:textId="3198FE42"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Support activities determine execution. Training develops product knowledge; procurement protects quality; finance evaluates contribution after returns; and technology coordinates customer information. Reiss’s CFO-led ESG governance provides an existing mechanism for responsibility oversight (Reiss, n.d.</w:t>
      </w:r>
      <w:r w:rsidR="00D95232">
        <w:rPr>
          <w:rFonts w:ascii="Arial" w:hAnsi="Arial" w:cs="Arial"/>
          <w:sz w:val="22"/>
          <w:szCs w:val="22"/>
        </w:rPr>
        <w:t>-</w:t>
      </w:r>
      <w:r w:rsidRPr="00FD31BE">
        <w:rPr>
          <w:rFonts w:ascii="Arial" w:hAnsi="Arial" w:cs="Arial"/>
          <w:sz w:val="22"/>
          <w:szCs w:val="22"/>
        </w:rPr>
        <w:t>a). However, structures and policies do not demonstrate effective outcomes. Performance assessment should examine supplier remediation, customer complaints and commercial results together.</w:t>
      </w:r>
    </w:p>
    <w:p w14:paraId="4F80E51A" w14:textId="77777777" w:rsidR="00166DE2" w:rsidRPr="00FD31BE" w:rsidRDefault="00166DE2" w:rsidP="00166DE2">
      <w:pPr>
        <w:spacing w:line="360" w:lineRule="auto"/>
        <w:jc w:val="both"/>
        <w:rPr>
          <w:rFonts w:ascii="Arial" w:hAnsi="Arial" w:cs="Arial"/>
          <w:sz w:val="22"/>
          <w:szCs w:val="22"/>
        </w:rPr>
      </w:pPr>
    </w:p>
    <w:p w14:paraId="741EA2F4" w14:textId="507957A4" w:rsidR="0037233A" w:rsidRPr="00FD31BE" w:rsidRDefault="0037233A" w:rsidP="0037233A">
      <w:pPr>
        <w:pStyle w:val="Heading2"/>
        <w:jc w:val="both"/>
        <w:rPr>
          <w:rFonts w:ascii="Arial" w:hAnsi="Arial" w:cs="Arial"/>
          <w:sz w:val="24"/>
          <w:szCs w:val="24"/>
        </w:rPr>
      </w:pPr>
      <w:bookmarkStart w:id="8" w:name="_Toc242879843"/>
      <w:r w:rsidRPr="00FD31BE">
        <w:rPr>
          <w:rFonts w:ascii="Arial" w:hAnsi="Arial" w:cs="Arial"/>
          <w:sz w:val="24"/>
          <w:szCs w:val="24"/>
        </w:rPr>
        <w:lastRenderedPageBreak/>
        <w:t>Resource-based view and VRIO</w:t>
      </w:r>
      <w:bookmarkEnd w:id="8"/>
      <w:r w:rsidRPr="00FD31BE">
        <w:rPr>
          <w:rFonts w:ascii="Arial" w:hAnsi="Arial" w:cs="Arial"/>
          <w:sz w:val="24"/>
          <w:szCs w:val="24"/>
        </w:rPr>
        <w:t xml:space="preserve"> </w:t>
      </w:r>
    </w:p>
    <w:p w14:paraId="31F7226B" w14:textId="77777777"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Barney (1991) argues that firm resources help explain performance differences, while Barney’s (1995) VRIO framework tests value, rarity, imitability and organisational exploitation. Reiss’s resources warrant differentiated judgements rather than blanket claims.</w:t>
      </w:r>
    </w:p>
    <w:p w14:paraId="70F03690" w14:textId="77777777"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Its brand and design heritage are valuable because they can reduce purchase uncertainty and support premium positioning. However, tailoring expertise and London associations are shared by competitors, limiting rarity. Historical reputation is difficult to reproduce quickly, but visible designs are easier to imitate. Brand advantage is therefore conditional on distinctive execution and continuing customer relevance.</w:t>
      </w:r>
    </w:p>
    <w:p w14:paraId="4A6A2E65" w14:textId="77777777"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Total Platform access is valuable because it combines Reiss’s proposition with operational scale. Yet the platform supports multiple brands and is not an exclusively owned Reiss resource (NEXT, 2026a). It therefore provides operational capability more clearly than sustainable differentiation. The organisational question is whether Reiss retains enough control over customer experience, data and priorities to capture the benefits. Shared infrastructure should support brand identity rather than homogenise it.</w:t>
      </w:r>
    </w:p>
    <w:p w14:paraId="6682AABC" w14:textId="77777777"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Personal styling knowledge and customer relationships may be valuable and socially complex. Nevertheless, public evidence does not establish superior staff retention, customer loyalty or service productivity. These are potential capabilities, not proven rare resources. Organising them effectively requires training, consistent records and incentives beyond immediate sales.</w:t>
      </w:r>
    </w:p>
    <w:p w14:paraId="3DDCEA87" w14:textId="35DAE05D"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Financial evidence needs similar caution. NEXT (2026a, p.44) reports investment profit attributable to Reiss of £43.4 million, compared with £40.0 million previously. This excludes brand amortisation and reflects NEXT’s investment interest; it is not Reiss’s total statutory profit. The reported ownership percentage also changes between periods, complicating growth interpretation. Teece, Pisano and Shuen (1997) suggest that advantage depends on adaptive processes. Reiss should therefore demonstrate how customer evidence changes buying decisions, rather than infer superior resources solely from profits</w:t>
      </w:r>
      <w:r w:rsidR="00D95232">
        <w:rPr>
          <w:rFonts w:ascii="Arial" w:hAnsi="Arial" w:cs="Arial"/>
          <w:sz w:val="22"/>
          <w:szCs w:val="22"/>
        </w:rPr>
        <w:t>.</w:t>
      </w:r>
    </w:p>
    <w:p w14:paraId="53D59320" w14:textId="77777777" w:rsidR="0037233A" w:rsidRDefault="0037233A" w:rsidP="0037233A">
      <w:pPr>
        <w:spacing w:line="360" w:lineRule="auto"/>
        <w:jc w:val="both"/>
        <w:rPr>
          <w:rFonts w:ascii="Arial" w:hAnsi="Arial" w:cs="Arial"/>
        </w:rPr>
      </w:pPr>
    </w:p>
    <w:p w14:paraId="3FFFF794" w14:textId="1126C3BE" w:rsidR="0037233A" w:rsidRDefault="0037233A" w:rsidP="0037233A">
      <w:pPr>
        <w:pStyle w:val="Heading2"/>
        <w:rPr>
          <w:rFonts w:ascii="Arial" w:hAnsi="Arial" w:cs="Arial"/>
          <w:sz w:val="24"/>
          <w:szCs w:val="24"/>
        </w:rPr>
      </w:pPr>
      <w:bookmarkStart w:id="9" w:name="_Toc242879844"/>
      <w:r w:rsidRPr="00FD31BE">
        <w:rPr>
          <w:rFonts w:ascii="Arial" w:hAnsi="Arial" w:cs="Arial"/>
          <w:sz w:val="24"/>
          <w:szCs w:val="24"/>
        </w:rPr>
        <w:t xml:space="preserve">SWOT </w:t>
      </w:r>
      <w:bookmarkEnd w:id="9"/>
      <w:r w:rsidR="00D95232">
        <w:rPr>
          <w:rFonts w:ascii="Arial" w:hAnsi="Arial" w:cs="Arial"/>
          <w:sz w:val="24"/>
          <w:szCs w:val="24"/>
        </w:rPr>
        <w:t>analysis</w:t>
      </w:r>
    </w:p>
    <w:p w14:paraId="38C782DD" w14:textId="77777777"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Strengths comprise an established design identity, existing styling services and access to scaled operational infrastructure. Weaknesses include dependence on shared systems and unproven distinctiveness relative to premium competitors. Opportunities involve improving repeat purchasing, wardrobe versatility and selective international distribution. Threats include substitution, promotional competition, sourcing disruption and scrutiny of environmental claims. These findings synthesise the preceding audits rather than list issues.</w:t>
      </w:r>
    </w:p>
    <w:p w14:paraId="58F4296E" w14:textId="77777777"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lastRenderedPageBreak/>
        <w:t>Hill and Westbrook (1997) criticise SWOT when it lacks prioritisation and strategic consequences. Reiss’s most significant relationship is between service capability and customers’ need to justify premium spending. Conversely, weak differentiation amplifies buyer power: operational efficiency cannot protect margins if customers perceive equivalent products elsewhere. Supply chain governance also connects external credibility pressures with internal quality management.</w:t>
      </w:r>
    </w:p>
    <w:p w14:paraId="29E6564D" w14:textId="48A5A1BA" w:rsidR="00FD31BE" w:rsidRPr="00FD31BE" w:rsidRDefault="00FD31BE" w:rsidP="00FD31BE">
      <w:pPr>
        <w:spacing w:line="360" w:lineRule="auto"/>
        <w:jc w:val="both"/>
        <w:rPr>
          <w:rFonts w:ascii="Arial" w:hAnsi="Arial" w:cs="Arial"/>
          <w:sz w:val="22"/>
          <w:szCs w:val="22"/>
        </w:rPr>
      </w:pPr>
      <w:r w:rsidRPr="00FD31BE">
        <w:rPr>
          <w:rFonts w:ascii="Arial" w:hAnsi="Arial" w:cs="Arial"/>
          <w:sz w:val="22"/>
          <w:szCs w:val="22"/>
        </w:rPr>
        <w:t xml:space="preserve">Three strategic options </w:t>
      </w:r>
      <w:proofErr w:type="gramStart"/>
      <w:r w:rsidR="00D95232" w:rsidRPr="00FD31BE">
        <w:rPr>
          <w:rFonts w:ascii="Arial" w:hAnsi="Arial" w:cs="Arial"/>
          <w:sz w:val="22"/>
          <w:szCs w:val="22"/>
        </w:rPr>
        <w:t>follows</w:t>
      </w:r>
      <w:proofErr w:type="gramEnd"/>
      <w:r w:rsidRPr="00FD31BE">
        <w:rPr>
          <w:rFonts w:ascii="Arial" w:hAnsi="Arial" w:cs="Arial"/>
          <w:sz w:val="22"/>
          <w:szCs w:val="22"/>
        </w:rPr>
        <w:t>. Focused differentiation strengthens tailoring, versatile occasion wear and service, matching existing capabilities. Accelerated international expansion offers additional demand but increases inventory, localisation and partner-management requirements; it should follow proven unit economics. Broad price-led expansion may attract volume but risks eroding margins and brand meaning. Focused differentiation is therefore most suitable. Its feasibility benefits from existing infrastructure, while stakeholder acceptability depends on protecting employee skills, supplier relationships and investment discipline.</w:t>
      </w:r>
    </w:p>
    <w:p w14:paraId="0968AD6A" w14:textId="77777777" w:rsidR="003C3453" w:rsidRDefault="003C3453" w:rsidP="003C3453">
      <w:pPr>
        <w:spacing w:line="360" w:lineRule="auto"/>
        <w:jc w:val="both"/>
        <w:rPr>
          <w:rFonts w:ascii="Arial" w:hAnsi="Arial" w:cs="Arial"/>
          <w:sz w:val="22"/>
          <w:szCs w:val="22"/>
        </w:rPr>
      </w:pPr>
    </w:p>
    <w:p w14:paraId="7E0DCC63" w14:textId="77777777" w:rsidR="00FD31BE" w:rsidRDefault="00FD31BE" w:rsidP="003C3453">
      <w:pPr>
        <w:spacing w:line="360" w:lineRule="auto"/>
        <w:jc w:val="both"/>
        <w:rPr>
          <w:rFonts w:ascii="Arial" w:hAnsi="Arial" w:cs="Arial"/>
          <w:sz w:val="22"/>
          <w:szCs w:val="22"/>
        </w:rPr>
      </w:pPr>
    </w:p>
    <w:p w14:paraId="7339E3CC" w14:textId="77777777" w:rsidR="00FD31BE" w:rsidRDefault="00FD31BE" w:rsidP="003C3453">
      <w:pPr>
        <w:spacing w:line="360" w:lineRule="auto"/>
        <w:jc w:val="both"/>
        <w:rPr>
          <w:rFonts w:ascii="Arial" w:hAnsi="Arial" w:cs="Arial"/>
          <w:sz w:val="22"/>
          <w:szCs w:val="22"/>
        </w:rPr>
      </w:pPr>
    </w:p>
    <w:p w14:paraId="46CB6F36" w14:textId="77777777" w:rsidR="00FD31BE" w:rsidRDefault="00FD31BE" w:rsidP="003C3453">
      <w:pPr>
        <w:spacing w:line="360" w:lineRule="auto"/>
        <w:jc w:val="both"/>
        <w:rPr>
          <w:rFonts w:ascii="Arial" w:hAnsi="Arial" w:cs="Arial"/>
          <w:sz w:val="22"/>
          <w:szCs w:val="22"/>
        </w:rPr>
      </w:pPr>
    </w:p>
    <w:p w14:paraId="024CB827" w14:textId="77777777" w:rsidR="00FD31BE" w:rsidRDefault="00FD31BE" w:rsidP="003C3453">
      <w:pPr>
        <w:spacing w:line="360" w:lineRule="auto"/>
        <w:jc w:val="both"/>
        <w:rPr>
          <w:rFonts w:ascii="Arial" w:hAnsi="Arial" w:cs="Arial"/>
          <w:sz w:val="22"/>
          <w:szCs w:val="22"/>
        </w:rPr>
      </w:pPr>
    </w:p>
    <w:p w14:paraId="72E13FA5" w14:textId="77777777" w:rsidR="00FD31BE" w:rsidRDefault="00FD31BE" w:rsidP="003C3453">
      <w:pPr>
        <w:spacing w:line="360" w:lineRule="auto"/>
        <w:jc w:val="both"/>
        <w:rPr>
          <w:rFonts w:ascii="Arial" w:hAnsi="Arial" w:cs="Arial"/>
          <w:sz w:val="22"/>
          <w:szCs w:val="22"/>
        </w:rPr>
      </w:pPr>
    </w:p>
    <w:p w14:paraId="243513A1" w14:textId="77777777" w:rsidR="00FD31BE" w:rsidRDefault="00FD31BE" w:rsidP="003C3453">
      <w:pPr>
        <w:spacing w:line="360" w:lineRule="auto"/>
        <w:jc w:val="both"/>
        <w:rPr>
          <w:rFonts w:ascii="Arial" w:hAnsi="Arial" w:cs="Arial"/>
          <w:sz w:val="22"/>
          <w:szCs w:val="22"/>
        </w:rPr>
      </w:pPr>
    </w:p>
    <w:p w14:paraId="65DD760F" w14:textId="77777777" w:rsidR="00FD31BE" w:rsidRDefault="00FD31BE" w:rsidP="003C3453">
      <w:pPr>
        <w:spacing w:line="360" w:lineRule="auto"/>
        <w:jc w:val="both"/>
        <w:rPr>
          <w:rFonts w:ascii="Arial" w:hAnsi="Arial" w:cs="Arial"/>
          <w:sz w:val="22"/>
          <w:szCs w:val="22"/>
        </w:rPr>
      </w:pPr>
    </w:p>
    <w:p w14:paraId="1A77F46B" w14:textId="77777777" w:rsidR="00FD31BE" w:rsidRDefault="00FD31BE" w:rsidP="003C3453">
      <w:pPr>
        <w:spacing w:line="360" w:lineRule="auto"/>
        <w:jc w:val="both"/>
        <w:rPr>
          <w:rFonts w:ascii="Arial" w:hAnsi="Arial" w:cs="Arial"/>
          <w:sz w:val="22"/>
          <w:szCs w:val="22"/>
        </w:rPr>
      </w:pPr>
    </w:p>
    <w:p w14:paraId="39515150" w14:textId="77777777" w:rsidR="00FD31BE" w:rsidRDefault="00FD31BE" w:rsidP="003C3453">
      <w:pPr>
        <w:spacing w:line="360" w:lineRule="auto"/>
        <w:jc w:val="both"/>
        <w:rPr>
          <w:rFonts w:ascii="Arial" w:hAnsi="Arial" w:cs="Arial"/>
          <w:sz w:val="22"/>
          <w:szCs w:val="22"/>
        </w:rPr>
      </w:pPr>
    </w:p>
    <w:p w14:paraId="3C5C37C0" w14:textId="77777777" w:rsidR="00FD31BE" w:rsidRDefault="00FD31BE" w:rsidP="003C3453">
      <w:pPr>
        <w:spacing w:line="360" w:lineRule="auto"/>
        <w:jc w:val="both"/>
        <w:rPr>
          <w:rFonts w:ascii="Arial" w:hAnsi="Arial" w:cs="Arial"/>
          <w:sz w:val="22"/>
          <w:szCs w:val="22"/>
        </w:rPr>
      </w:pPr>
    </w:p>
    <w:p w14:paraId="012E1EBB" w14:textId="77777777" w:rsidR="00FD31BE" w:rsidRDefault="00FD31BE" w:rsidP="003C3453">
      <w:pPr>
        <w:spacing w:line="360" w:lineRule="auto"/>
        <w:jc w:val="both"/>
        <w:rPr>
          <w:rFonts w:ascii="Arial" w:hAnsi="Arial" w:cs="Arial"/>
          <w:sz w:val="22"/>
          <w:szCs w:val="22"/>
        </w:rPr>
      </w:pPr>
    </w:p>
    <w:p w14:paraId="4DA9D183" w14:textId="77777777" w:rsidR="00FD31BE" w:rsidRDefault="00FD31BE" w:rsidP="003C3453">
      <w:pPr>
        <w:spacing w:line="360" w:lineRule="auto"/>
        <w:jc w:val="both"/>
        <w:rPr>
          <w:rFonts w:ascii="Arial" w:hAnsi="Arial" w:cs="Arial"/>
        </w:rPr>
      </w:pPr>
    </w:p>
    <w:p w14:paraId="7B2E5351" w14:textId="77777777" w:rsidR="00FD31BE" w:rsidRDefault="00FD31BE" w:rsidP="003C3453">
      <w:pPr>
        <w:spacing w:line="360" w:lineRule="auto"/>
        <w:jc w:val="both"/>
        <w:rPr>
          <w:rFonts w:ascii="Arial" w:hAnsi="Arial" w:cs="Arial"/>
        </w:rPr>
      </w:pPr>
    </w:p>
    <w:p w14:paraId="234E9EE7" w14:textId="77777777" w:rsidR="00FD31BE" w:rsidRDefault="00FD31BE" w:rsidP="003C3453">
      <w:pPr>
        <w:spacing w:line="360" w:lineRule="auto"/>
        <w:jc w:val="both"/>
        <w:rPr>
          <w:rFonts w:ascii="Arial" w:hAnsi="Arial" w:cs="Arial"/>
        </w:rPr>
      </w:pPr>
    </w:p>
    <w:p w14:paraId="734D6C2D" w14:textId="75DE465C" w:rsidR="003C3453" w:rsidRDefault="003C3453" w:rsidP="00FD31BE">
      <w:pPr>
        <w:pStyle w:val="Heading3"/>
        <w:spacing w:line="360" w:lineRule="auto"/>
        <w:jc w:val="both"/>
        <w:rPr>
          <w:rFonts w:ascii="Arial" w:hAnsi="Arial" w:cs="Arial"/>
          <w:sz w:val="24"/>
          <w:szCs w:val="24"/>
        </w:rPr>
      </w:pPr>
      <w:bookmarkStart w:id="10" w:name="_Toc242879845"/>
      <w:r w:rsidRPr="00FD31BE">
        <w:rPr>
          <w:rFonts w:ascii="Arial" w:hAnsi="Arial" w:cs="Arial"/>
          <w:sz w:val="24"/>
          <w:szCs w:val="24"/>
        </w:rPr>
        <w:lastRenderedPageBreak/>
        <w:t>Conclusion and recommendations</w:t>
      </w:r>
      <w:bookmarkEnd w:id="10"/>
    </w:p>
    <w:p w14:paraId="51637A01" w14:textId="3FC195F8" w:rsidR="00FD31BE" w:rsidRDefault="00D95232" w:rsidP="00FD31BE">
      <w:pPr>
        <w:spacing w:line="360" w:lineRule="auto"/>
        <w:jc w:val="both"/>
        <w:rPr>
          <w:rFonts w:ascii="Arial" w:hAnsi="Arial" w:cs="Arial"/>
          <w:sz w:val="22"/>
          <w:szCs w:val="22"/>
        </w:rPr>
      </w:pPr>
      <w:r>
        <w:rPr>
          <w:rFonts w:ascii="Arial" w:hAnsi="Arial" w:cs="Arial"/>
          <w:sz w:val="22"/>
          <w:szCs w:val="22"/>
        </w:rPr>
        <w:t>Reiss should strengthen product quality, styling services and customer retention before pursuing wider expansion. Its reputation and infrastructure provide foundations, but sustained advantage depends on effective execution. Product and merchandising directors should establish baselines within three months and test tailoring and occasion wear capsules over six months. Proposed targets are a 3%-point improvement in full-price sell-through and a 10% reduction in aged inventory, subject to baseline validation.</w:t>
      </w:r>
    </w:p>
    <w:p w14:paraId="57972B4B" w14:textId="09043A8E" w:rsidR="00D95232" w:rsidRDefault="00D95232" w:rsidP="00FD31BE">
      <w:pPr>
        <w:spacing w:line="360" w:lineRule="auto"/>
        <w:jc w:val="both"/>
        <w:rPr>
          <w:rFonts w:ascii="Arial" w:hAnsi="Arial" w:cs="Arial"/>
          <w:sz w:val="22"/>
          <w:szCs w:val="22"/>
        </w:rPr>
      </w:pPr>
      <w:r>
        <w:rPr>
          <w:rFonts w:ascii="Arial" w:hAnsi="Arial" w:cs="Arial"/>
          <w:sz w:val="22"/>
          <w:szCs w:val="22"/>
        </w:rPr>
        <w:t>Retail and digital leaders should connect styling appointments with stock visibility and fit feedback, assessing repeat purchasing, returns and profitability over twelve months. The CFO-led ESG group should verify product and monitor supplier remediation quarterly.</w:t>
      </w:r>
    </w:p>
    <w:p w14:paraId="7A8513B7" w14:textId="5164F05A" w:rsidR="00D95232" w:rsidRPr="00FD31BE" w:rsidRDefault="00D95232" w:rsidP="00FD31BE">
      <w:pPr>
        <w:spacing w:line="360" w:lineRule="auto"/>
        <w:jc w:val="both"/>
        <w:rPr>
          <w:rFonts w:ascii="Arial" w:hAnsi="Arial" w:cs="Arial"/>
          <w:sz w:val="22"/>
          <w:szCs w:val="22"/>
        </w:rPr>
      </w:pPr>
      <w:r>
        <w:rPr>
          <w:rFonts w:ascii="Arial" w:hAnsi="Arial" w:cs="Arial"/>
          <w:sz w:val="22"/>
          <w:szCs w:val="22"/>
        </w:rPr>
        <w:t>Investment should be phased using financial, customer, process and learning measures (Kaplan and Norton, 1992). International expansion should depend on profitable pilots and operational capacity. Internal data and customer research remain necessary to validate assumptions.</w:t>
      </w:r>
    </w:p>
    <w:p w14:paraId="4D9B2744" w14:textId="77777777" w:rsidR="00CA5748" w:rsidRDefault="00CA5748" w:rsidP="003C3453">
      <w:pPr>
        <w:spacing w:line="360" w:lineRule="auto"/>
        <w:jc w:val="both"/>
        <w:rPr>
          <w:rFonts w:ascii="Arial" w:hAnsi="Arial" w:cs="Arial"/>
        </w:rPr>
      </w:pPr>
    </w:p>
    <w:p w14:paraId="73CC4DD1" w14:textId="77777777" w:rsidR="00CA5748" w:rsidRDefault="00CA5748" w:rsidP="003C3453">
      <w:pPr>
        <w:spacing w:line="360" w:lineRule="auto"/>
        <w:jc w:val="both"/>
        <w:rPr>
          <w:rFonts w:ascii="Arial" w:hAnsi="Arial" w:cs="Arial"/>
        </w:rPr>
      </w:pPr>
    </w:p>
    <w:p w14:paraId="41374722" w14:textId="77777777" w:rsidR="00CA5748" w:rsidRDefault="00CA5748" w:rsidP="003C3453">
      <w:pPr>
        <w:spacing w:line="360" w:lineRule="auto"/>
        <w:jc w:val="both"/>
        <w:rPr>
          <w:rFonts w:ascii="Arial" w:hAnsi="Arial" w:cs="Arial"/>
        </w:rPr>
      </w:pPr>
    </w:p>
    <w:p w14:paraId="16541E1D" w14:textId="77777777" w:rsidR="00CA5748" w:rsidRDefault="00CA5748" w:rsidP="003C3453">
      <w:pPr>
        <w:spacing w:line="360" w:lineRule="auto"/>
        <w:jc w:val="both"/>
        <w:rPr>
          <w:rFonts w:ascii="Arial" w:hAnsi="Arial" w:cs="Arial"/>
        </w:rPr>
      </w:pPr>
    </w:p>
    <w:p w14:paraId="08A05EC5" w14:textId="77777777" w:rsidR="00CA5748" w:rsidRDefault="00CA5748" w:rsidP="003C3453">
      <w:pPr>
        <w:spacing w:line="360" w:lineRule="auto"/>
        <w:jc w:val="both"/>
        <w:rPr>
          <w:rFonts w:ascii="Arial" w:hAnsi="Arial" w:cs="Arial"/>
        </w:rPr>
      </w:pPr>
    </w:p>
    <w:p w14:paraId="34B083EF" w14:textId="77777777" w:rsidR="00AB531B" w:rsidRDefault="00AB531B" w:rsidP="003C3453">
      <w:pPr>
        <w:spacing w:line="360" w:lineRule="auto"/>
        <w:jc w:val="both"/>
        <w:rPr>
          <w:rFonts w:ascii="Arial" w:hAnsi="Arial" w:cs="Arial"/>
        </w:rPr>
      </w:pPr>
    </w:p>
    <w:p w14:paraId="219D2596" w14:textId="77777777" w:rsidR="00AB531B" w:rsidRDefault="00AB531B" w:rsidP="003C3453">
      <w:pPr>
        <w:spacing w:line="360" w:lineRule="auto"/>
        <w:jc w:val="both"/>
        <w:rPr>
          <w:rFonts w:ascii="Arial" w:hAnsi="Arial" w:cs="Arial"/>
        </w:rPr>
      </w:pPr>
    </w:p>
    <w:p w14:paraId="62475AB8" w14:textId="77777777" w:rsidR="00AB531B" w:rsidRDefault="00AB531B" w:rsidP="003C3453">
      <w:pPr>
        <w:spacing w:line="360" w:lineRule="auto"/>
        <w:jc w:val="both"/>
        <w:rPr>
          <w:rFonts w:ascii="Arial" w:hAnsi="Arial" w:cs="Arial"/>
        </w:rPr>
      </w:pPr>
    </w:p>
    <w:p w14:paraId="53E7C7FB" w14:textId="77777777" w:rsidR="00AB531B" w:rsidRDefault="00AB531B" w:rsidP="003C3453">
      <w:pPr>
        <w:spacing w:line="360" w:lineRule="auto"/>
        <w:jc w:val="both"/>
        <w:rPr>
          <w:rFonts w:ascii="Arial" w:hAnsi="Arial" w:cs="Arial"/>
        </w:rPr>
      </w:pPr>
    </w:p>
    <w:p w14:paraId="00405A20" w14:textId="77777777" w:rsidR="00AB531B" w:rsidRDefault="00AB531B" w:rsidP="003C3453">
      <w:pPr>
        <w:spacing w:line="360" w:lineRule="auto"/>
        <w:jc w:val="both"/>
        <w:rPr>
          <w:rFonts w:ascii="Arial" w:hAnsi="Arial" w:cs="Arial"/>
        </w:rPr>
      </w:pPr>
    </w:p>
    <w:p w14:paraId="5EEF6337" w14:textId="77777777" w:rsidR="00AB531B" w:rsidRDefault="00AB531B" w:rsidP="003C3453">
      <w:pPr>
        <w:spacing w:line="360" w:lineRule="auto"/>
        <w:jc w:val="both"/>
        <w:rPr>
          <w:rFonts w:ascii="Arial" w:hAnsi="Arial" w:cs="Arial"/>
        </w:rPr>
      </w:pPr>
    </w:p>
    <w:p w14:paraId="7513AB59" w14:textId="77777777" w:rsidR="00AB531B" w:rsidRDefault="00AB531B" w:rsidP="003C3453">
      <w:pPr>
        <w:spacing w:line="360" w:lineRule="auto"/>
        <w:jc w:val="both"/>
        <w:rPr>
          <w:rFonts w:ascii="Arial" w:hAnsi="Arial" w:cs="Arial"/>
        </w:rPr>
      </w:pPr>
    </w:p>
    <w:p w14:paraId="6CE40B08" w14:textId="77777777" w:rsidR="00AB531B" w:rsidRDefault="00AB531B" w:rsidP="003C3453">
      <w:pPr>
        <w:spacing w:line="360" w:lineRule="auto"/>
        <w:jc w:val="both"/>
        <w:rPr>
          <w:rFonts w:ascii="Arial" w:hAnsi="Arial" w:cs="Arial"/>
        </w:rPr>
      </w:pPr>
    </w:p>
    <w:p w14:paraId="0AB51FF9" w14:textId="4454CDC4" w:rsidR="00CA5748" w:rsidRPr="001056EA" w:rsidRDefault="00CA5748" w:rsidP="00FD31BE">
      <w:pPr>
        <w:pStyle w:val="Heading3"/>
        <w:jc w:val="both"/>
        <w:rPr>
          <w:rFonts w:ascii="Arial" w:hAnsi="Arial" w:cs="Arial"/>
          <w:sz w:val="24"/>
          <w:szCs w:val="24"/>
        </w:rPr>
      </w:pPr>
      <w:bookmarkStart w:id="11" w:name="_Toc242879846"/>
      <w:r w:rsidRPr="001056EA">
        <w:rPr>
          <w:rFonts w:ascii="Arial" w:hAnsi="Arial" w:cs="Arial"/>
          <w:sz w:val="24"/>
          <w:szCs w:val="24"/>
        </w:rPr>
        <w:lastRenderedPageBreak/>
        <w:t>References</w:t>
      </w:r>
      <w:bookmarkEnd w:id="11"/>
      <w:r w:rsidRPr="001056EA">
        <w:rPr>
          <w:rFonts w:ascii="Arial" w:hAnsi="Arial" w:cs="Arial"/>
          <w:sz w:val="24"/>
          <w:szCs w:val="24"/>
        </w:rPr>
        <w:t xml:space="preserve"> </w:t>
      </w:r>
    </w:p>
    <w:p w14:paraId="0895E080"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Barney, J.B. (1991) ‘Firm resources and sustained competitive advantage’, </w:t>
      </w:r>
      <w:r w:rsidRPr="00AB531B">
        <w:rPr>
          <w:rFonts w:ascii="Arial" w:hAnsi="Arial" w:cs="Arial"/>
          <w:i/>
          <w:iCs/>
          <w:sz w:val="22"/>
          <w:szCs w:val="22"/>
        </w:rPr>
        <w:t>Journal of Management</w:t>
      </w:r>
      <w:r w:rsidRPr="00AB531B">
        <w:rPr>
          <w:rFonts w:ascii="Arial" w:hAnsi="Arial" w:cs="Arial"/>
          <w:sz w:val="22"/>
          <w:szCs w:val="22"/>
        </w:rPr>
        <w:t xml:space="preserve">, 17(1), pp. 99–120. Available at: </w:t>
      </w:r>
      <w:hyperlink r:id="rId8" w:history="1">
        <w:r w:rsidRPr="00AB531B">
          <w:rPr>
            <w:rStyle w:val="Hyperlink"/>
            <w:rFonts w:ascii="Arial" w:hAnsi="Arial" w:cs="Arial"/>
            <w:sz w:val="22"/>
            <w:szCs w:val="22"/>
          </w:rPr>
          <w:t>https://doi.org/10.1177/014920639101700108</w:t>
        </w:r>
      </w:hyperlink>
      <w:r w:rsidRPr="00AB531B">
        <w:rPr>
          <w:rFonts w:ascii="Arial" w:hAnsi="Arial" w:cs="Arial"/>
          <w:sz w:val="22"/>
          <w:szCs w:val="22"/>
        </w:rPr>
        <w:t>.</w:t>
      </w:r>
    </w:p>
    <w:p w14:paraId="78D25694"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Barney, J.B. (1995) ‘Looking inside for competitive advantage’, </w:t>
      </w:r>
      <w:r w:rsidRPr="00AB531B">
        <w:rPr>
          <w:rFonts w:ascii="Arial" w:hAnsi="Arial" w:cs="Arial"/>
          <w:i/>
          <w:iCs/>
          <w:sz w:val="22"/>
          <w:szCs w:val="22"/>
        </w:rPr>
        <w:t>Academy of Management Executive</w:t>
      </w:r>
      <w:r w:rsidRPr="00AB531B">
        <w:rPr>
          <w:rFonts w:ascii="Arial" w:hAnsi="Arial" w:cs="Arial"/>
          <w:sz w:val="22"/>
          <w:szCs w:val="22"/>
        </w:rPr>
        <w:t xml:space="preserve">, 9(4), pp. 49–61. Available at: </w:t>
      </w:r>
      <w:hyperlink r:id="rId9" w:history="1">
        <w:r w:rsidRPr="00AB531B">
          <w:rPr>
            <w:rStyle w:val="Hyperlink"/>
            <w:rFonts w:ascii="Arial" w:hAnsi="Arial" w:cs="Arial"/>
            <w:sz w:val="22"/>
            <w:szCs w:val="22"/>
          </w:rPr>
          <w:t>https://doi.org/10.5465/ame.1995.9512032192</w:t>
        </w:r>
      </w:hyperlink>
      <w:r w:rsidRPr="00AB531B">
        <w:rPr>
          <w:rFonts w:ascii="Arial" w:hAnsi="Arial" w:cs="Arial"/>
          <w:sz w:val="22"/>
          <w:szCs w:val="22"/>
        </w:rPr>
        <w:t>.</w:t>
      </w:r>
    </w:p>
    <w:p w14:paraId="385061EE"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Competition and Markets Authority (2024) </w:t>
      </w:r>
      <w:r w:rsidRPr="00AB531B">
        <w:rPr>
          <w:rFonts w:ascii="Arial" w:hAnsi="Arial" w:cs="Arial"/>
          <w:i/>
          <w:iCs/>
          <w:sz w:val="22"/>
          <w:szCs w:val="22"/>
        </w:rPr>
        <w:t>Complying with consumer law when making environmental claims in the fashion retail sector</w:t>
      </w:r>
      <w:r w:rsidRPr="00AB531B">
        <w:rPr>
          <w:rFonts w:ascii="Arial" w:hAnsi="Arial" w:cs="Arial"/>
          <w:sz w:val="22"/>
          <w:szCs w:val="22"/>
        </w:rPr>
        <w:t xml:space="preserve">. Available at: </w:t>
      </w:r>
      <w:hyperlink r:id="rId10" w:history="1">
        <w:r w:rsidRPr="00AB531B">
          <w:rPr>
            <w:rStyle w:val="Hyperlink"/>
            <w:rFonts w:ascii="Arial" w:hAnsi="Arial" w:cs="Arial"/>
            <w:sz w:val="22"/>
            <w:szCs w:val="22"/>
          </w:rPr>
          <w:t>https://www.gov.uk/government/publications/complying-with-consumer-law-when-making-environmental-claims-in-the-fashion-retail-sector</w:t>
        </w:r>
      </w:hyperlink>
      <w:r w:rsidRPr="00AB531B">
        <w:rPr>
          <w:rFonts w:ascii="Arial" w:hAnsi="Arial" w:cs="Arial"/>
          <w:sz w:val="22"/>
          <w:szCs w:val="22"/>
        </w:rPr>
        <w:t xml:space="preserve"> (Accessed: 21 October 2026).</w:t>
      </w:r>
    </w:p>
    <w:p w14:paraId="7EC9AC2B"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Harvard Business School (n.d.) </w:t>
      </w:r>
      <w:r w:rsidRPr="00AB531B">
        <w:rPr>
          <w:rFonts w:ascii="Arial" w:hAnsi="Arial" w:cs="Arial"/>
          <w:i/>
          <w:iCs/>
          <w:sz w:val="22"/>
          <w:szCs w:val="22"/>
        </w:rPr>
        <w:t>The five forces</w:t>
      </w:r>
      <w:r w:rsidRPr="00AB531B">
        <w:rPr>
          <w:rFonts w:ascii="Arial" w:hAnsi="Arial" w:cs="Arial"/>
          <w:sz w:val="22"/>
          <w:szCs w:val="22"/>
        </w:rPr>
        <w:t xml:space="preserve">. Institute for Strategy and Competitiveness. Available at: </w:t>
      </w:r>
      <w:hyperlink r:id="rId11" w:history="1">
        <w:r w:rsidRPr="00AB531B">
          <w:rPr>
            <w:rStyle w:val="Hyperlink"/>
            <w:rFonts w:ascii="Arial" w:hAnsi="Arial" w:cs="Arial"/>
            <w:sz w:val="22"/>
            <w:szCs w:val="22"/>
          </w:rPr>
          <w:t>https://www.isc.hbs.edu/strategy/business-strategy/Pages/the-five-forces.aspx</w:t>
        </w:r>
      </w:hyperlink>
      <w:r w:rsidRPr="00AB531B">
        <w:rPr>
          <w:rFonts w:ascii="Arial" w:hAnsi="Arial" w:cs="Arial"/>
          <w:sz w:val="22"/>
          <w:szCs w:val="22"/>
        </w:rPr>
        <w:t xml:space="preserve"> (Accessed: 14 October 2026).</w:t>
      </w:r>
    </w:p>
    <w:p w14:paraId="19DEDD1E"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Hill, T. and Westbrook, R. (1997) ‘SWOT analysis: It’s time for a product recall’, </w:t>
      </w:r>
      <w:r w:rsidRPr="00AB531B">
        <w:rPr>
          <w:rFonts w:ascii="Arial" w:hAnsi="Arial" w:cs="Arial"/>
          <w:i/>
          <w:iCs/>
          <w:sz w:val="22"/>
          <w:szCs w:val="22"/>
        </w:rPr>
        <w:t>Long Range Planning</w:t>
      </w:r>
      <w:r w:rsidRPr="00AB531B">
        <w:rPr>
          <w:rFonts w:ascii="Arial" w:hAnsi="Arial" w:cs="Arial"/>
          <w:sz w:val="22"/>
          <w:szCs w:val="22"/>
        </w:rPr>
        <w:t xml:space="preserve">, 30(1), pp. 46–52. Available at: </w:t>
      </w:r>
      <w:hyperlink r:id="rId12" w:history="1">
        <w:r w:rsidRPr="00AB531B">
          <w:rPr>
            <w:rStyle w:val="Hyperlink"/>
            <w:rFonts w:ascii="Arial" w:hAnsi="Arial" w:cs="Arial"/>
            <w:sz w:val="22"/>
            <w:szCs w:val="22"/>
          </w:rPr>
          <w:t>https://doi.org/10.1016/S0024-6301(96)00095-7</w:t>
        </w:r>
      </w:hyperlink>
      <w:r w:rsidRPr="00AB531B">
        <w:rPr>
          <w:rFonts w:ascii="Arial" w:hAnsi="Arial" w:cs="Arial"/>
          <w:sz w:val="22"/>
          <w:szCs w:val="22"/>
        </w:rPr>
        <w:t>.</w:t>
      </w:r>
    </w:p>
    <w:p w14:paraId="15D5862B"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Kaplan, R.S. and Norton, D.P. (1992) ‘The balanced scorecard: Measures that drive performance’, </w:t>
      </w:r>
      <w:r w:rsidRPr="00AB531B">
        <w:rPr>
          <w:rFonts w:ascii="Arial" w:hAnsi="Arial" w:cs="Arial"/>
          <w:i/>
          <w:iCs/>
          <w:sz w:val="22"/>
          <w:szCs w:val="22"/>
        </w:rPr>
        <w:t>Harvard Business Review</w:t>
      </w:r>
      <w:r w:rsidRPr="00AB531B">
        <w:rPr>
          <w:rFonts w:ascii="Arial" w:hAnsi="Arial" w:cs="Arial"/>
          <w:sz w:val="22"/>
          <w:szCs w:val="22"/>
        </w:rPr>
        <w:t>, 70(1), pp. 71–79.</w:t>
      </w:r>
    </w:p>
    <w:p w14:paraId="3B88D0ED"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NEXT (2026a) </w:t>
      </w:r>
      <w:r w:rsidRPr="00AB531B">
        <w:rPr>
          <w:rFonts w:ascii="Arial" w:hAnsi="Arial" w:cs="Arial"/>
          <w:i/>
          <w:iCs/>
          <w:sz w:val="22"/>
          <w:szCs w:val="22"/>
        </w:rPr>
        <w:t>Annual report and accounts January 2026</w:t>
      </w:r>
      <w:r w:rsidRPr="00AB531B">
        <w:rPr>
          <w:rFonts w:ascii="Arial" w:hAnsi="Arial" w:cs="Arial"/>
          <w:sz w:val="22"/>
          <w:szCs w:val="22"/>
        </w:rPr>
        <w:t xml:space="preserve">. Available at: </w:t>
      </w:r>
      <w:hyperlink r:id="rId13" w:history="1">
        <w:r w:rsidRPr="00AB531B">
          <w:rPr>
            <w:rStyle w:val="Hyperlink"/>
            <w:rFonts w:ascii="Arial" w:hAnsi="Arial" w:cs="Arial"/>
            <w:sz w:val="22"/>
            <w:szCs w:val="22"/>
          </w:rPr>
          <w:t>https://www.nextplc.co.uk/~/media/Files/N/next-plc-v4/about-next/annual-report-and-accounts-jan-2026.pdf</w:t>
        </w:r>
      </w:hyperlink>
      <w:r w:rsidRPr="00AB531B">
        <w:rPr>
          <w:rFonts w:ascii="Arial" w:hAnsi="Arial" w:cs="Arial"/>
          <w:sz w:val="22"/>
          <w:szCs w:val="22"/>
        </w:rPr>
        <w:t xml:space="preserve"> (Accessed: 14 October 2026).</w:t>
      </w:r>
    </w:p>
    <w:p w14:paraId="0AC3DB82"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NEXT (2026b) </w:t>
      </w:r>
      <w:r w:rsidRPr="00AB531B">
        <w:rPr>
          <w:rFonts w:ascii="Arial" w:hAnsi="Arial" w:cs="Arial"/>
          <w:i/>
          <w:iCs/>
          <w:sz w:val="22"/>
          <w:szCs w:val="22"/>
        </w:rPr>
        <w:t>Results for the half year 2026/27</w:t>
      </w:r>
      <w:r w:rsidRPr="00AB531B">
        <w:rPr>
          <w:rFonts w:ascii="Arial" w:hAnsi="Arial" w:cs="Arial"/>
          <w:sz w:val="22"/>
          <w:szCs w:val="22"/>
        </w:rPr>
        <w:t xml:space="preserve">. Available at: </w:t>
      </w:r>
      <w:hyperlink r:id="rId14" w:history="1">
        <w:r w:rsidRPr="00AB531B">
          <w:rPr>
            <w:rStyle w:val="Hyperlink"/>
            <w:rFonts w:ascii="Arial" w:hAnsi="Arial" w:cs="Arial"/>
            <w:sz w:val="22"/>
            <w:szCs w:val="22"/>
          </w:rPr>
          <w:t>https://www.nextplc.co.uk/~/media/Files/N/next-plc-v4/documents/2026/half-year-results-july2026.pdf</w:t>
        </w:r>
      </w:hyperlink>
      <w:r w:rsidRPr="00AB531B">
        <w:rPr>
          <w:rFonts w:ascii="Arial" w:hAnsi="Arial" w:cs="Arial"/>
          <w:sz w:val="22"/>
          <w:szCs w:val="22"/>
        </w:rPr>
        <w:t xml:space="preserve"> (Accessed: 14 October 2026).</w:t>
      </w:r>
    </w:p>
    <w:p w14:paraId="16C8C1AD"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Niinimäki, K., Peters, G., Dahlbo, H., Perry, P., Rissanen, T. and Gwilt, A. (2020) ‘The environmental price of fast fashion’, </w:t>
      </w:r>
      <w:r w:rsidRPr="00AB531B">
        <w:rPr>
          <w:rFonts w:ascii="Arial" w:hAnsi="Arial" w:cs="Arial"/>
          <w:i/>
          <w:iCs/>
          <w:sz w:val="22"/>
          <w:szCs w:val="22"/>
        </w:rPr>
        <w:t>Nature Reviews Earth &amp; Environment</w:t>
      </w:r>
      <w:r w:rsidRPr="00AB531B">
        <w:rPr>
          <w:rFonts w:ascii="Arial" w:hAnsi="Arial" w:cs="Arial"/>
          <w:sz w:val="22"/>
          <w:szCs w:val="22"/>
        </w:rPr>
        <w:t xml:space="preserve">, 1, pp. 189–200. Available at: </w:t>
      </w:r>
      <w:hyperlink r:id="rId15" w:history="1">
        <w:r w:rsidRPr="00AB531B">
          <w:rPr>
            <w:rStyle w:val="Hyperlink"/>
            <w:rFonts w:ascii="Arial" w:hAnsi="Arial" w:cs="Arial"/>
            <w:sz w:val="22"/>
            <w:szCs w:val="22"/>
          </w:rPr>
          <w:t>https://doi.org/10.1038/s43017-020-0039-9</w:t>
        </w:r>
      </w:hyperlink>
      <w:r w:rsidRPr="00AB531B">
        <w:rPr>
          <w:rFonts w:ascii="Arial" w:hAnsi="Arial" w:cs="Arial"/>
          <w:sz w:val="22"/>
          <w:szCs w:val="22"/>
        </w:rPr>
        <w:t>.</w:t>
      </w:r>
    </w:p>
    <w:p w14:paraId="2EBACD36"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Office for National Statistics (2026) </w:t>
      </w:r>
      <w:r w:rsidRPr="00AB531B">
        <w:rPr>
          <w:rFonts w:ascii="Arial" w:hAnsi="Arial" w:cs="Arial"/>
          <w:i/>
          <w:iCs/>
          <w:sz w:val="22"/>
          <w:szCs w:val="22"/>
        </w:rPr>
        <w:t>Retail sales, Great Britain: August 2026</w:t>
      </w:r>
      <w:r w:rsidRPr="00AB531B">
        <w:rPr>
          <w:rFonts w:ascii="Arial" w:hAnsi="Arial" w:cs="Arial"/>
          <w:sz w:val="22"/>
          <w:szCs w:val="22"/>
        </w:rPr>
        <w:t xml:space="preserve">. Available at: </w:t>
      </w:r>
      <w:hyperlink r:id="rId16" w:history="1">
        <w:r w:rsidRPr="00AB531B">
          <w:rPr>
            <w:rStyle w:val="Hyperlink"/>
            <w:rFonts w:ascii="Arial" w:hAnsi="Arial" w:cs="Arial"/>
            <w:sz w:val="22"/>
            <w:szCs w:val="22"/>
          </w:rPr>
          <w:t>https://www.ons.gov.uk/businessindustryandtrade/retailindustry/bulletins/retailsales/august2026</w:t>
        </w:r>
      </w:hyperlink>
      <w:r w:rsidRPr="00AB531B">
        <w:rPr>
          <w:rFonts w:ascii="Arial" w:hAnsi="Arial" w:cs="Arial"/>
          <w:sz w:val="22"/>
          <w:szCs w:val="22"/>
        </w:rPr>
        <w:t xml:space="preserve"> (Accessed: 14 October 2026).</w:t>
      </w:r>
    </w:p>
    <w:p w14:paraId="4F5F4F68"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Porter, M.E. (1985) </w:t>
      </w:r>
      <w:r w:rsidRPr="00AB531B">
        <w:rPr>
          <w:rFonts w:ascii="Arial" w:hAnsi="Arial" w:cs="Arial"/>
          <w:i/>
          <w:iCs/>
          <w:sz w:val="22"/>
          <w:szCs w:val="22"/>
        </w:rPr>
        <w:t>Competitive advantage: Creating and sustaining superior performance</w:t>
      </w:r>
      <w:r w:rsidRPr="00AB531B">
        <w:rPr>
          <w:rFonts w:ascii="Arial" w:hAnsi="Arial" w:cs="Arial"/>
          <w:sz w:val="22"/>
          <w:szCs w:val="22"/>
        </w:rPr>
        <w:t>. New York: Free Press.</w:t>
      </w:r>
    </w:p>
    <w:p w14:paraId="16762ADE"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Porter, M.E. (2008) ‘The five competitive forces that shape strategy’, </w:t>
      </w:r>
      <w:r w:rsidRPr="00AB531B">
        <w:rPr>
          <w:rFonts w:ascii="Arial" w:hAnsi="Arial" w:cs="Arial"/>
          <w:i/>
          <w:iCs/>
          <w:sz w:val="22"/>
          <w:szCs w:val="22"/>
        </w:rPr>
        <w:t>Harvard Business Review</w:t>
      </w:r>
      <w:r w:rsidRPr="00AB531B">
        <w:rPr>
          <w:rFonts w:ascii="Arial" w:hAnsi="Arial" w:cs="Arial"/>
          <w:sz w:val="22"/>
          <w:szCs w:val="22"/>
        </w:rPr>
        <w:t>, 86(1), pp. 78–93.</w:t>
      </w:r>
    </w:p>
    <w:p w14:paraId="4E573135" w14:textId="33768F79"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Reiss (n.d.</w:t>
      </w:r>
      <w:r>
        <w:rPr>
          <w:rFonts w:ascii="Arial" w:hAnsi="Arial" w:cs="Arial"/>
          <w:sz w:val="22"/>
          <w:szCs w:val="22"/>
        </w:rPr>
        <w:t>-</w:t>
      </w:r>
      <w:r w:rsidRPr="00AB531B">
        <w:rPr>
          <w:rFonts w:ascii="Arial" w:hAnsi="Arial" w:cs="Arial"/>
          <w:sz w:val="22"/>
          <w:szCs w:val="22"/>
        </w:rPr>
        <w:t xml:space="preserve">a) </w:t>
      </w:r>
      <w:r w:rsidRPr="00AB531B">
        <w:rPr>
          <w:rFonts w:ascii="Arial" w:hAnsi="Arial" w:cs="Arial"/>
          <w:i/>
          <w:iCs/>
          <w:sz w:val="22"/>
          <w:szCs w:val="22"/>
        </w:rPr>
        <w:t>Governance</w:t>
      </w:r>
      <w:r w:rsidRPr="00AB531B">
        <w:rPr>
          <w:rFonts w:ascii="Arial" w:hAnsi="Arial" w:cs="Arial"/>
          <w:sz w:val="22"/>
          <w:szCs w:val="22"/>
        </w:rPr>
        <w:t xml:space="preserve">. Available at: </w:t>
      </w:r>
      <w:hyperlink r:id="rId17" w:history="1">
        <w:r w:rsidRPr="00AB531B">
          <w:rPr>
            <w:rStyle w:val="Hyperlink"/>
            <w:rFonts w:ascii="Arial" w:hAnsi="Arial" w:cs="Arial"/>
            <w:sz w:val="22"/>
            <w:szCs w:val="22"/>
          </w:rPr>
          <w:t>https://www.reiss.com/sustainability/governance</w:t>
        </w:r>
      </w:hyperlink>
      <w:r w:rsidRPr="00AB531B">
        <w:rPr>
          <w:rFonts w:ascii="Arial" w:hAnsi="Arial" w:cs="Arial"/>
          <w:sz w:val="22"/>
          <w:szCs w:val="22"/>
        </w:rPr>
        <w:t xml:space="preserve"> (Accessed: 14 October 2026).</w:t>
      </w:r>
    </w:p>
    <w:p w14:paraId="02079EB1" w14:textId="666AE906"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Reiss (n.d.</w:t>
      </w:r>
      <w:r>
        <w:rPr>
          <w:rFonts w:ascii="Arial" w:hAnsi="Arial" w:cs="Arial"/>
          <w:sz w:val="22"/>
          <w:szCs w:val="22"/>
        </w:rPr>
        <w:t>-</w:t>
      </w:r>
      <w:r w:rsidRPr="00AB531B">
        <w:rPr>
          <w:rFonts w:ascii="Arial" w:hAnsi="Arial" w:cs="Arial"/>
          <w:sz w:val="22"/>
          <w:szCs w:val="22"/>
        </w:rPr>
        <w:t xml:space="preserve">b) </w:t>
      </w:r>
      <w:r w:rsidRPr="00AB531B">
        <w:rPr>
          <w:rFonts w:ascii="Arial" w:hAnsi="Arial" w:cs="Arial"/>
          <w:i/>
          <w:iCs/>
          <w:sz w:val="22"/>
          <w:szCs w:val="22"/>
        </w:rPr>
        <w:t>Our story</w:t>
      </w:r>
      <w:r w:rsidRPr="00AB531B">
        <w:rPr>
          <w:rFonts w:ascii="Arial" w:hAnsi="Arial" w:cs="Arial"/>
          <w:sz w:val="22"/>
          <w:szCs w:val="22"/>
        </w:rPr>
        <w:t xml:space="preserve">. Available at: </w:t>
      </w:r>
      <w:hyperlink r:id="rId18" w:history="1">
        <w:r w:rsidRPr="00AB531B">
          <w:rPr>
            <w:rStyle w:val="Hyperlink"/>
            <w:rFonts w:ascii="Arial" w:hAnsi="Arial" w:cs="Arial"/>
            <w:sz w:val="22"/>
            <w:szCs w:val="22"/>
          </w:rPr>
          <w:t>https://www.reiss.com/our-story</w:t>
        </w:r>
      </w:hyperlink>
      <w:r w:rsidRPr="00AB531B">
        <w:rPr>
          <w:rFonts w:ascii="Arial" w:hAnsi="Arial" w:cs="Arial"/>
          <w:sz w:val="22"/>
          <w:szCs w:val="22"/>
        </w:rPr>
        <w:t xml:space="preserve"> (Accessed: 21 October 2026).</w:t>
      </w:r>
    </w:p>
    <w:p w14:paraId="795F9702" w14:textId="2E7A83BE"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Reiss (n.d.</w:t>
      </w:r>
      <w:r>
        <w:rPr>
          <w:rFonts w:ascii="Arial" w:hAnsi="Arial" w:cs="Arial"/>
          <w:sz w:val="22"/>
          <w:szCs w:val="22"/>
        </w:rPr>
        <w:t>-</w:t>
      </w:r>
      <w:r w:rsidRPr="00AB531B">
        <w:rPr>
          <w:rFonts w:ascii="Arial" w:hAnsi="Arial" w:cs="Arial"/>
          <w:sz w:val="22"/>
          <w:szCs w:val="22"/>
        </w:rPr>
        <w:t xml:space="preserve">c) </w:t>
      </w:r>
      <w:r w:rsidRPr="00AB531B">
        <w:rPr>
          <w:rFonts w:ascii="Arial" w:hAnsi="Arial" w:cs="Arial"/>
          <w:i/>
          <w:iCs/>
          <w:sz w:val="22"/>
          <w:szCs w:val="22"/>
        </w:rPr>
        <w:t>Personal shopping</w:t>
      </w:r>
      <w:r w:rsidRPr="00AB531B">
        <w:rPr>
          <w:rFonts w:ascii="Arial" w:hAnsi="Arial" w:cs="Arial"/>
          <w:sz w:val="22"/>
          <w:szCs w:val="22"/>
        </w:rPr>
        <w:t xml:space="preserve">. Available at: </w:t>
      </w:r>
      <w:hyperlink r:id="rId19" w:history="1">
        <w:r w:rsidRPr="00AB531B">
          <w:rPr>
            <w:rStyle w:val="Hyperlink"/>
            <w:rFonts w:ascii="Arial" w:hAnsi="Arial" w:cs="Arial"/>
            <w:sz w:val="22"/>
            <w:szCs w:val="22"/>
          </w:rPr>
          <w:t>https://www.reiss.com/personal-shopping</w:t>
        </w:r>
      </w:hyperlink>
      <w:r w:rsidRPr="00AB531B">
        <w:rPr>
          <w:rFonts w:ascii="Arial" w:hAnsi="Arial" w:cs="Arial"/>
          <w:sz w:val="22"/>
          <w:szCs w:val="22"/>
        </w:rPr>
        <w:t xml:space="preserve"> (Accessed: 14 October 2026).</w:t>
      </w:r>
    </w:p>
    <w:p w14:paraId="63311619" w14:textId="2D1CCD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Reiss (n.d.</w:t>
      </w:r>
      <w:r>
        <w:rPr>
          <w:rFonts w:ascii="Arial" w:hAnsi="Arial" w:cs="Arial"/>
          <w:sz w:val="22"/>
          <w:szCs w:val="22"/>
        </w:rPr>
        <w:t>-</w:t>
      </w:r>
      <w:r w:rsidRPr="00AB531B">
        <w:rPr>
          <w:rFonts w:ascii="Arial" w:hAnsi="Arial" w:cs="Arial"/>
          <w:sz w:val="22"/>
          <w:szCs w:val="22"/>
        </w:rPr>
        <w:t xml:space="preserve">d) </w:t>
      </w:r>
      <w:r w:rsidRPr="00AB531B">
        <w:rPr>
          <w:rFonts w:ascii="Arial" w:hAnsi="Arial" w:cs="Arial"/>
          <w:i/>
          <w:iCs/>
          <w:sz w:val="22"/>
          <w:szCs w:val="22"/>
        </w:rPr>
        <w:t>Enduring style, responsible business</w:t>
      </w:r>
      <w:r w:rsidRPr="00AB531B">
        <w:rPr>
          <w:rFonts w:ascii="Arial" w:hAnsi="Arial" w:cs="Arial"/>
          <w:sz w:val="22"/>
          <w:szCs w:val="22"/>
        </w:rPr>
        <w:t xml:space="preserve">. Available at: </w:t>
      </w:r>
      <w:hyperlink r:id="rId20" w:history="1">
        <w:r w:rsidRPr="00AB531B">
          <w:rPr>
            <w:rStyle w:val="Hyperlink"/>
            <w:rFonts w:ascii="Arial" w:hAnsi="Arial" w:cs="Arial"/>
            <w:sz w:val="22"/>
            <w:szCs w:val="22"/>
          </w:rPr>
          <w:t>https://www.reiss.com/sustainability</w:t>
        </w:r>
      </w:hyperlink>
      <w:r w:rsidRPr="00AB531B">
        <w:rPr>
          <w:rFonts w:ascii="Arial" w:hAnsi="Arial" w:cs="Arial"/>
          <w:sz w:val="22"/>
          <w:szCs w:val="22"/>
        </w:rPr>
        <w:t xml:space="preserve"> (Accessed: 14 October 2026).</w:t>
      </w:r>
    </w:p>
    <w:p w14:paraId="6D299CEA" w14:textId="77777777" w:rsidR="00AB531B"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Teece, D.J., Pisano, G. and Shuen, A. (1997) ‘Dynamic capabilities and strategic management’, </w:t>
      </w:r>
      <w:r w:rsidRPr="00AB531B">
        <w:rPr>
          <w:rFonts w:ascii="Arial" w:hAnsi="Arial" w:cs="Arial"/>
          <w:i/>
          <w:iCs/>
          <w:sz w:val="22"/>
          <w:szCs w:val="22"/>
        </w:rPr>
        <w:t>Strategic Management Journal</w:t>
      </w:r>
      <w:r w:rsidRPr="00AB531B">
        <w:rPr>
          <w:rFonts w:ascii="Arial" w:hAnsi="Arial" w:cs="Arial"/>
          <w:sz w:val="22"/>
          <w:szCs w:val="22"/>
        </w:rPr>
        <w:t xml:space="preserve">, 18(7), pp. 509–533. Available at: </w:t>
      </w:r>
      <w:hyperlink r:id="rId21" w:history="1">
        <w:r w:rsidRPr="00AB531B">
          <w:rPr>
            <w:rStyle w:val="Hyperlink"/>
            <w:rFonts w:ascii="Arial" w:hAnsi="Arial" w:cs="Arial"/>
            <w:sz w:val="22"/>
            <w:szCs w:val="22"/>
          </w:rPr>
          <w:t>https://doi.org/10.1002/(SICI)1097-0266(199708)18:7%3C509::AID-SMJ882%3E3.0.CO;2-Z</w:t>
        </w:r>
      </w:hyperlink>
      <w:r w:rsidRPr="00AB531B">
        <w:rPr>
          <w:rFonts w:ascii="Arial" w:hAnsi="Arial" w:cs="Arial"/>
          <w:sz w:val="22"/>
          <w:szCs w:val="22"/>
        </w:rPr>
        <w:t>.</w:t>
      </w:r>
    </w:p>
    <w:p w14:paraId="45687BB2" w14:textId="0CC9A3A4" w:rsidR="00B33FEE" w:rsidRPr="00AB531B" w:rsidRDefault="00AB531B" w:rsidP="00AB531B">
      <w:pPr>
        <w:pStyle w:val="NormalWeb"/>
        <w:numPr>
          <w:ilvl w:val="0"/>
          <w:numId w:val="2"/>
        </w:numPr>
        <w:rPr>
          <w:rFonts w:ascii="Arial" w:hAnsi="Arial" w:cs="Arial"/>
          <w:sz w:val="22"/>
          <w:szCs w:val="22"/>
        </w:rPr>
      </w:pPr>
      <w:r w:rsidRPr="00AB531B">
        <w:rPr>
          <w:rFonts w:ascii="Arial" w:hAnsi="Arial" w:cs="Arial"/>
          <w:sz w:val="22"/>
          <w:szCs w:val="22"/>
        </w:rPr>
        <w:t xml:space="preserve">Yüksel, İ. (2012) ‘Developing a multi-criteria decision-making model for PESTEL analysis’, </w:t>
      </w:r>
      <w:r w:rsidRPr="00AB531B">
        <w:rPr>
          <w:rFonts w:ascii="Arial" w:hAnsi="Arial" w:cs="Arial"/>
          <w:i/>
          <w:iCs/>
          <w:sz w:val="22"/>
          <w:szCs w:val="22"/>
        </w:rPr>
        <w:t>International Journal of Business and Management</w:t>
      </w:r>
      <w:r w:rsidRPr="00AB531B">
        <w:rPr>
          <w:rFonts w:ascii="Arial" w:hAnsi="Arial" w:cs="Arial"/>
          <w:sz w:val="22"/>
          <w:szCs w:val="22"/>
        </w:rPr>
        <w:t xml:space="preserve">, 7(24), pp. 52–66. Available at: </w:t>
      </w:r>
      <w:hyperlink r:id="rId22" w:history="1">
        <w:r w:rsidRPr="00AB531B">
          <w:rPr>
            <w:rStyle w:val="Hyperlink"/>
            <w:rFonts w:ascii="Arial" w:hAnsi="Arial" w:cs="Arial"/>
            <w:sz w:val="22"/>
            <w:szCs w:val="22"/>
          </w:rPr>
          <w:t>https://doi.org/10.5539/ijbm.v7n24p52</w:t>
        </w:r>
      </w:hyperlink>
      <w:r w:rsidRPr="00AB531B">
        <w:rPr>
          <w:rFonts w:ascii="Arial" w:hAnsi="Arial" w:cs="Arial"/>
          <w:sz w:val="22"/>
          <w:szCs w:val="22"/>
        </w:rPr>
        <w:t>.</w:t>
      </w:r>
    </w:p>
    <w:sectPr w:rsidR="00B33FEE" w:rsidRPr="00AB531B">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903F1" w14:textId="77777777" w:rsidR="0048511F" w:rsidRDefault="0048511F" w:rsidP="00D676E7">
      <w:pPr>
        <w:spacing w:after="0" w:line="240" w:lineRule="auto"/>
      </w:pPr>
      <w:r>
        <w:separator/>
      </w:r>
    </w:p>
  </w:endnote>
  <w:endnote w:type="continuationSeparator" w:id="0">
    <w:p w14:paraId="1F167D5A" w14:textId="77777777" w:rsidR="0048511F" w:rsidRDefault="0048511F" w:rsidP="00D6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421941"/>
      <w:docPartObj>
        <w:docPartGallery w:val="Page Numbers (Bottom of Page)"/>
        <w:docPartUnique/>
      </w:docPartObj>
    </w:sdtPr>
    <w:sdtContent>
      <w:p w14:paraId="656A5B41" w14:textId="58AB237C" w:rsidR="00D676E7" w:rsidRDefault="00D676E7">
        <w:pPr>
          <w:pStyle w:val="Footer"/>
          <w:jc w:val="center"/>
        </w:pPr>
        <w:r>
          <w:fldChar w:fldCharType="begin"/>
        </w:r>
        <w:r>
          <w:instrText>PAGE   \* MERGEFORMAT</w:instrText>
        </w:r>
        <w:r>
          <w:fldChar w:fldCharType="separate"/>
        </w:r>
        <w:r>
          <w:t>2</w:t>
        </w:r>
        <w:r>
          <w:fldChar w:fldCharType="end"/>
        </w:r>
      </w:p>
    </w:sdtContent>
  </w:sdt>
  <w:p w14:paraId="0630B884" w14:textId="77777777" w:rsidR="00D676E7" w:rsidRDefault="00D67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33AF6" w14:textId="77777777" w:rsidR="0048511F" w:rsidRDefault="0048511F" w:rsidP="00D676E7">
      <w:pPr>
        <w:spacing w:after="0" w:line="240" w:lineRule="auto"/>
      </w:pPr>
      <w:r>
        <w:separator/>
      </w:r>
    </w:p>
  </w:footnote>
  <w:footnote w:type="continuationSeparator" w:id="0">
    <w:p w14:paraId="0964BDA4" w14:textId="77777777" w:rsidR="0048511F" w:rsidRDefault="0048511F" w:rsidP="00D67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45018"/>
    <w:multiLevelType w:val="hybridMultilevel"/>
    <w:tmpl w:val="F912E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44D64"/>
    <w:multiLevelType w:val="hybridMultilevel"/>
    <w:tmpl w:val="6FE8B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283172">
    <w:abstractNumId w:val="1"/>
  </w:num>
  <w:num w:numId="2" w16cid:durableId="495196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86D"/>
    <w:rsid w:val="000F2747"/>
    <w:rsid w:val="001056EA"/>
    <w:rsid w:val="0014086D"/>
    <w:rsid w:val="00166DE2"/>
    <w:rsid w:val="00180E67"/>
    <w:rsid w:val="001C5F2B"/>
    <w:rsid w:val="002425F9"/>
    <w:rsid w:val="0037233A"/>
    <w:rsid w:val="003827B2"/>
    <w:rsid w:val="00383F0F"/>
    <w:rsid w:val="003C3453"/>
    <w:rsid w:val="003F7B2E"/>
    <w:rsid w:val="0048511F"/>
    <w:rsid w:val="004B7A40"/>
    <w:rsid w:val="005C2134"/>
    <w:rsid w:val="00612A87"/>
    <w:rsid w:val="0067698E"/>
    <w:rsid w:val="00764641"/>
    <w:rsid w:val="008D34EE"/>
    <w:rsid w:val="008E4900"/>
    <w:rsid w:val="00A844C9"/>
    <w:rsid w:val="00AB531B"/>
    <w:rsid w:val="00AF4C84"/>
    <w:rsid w:val="00B33FEE"/>
    <w:rsid w:val="00BB4A67"/>
    <w:rsid w:val="00C964DE"/>
    <w:rsid w:val="00CA5748"/>
    <w:rsid w:val="00CE54F8"/>
    <w:rsid w:val="00D42F6B"/>
    <w:rsid w:val="00D676E7"/>
    <w:rsid w:val="00D95232"/>
    <w:rsid w:val="00D95493"/>
    <w:rsid w:val="00DA189A"/>
    <w:rsid w:val="00E55459"/>
    <w:rsid w:val="00EB325F"/>
    <w:rsid w:val="00FD3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57918"/>
  <w15:chartTrackingRefBased/>
  <w15:docId w15:val="{B66E028E-C598-413C-ADC4-CB47A8E95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6E7"/>
  </w:style>
  <w:style w:type="paragraph" w:styleId="Heading1">
    <w:name w:val="heading 1"/>
    <w:basedOn w:val="Normal"/>
    <w:next w:val="Normal"/>
    <w:link w:val="Heading1Char"/>
    <w:uiPriority w:val="9"/>
    <w:qFormat/>
    <w:rsid w:val="00140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8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8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8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8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8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8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8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8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8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8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8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8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8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8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8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86D"/>
    <w:rPr>
      <w:rFonts w:eastAsiaTheme="majorEastAsia" w:cstheme="majorBidi"/>
      <w:color w:val="272727" w:themeColor="text1" w:themeTint="D8"/>
    </w:rPr>
  </w:style>
  <w:style w:type="paragraph" w:styleId="Title">
    <w:name w:val="Title"/>
    <w:basedOn w:val="Normal"/>
    <w:next w:val="Normal"/>
    <w:link w:val="TitleChar"/>
    <w:uiPriority w:val="10"/>
    <w:qFormat/>
    <w:rsid w:val="00140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8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8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8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86D"/>
    <w:pPr>
      <w:spacing w:before="160"/>
      <w:jc w:val="center"/>
    </w:pPr>
    <w:rPr>
      <w:i/>
      <w:iCs/>
      <w:color w:val="404040" w:themeColor="text1" w:themeTint="BF"/>
    </w:rPr>
  </w:style>
  <w:style w:type="character" w:customStyle="1" w:styleId="QuoteChar">
    <w:name w:val="Quote Char"/>
    <w:basedOn w:val="DefaultParagraphFont"/>
    <w:link w:val="Quote"/>
    <w:uiPriority w:val="29"/>
    <w:rsid w:val="0014086D"/>
    <w:rPr>
      <w:i/>
      <w:iCs/>
      <w:color w:val="404040" w:themeColor="text1" w:themeTint="BF"/>
    </w:rPr>
  </w:style>
  <w:style w:type="paragraph" w:styleId="ListParagraph">
    <w:name w:val="List Paragraph"/>
    <w:basedOn w:val="Normal"/>
    <w:uiPriority w:val="34"/>
    <w:qFormat/>
    <w:rsid w:val="0014086D"/>
    <w:pPr>
      <w:ind w:left="720"/>
      <w:contextualSpacing/>
    </w:pPr>
  </w:style>
  <w:style w:type="character" w:styleId="IntenseEmphasis">
    <w:name w:val="Intense Emphasis"/>
    <w:basedOn w:val="DefaultParagraphFont"/>
    <w:uiPriority w:val="21"/>
    <w:qFormat/>
    <w:rsid w:val="0014086D"/>
    <w:rPr>
      <w:i/>
      <w:iCs/>
      <w:color w:val="0F4761" w:themeColor="accent1" w:themeShade="BF"/>
    </w:rPr>
  </w:style>
  <w:style w:type="paragraph" w:styleId="IntenseQuote">
    <w:name w:val="Intense Quote"/>
    <w:basedOn w:val="Normal"/>
    <w:next w:val="Normal"/>
    <w:link w:val="IntenseQuoteChar"/>
    <w:uiPriority w:val="30"/>
    <w:qFormat/>
    <w:rsid w:val="00140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86D"/>
    <w:rPr>
      <w:i/>
      <w:iCs/>
      <w:color w:val="0F4761" w:themeColor="accent1" w:themeShade="BF"/>
    </w:rPr>
  </w:style>
  <w:style w:type="character" w:styleId="IntenseReference">
    <w:name w:val="Intense Reference"/>
    <w:basedOn w:val="DefaultParagraphFont"/>
    <w:uiPriority w:val="32"/>
    <w:qFormat/>
    <w:rsid w:val="0014086D"/>
    <w:rPr>
      <w:b/>
      <w:bCs/>
      <w:smallCaps/>
      <w:color w:val="0F4761" w:themeColor="accent1" w:themeShade="BF"/>
      <w:spacing w:val="5"/>
    </w:rPr>
  </w:style>
  <w:style w:type="paragraph" w:styleId="Header">
    <w:name w:val="header"/>
    <w:basedOn w:val="Normal"/>
    <w:link w:val="HeaderChar"/>
    <w:uiPriority w:val="99"/>
    <w:unhideWhenUsed/>
    <w:rsid w:val="00D67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6E7"/>
  </w:style>
  <w:style w:type="paragraph" w:styleId="Footer">
    <w:name w:val="footer"/>
    <w:basedOn w:val="Normal"/>
    <w:link w:val="FooterChar"/>
    <w:uiPriority w:val="99"/>
    <w:unhideWhenUsed/>
    <w:rsid w:val="00D67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6E7"/>
  </w:style>
  <w:style w:type="paragraph" w:styleId="TOCHeading">
    <w:name w:val="TOC Heading"/>
    <w:basedOn w:val="Heading1"/>
    <w:next w:val="Normal"/>
    <w:uiPriority w:val="39"/>
    <w:unhideWhenUsed/>
    <w:qFormat/>
    <w:rsid w:val="00B33FE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A5748"/>
    <w:pPr>
      <w:spacing w:after="100"/>
    </w:pPr>
  </w:style>
  <w:style w:type="paragraph" w:styleId="TOC2">
    <w:name w:val="toc 2"/>
    <w:basedOn w:val="Normal"/>
    <w:next w:val="Normal"/>
    <w:autoRedefine/>
    <w:uiPriority w:val="39"/>
    <w:unhideWhenUsed/>
    <w:rsid w:val="00CA5748"/>
    <w:pPr>
      <w:spacing w:after="100"/>
      <w:ind w:left="240"/>
    </w:pPr>
  </w:style>
  <w:style w:type="paragraph" w:styleId="TOC3">
    <w:name w:val="toc 3"/>
    <w:basedOn w:val="Normal"/>
    <w:next w:val="Normal"/>
    <w:autoRedefine/>
    <w:uiPriority w:val="39"/>
    <w:unhideWhenUsed/>
    <w:rsid w:val="00CA5748"/>
    <w:pPr>
      <w:spacing w:after="100"/>
      <w:ind w:left="480"/>
    </w:pPr>
  </w:style>
  <w:style w:type="character" w:styleId="Hyperlink">
    <w:name w:val="Hyperlink"/>
    <w:basedOn w:val="DefaultParagraphFont"/>
    <w:uiPriority w:val="99"/>
    <w:unhideWhenUsed/>
    <w:rsid w:val="00CA5748"/>
    <w:rPr>
      <w:color w:val="467886" w:themeColor="hyperlink"/>
      <w:u w:val="single"/>
    </w:rPr>
  </w:style>
  <w:style w:type="paragraph" w:styleId="NormalWeb">
    <w:name w:val="Normal (Web)"/>
    <w:basedOn w:val="Normal"/>
    <w:uiPriority w:val="99"/>
    <w:unhideWhenUsed/>
    <w:rsid w:val="00FD31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D31BE"/>
    <w:rPr>
      <w:i/>
      <w:iCs/>
    </w:rPr>
  </w:style>
  <w:style w:type="character" w:styleId="UnresolvedMention">
    <w:name w:val="Unresolved Mention"/>
    <w:basedOn w:val="DefaultParagraphFont"/>
    <w:uiPriority w:val="99"/>
    <w:semiHidden/>
    <w:unhideWhenUsed/>
    <w:rsid w:val="00AB53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9101700108" TargetMode="External"/><Relationship Id="rId13" Type="http://schemas.openxmlformats.org/officeDocument/2006/relationships/hyperlink" Target="https://www.nextplc.co.uk/~/media/Files/N/next-plc-v4/about-next/annual-report-and-accounts-jan-2026.pdf" TargetMode="External"/><Relationship Id="rId18" Type="http://schemas.openxmlformats.org/officeDocument/2006/relationships/hyperlink" Target="https://www.reiss.com/our-story" TargetMode="External"/><Relationship Id="rId3" Type="http://schemas.openxmlformats.org/officeDocument/2006/relationships/styles" Target="styles.xml"/><Relationship Id="rId21" Type="http://schemas.openxmlformats.org/officeDocument/2006/relationships/hyperlink" Target="https://doi.org/10.1002/(SICI)1097-0266(199708)18:7%3C509::AID-SMJ882%3E3.0.CO;2-Z" TargetMode="External"/><Relationship Id="rId7" Type="http://schemas.openxmlformats.org/officeDocument/2006/relationships/endnotes" Target="endnotes.xml"/><Relationship Id="rId12" Type="http://schemas.openxmlformats.org/officeDocument/2006/relationships/hyperlink" Target="https://doi.org/10.1016/S0024-6301(96)00095-7" TargetMode="External"/><Relationship Id="rId17" Type="http://schemas.openxmlformats.org/officeDocument/2006/relationships/hyperlink" Target="https://www.reiss.com/sustainability/governanc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ns.gov.uk/businessindustryandtrade/retailindustry/bulletins/retailsales/august2026" TargetMode="External"/><Relationship Id="rId20" Type="http://schemas.openxmlformats.org/officeDocument/2006/relationships/hyperlink" Target="https://www.reiss.com/sustain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c.hbs.edu/strategy/business-strategy/Pages/the-five-forces.asp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38/s43017-020-0039-9" TargetMode="External"/><Relationship Id="rId23" Type="http://schemas.openxmlformats.org/officeDocument/2006/relationships/footer" Target="footer1.xml"/><Relationship Id="rId10" Type="http://schemas.openxmlformats.org/officeDocument/2006/relationships/hyperlink" Target="https://www.gov.uk/government/publications/complying-with-consumer-law-when-making-environmental-claims-in-the-fashion-retail-sector" TargetMode="External"/><Relationship Id="rId19" Type="http://schemas.openxmlformats.org/officeDocument/2006/relationships/hyperlink" Target="https://www.reiss.com/personal-shopping" TargetMode="External"/><Relationship Id="rId4" Type="http://schemas.openxmlformats.org/officeDocument/2006/relationships/settings" Target="settings.xml"/><Relationship Id="rId9" Type="http://schemas.openxmlformats.org/officeDocument/2006/relationships/hyperlink" Target="https://doi.org/10.5465/ame.1995.9512032192" TargetMode="External"/><Relationship Id="rId14" Type="http://schemas.openxmlformats.org/officeDocument/2006/relationships/hyperlink" Target="https://www.nextplc.co.uk/~/media/Files/N/next-plc-v4/documents/2026/half-year-results-july2026.pdf" TargetMode="External"/><Relationship Id="rId22" Type="http://schemas.openxmlformats.org/officeDocument/2006/relationships/hyperlink" Target="https://doi.org/10.5539/ijbm.v7n24p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23CB1-10F2-4761-AC9A-E12A55D65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11</Pages>
  <Words>3148</Words>
  <Characters>17948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10</cp:revision>
  <dcterms:created xsi:type="dcterms:W3CDTF">2026-09-21T10:43:00Z</dcterms:created>
  <dcterms:modified xsi:type="dcterms:W3CDTF">2026-10-21T17:13:00Z</dcterms:modified>
</cp:coreProperties>
</file>