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A86D8" w14:textId="0024A260" w:rsidR="00D170E6" w:rsidRPr="00693119" w:rsidRDefault="00D170E6" w:rsidP="00693119">
      <w:pPr>
        <w:rPr>
          <w:rFonts w:ascii="Aptos" w:hAnsi="Aptos"/>
          <w:b/>
          <w:bCs/>
          <w:lang w:val="en-GB"/>
        </w:rPr>
      </w:pPr>
      <w:r w:rsidRPr="00693119">
        <w:rPr>
          <w:rFonts w:ascii="Aptos" w:hAnsi="Aptos"/>
          <w:b/>
          <w:bCs/>
          <w:lang w:val="en-GB"/>
        </w:rPr>
        <w:t>Employee involvement vs Employee participation (AC 1.1)</w:t>
      </w:r>
    </w:p>
    <w:p w14:paraId="46BA9CF8" w14:textId="77777777" w:rsidR="00421E4D" w:rsidRPr="00693119" w:rsidRDefault="00421E4D" w:rsidP="00421E4D">
      <w:pPr>
        <w:rPr>
          <w:rFonts w:ascii="Aptos" w:hAnsi="Aptos"/>
          <w:b/>
          <w:bCs/>
          <w:lang w:val="en-GB"/>
        </w:rPr>
      </w:pPr>
    </w:p>
    <w:p w14:paraId="61227DB3" w14:textId="50A208F3" w:rsidR="00B30BD9" w:rsidRDefault="00B30BD9" w:rsidP="00B30BD9">
      <w:pPr>
        <w:rPr>
          <w:rFonts w:ascii="Aptos" w:hAnsi="Aptos"/>
          <w:lang w:val="en-GB"/>
        </w:rPr>
      </w:pPr>
      <w:r w:rsidRPr="00B30BD9">
        <w:rPr>
          <w:rFonts w:ascii="Aptos" w:hAnsi="Aptos"/>
          <w:lang w:val="en-GB"/>
        </w:rPr>
        <w:t>Employee involvement and employee participation are distinct yet complementary frameworks for engaging staff, defined differently in HR and organisational studies. Employee involvement refers to systems and practices that empower employees—individually or collectively—to influence day-to-day operational decisions. This includes workplace designs like self-managing teams, quality circles, gain-sharing schemes and participative decision-making where employees control task execution, receive information, and contribute ideas (Benson &amp; Lawler, 2013; Lawler, 1986)</w:t>
      </w:r>
      <w:r w:rsidR="00566DD6">
        <w:rPr>
          <w:rFonts w:ascii="Aptos" w:hAnsi="Aptos"/>
          <w:lang w:val="en-GB"/>
        </w:rPr>
        <w:t xml:space="preserve">. </w:t>
      </w:r>
      <w:r w:rsidRPr="00B30BD9">
        <w:rPr>
          <w:rFonts w:ascii="Aptos" w:hAnsi="Aptos"/>
          <w:lang w:val="en-GB"/>
        </w:rPr>
        <w:t xml:space="preserve">It emphasises skill development, job enrichment, access to information, and shared rewards—elements of what HR </w:t>
      </w:r>
      <w:proofErr w:type="gramStart"/>
      <w:r w:rsidRPr="00B30BD9">
        <w:rPr>
          <w:rFonts w:ascii="Aptos" w:hAnsi="Aptos"/>
          <w:lang w:val="en-GB"/>
        </w:rPr>
        <w:t>scholars</w:t>
      </w:r>
      <w:proofErr w:type="gramEnd"/>
      <w:r w:rsidRPr="00B30BD9">
        <w:rPr>
          <w:rFonts w:ascii="Aptos" w:hAnsi="Aptos"/>
          <w:lang w:val="en-GB"/>
        </w:rPr>
        <w:t xml:space="preserve"> term “high</w:t>
      </w:r>
      <w:r w:rsidRPr="00B30BD9">
        <w:rPr>
          <w:rFonts w:ascii="Aptos" w:hAnsi="Aptos"/>
          <w:lang w:val="en-GB"/>
        </w:rPr>
        <w:noBreakHyphen/>
        <w:t>involvement work systems” (Combs et</w:t>
      </w:r>
      <w:r w:rsidRPr="00B30BD9">
        <w:rPr>
          <w:rFonts w:ascii="Arial" w:hAnsi="Arial" w:cs="Arial"/>
          <w:lang w:val="en-GB"/>
        </w:rPr>
        <w:t> </w:t>
      </w:r>
      <w:r w:rsidRPr="00B30BD9">
        <w:rPr>
          <w:rFonts w:ascii="Aptos" w:hAnsi="Aptos"/>
          <w:lang w:val="en-GB"/>
        </w:rPr>
        <w:t>al., 2006; Benson &amp; Lawler, 2013)</w:t>
      </w:r>
      <w:r w:rsidR="00F5685F">
        <w:rPr>
          <w:rFonts w:ascii="Aptos" w:hAnsi="Aptos"/>
          <w:lang w:val="en-GB"/>
        </w:rPr>
        <w:t>.</w:t>
      </w:r>
    </w:p>
    <w:p w14:paraId="363769A7" w14:textId="77777777" w:rsidR="00F5685F" w:rsidRPr="00B30BD9" w:rsidRDefault="00F5685F" w:rsidP="00B30BD9">
      <w:pPr>
        <w:rPr>
          <w:rFonts w:ascii="Aptos" w:hAnsi="Aptos"/>
          <w:lang w:val="en-GB"/>
        </w:rPr>
      </w:pPr>
    </w:p>
    <w:p w14:paraId="033D369D" w14:textId="50254444" w:rsidR="00B30BD9" w:rsidRDefault="00B30BD9" w:rsidP="00B30BD9">
      <w:pPr>
        <w:rPr>
          <w:rFonts w:ascii="Aptos" w:hAnsi="Aptos"/>
          <w:lang w:val="en-GB"/>
        </w:rPr>
      </w:pPr>
      <w:r w:rsidRPr="00B30BD9">
        <w:rPr>
          <w:rFonts w:ascii="Aptos" w:hAnsi="Aptos"/>
          <w:lang w:val="en-GB"/>
        </w:rPr>
        <w:t>By contrast, employee participation is more strategic and longer-term in orientation. It often involves formal mechanisms—such as trade unions, works councils or joint consultative committees—where employees have rights to be consulted or represented in organisational decisions (</w:t>
      </w:r>
      <w:proofErr w:type="spellStart"/>
      <w:r w:rsidRPr="00B30BD9">
        <w:rPr>
          <w:rFonts w:ascii="Aptos" w:hAnsi="Aptos"/>
          <w:lang w:val="en-GB"/>
        </w:rPr>
        <w:t>Triantafillidou</w:t>
      </w:r>
      <w:proofErr w:type="spellEnd"/>
      <w:r w:rsidRPr="00B30BD9">
        <w:rPr>
          <w:rFonts w:ascii="Aptos" w:hAnsi="Aptos"/>
          <w:lang w:val="en-GB"/>
        </w:rPr>
        <w:t xml:space="preserve"> &amp; </w:t>
      </w:r>
      <w:proofErr w:type="spellStart"/>
      <w:r w:rsidRPr="00B30BD9">
        <w:rPr>
          <w:rFonts w:ascii="Aptos" w:hAnsi="Aptos"/>
          <w:lang w:val="en-GB"/>
        </w:rPr>
        <w:t>Koutroukis</w:t>
      </w:r>
      <w:proofErr w:type="spellEnd"/>
      <w:r w:rsidRPr="00B30BD9">
        <w:rPr>
          <w:rFonts w:ascii="Aptos" w:hAnsi="Aptos"/>
          <w:lang w:val="en-GB"/>
        </w:rPr>
        <w:t xml:space="preserve">, 2022; </w:t>
      </w:r>
      <w:proofErr w:type="spellStart"/>
      <w:r w:rsidRPr="00B30BD9">
        <w:rPr>
          <w:rFonts w:ascii="Aptos" w:hAnsi="Aptos"/>
          <w:lang w:val="en-GB"/>
        </w:rPr>
        <w:t>Eurofound</w:t>
      </w:r>
      <w:proofErr w:type="spellEnd"/>
      <w:r w:rsidRPr="00B30BD9">
        <w:rPr>
          <w:rFonts w:ascii="Aptos" w:hAnsi="Aptos"/>
          <w:lang w:val="en-GB"/>
        </w:rPr>
        <w:t>, 2016)</w:t>
      </w:r>
      <w:r w:rsidR="00DF7823">
        <w:rPr>
          <w:rFonts w:ascii="Aptos" w:hAnsi="Aptos"/>
          <w:lang w:val="en-GB"/>
        </w:rPr>
        <w:t>.</w:t>
      </w:r>
      <w:r w:rsidRPr="00B30BD9">
        <w:rPr>
          <w:rFonts w:ascii="Aptos" w:hAnsi="Aptos"/>
          <w:lang w:val="en-GB"/>
        </w:rPr>
        <w:t xml:space="preserve"> Participation can be direct, such as suggestion schemes or involvement in continuous improvement projects, or indirect, via elected representatives negotiating or consulting on changes at a structural level (</w:t>
      </w:r>
      <w:proofErr w:type="spellStart"/>
      <w:r w:rsidRPr="00B30BD9">
        <w:rPr>
          <w:rFonts w:ascii="Aptos" w:hAnsi="Aptos"/>
          <w:lang w:val="en-GB"/>
        </w:rPr>
        <w:t>Eurofound</w:t>
      </w:r>
      <w:proofErr w:type="spellEnd"/>
      <w:r w:rsidRPr="00B30BD9">
        <w:rPr>
          <w:rFonts w:ascii="Aptos" w:hAnsi="Aptos"/>
          <w:lang w:val="en-GB"/>
        </w:rPr>
        <w:t>, 2016).</w:t>
      </w:r>
    </w:p>
    <w:p w14:paraId="0CB1924E" w14:textId="77777777" w:rsidR="00DF7823" w:rsidRPr="00B30BD9" w:rsidRDefault="00DF7823" w:rsidP="00B30BD9">
      <w:pPr>
        <w:rPr>
          <w:rFonts w:ascii="Aptos" w:hAnsi="Aptos"/>
          <w:lang w:val="en-GB"/>
        </w:rPr>
      </w:pPr>
    </w:p>
    <w:p w14:paraId="5E64DECE" w14:textId="12D534DF" w:rsidR="00B30BD9" w:rsidRDefault="00B30BD9" w:rsidP="00B30BD9">
      <w:pPr>
        <w:rPr>
          <w:rFonts w:ascii="Aptos" w:hAnsi="Aptos"/>
          <w:lang w:val="en-GB"/>
        </w:rPr>
      </w:pPr>
      <w:r w:rsidRPr="00B30BD9">
        <w:rPr>
          <w:rFonts w:ascii="Aptos" w:hAnsi="Aptos"/>
          <w:lang w:val="en-GB"/>
        </w:rPr>
        <w:t>In practice, involvement builds operational buy</w:t>
      </w:r>
      <w:r w:rsidRPr="00B30BD9">
        <w:rPr>
          <w:rFonts w:ascii="Aptos" w:hAnsi="Aptos"/>
          <w:lang w:val="en-GB"/>
        </w:rPr>
        <w:noBreakHyphen/>
        <w:t>in and fosters workforce harmony by allowing employees autonomy and input within their roles—enhancing intrinsic motivation and well-being (Ogbonda, 2023; Benson &amp; Lawler, 2013). Participation, however, builds deeper trust and legitimacy by giving employees a voice in strategic and organisational-level decisions (</w:t>
      </w:r>
      <w:proofErr w:type="spellStart"/>
      <w:r w:rsidRPr="00B30BD9">
        <w:rPr>
          <w:rFonts w:ascii="Aptos" w:hAnsi="Aptos"/>
          <w:lang w:val="en-GB"/>
        </w:rPr>
        <w:t>Triantafillidou</w:t>
      </w:r>
      <w:proofErr w:type="spellEnd"/>
      <w:r w:rsidRPr="00B30BD9">
        <w:rPr>
          <w:rFonts w:ascii="Aptos" w:hAnsi="Aptos"/>
          <w:lang w:val="en-GB"/>
        </w:rPr>
        <w:t xml:space="preserve"> &amp; </w:t>
      </w:r>
      <w:proofErr w:type="spellStart"/>
      <w:r w:rsidRPr="00B30BD9">
        <w:rPr>
          <w:rFonts w:ascii="Aptos" w:hAnsi="Aptos"/>
          <w:lang w:val="en-GB"/>
        </w:rPr>
        <w:t>Koutroukis</w:t>
      </w:r>
      <w:proofErr w:type="spellEnd"/>
      <w:r w:rsidRPr="00B30BD9">
        <w:rPr>
          <w:rFonts w:ascii="Aptos" w:hAnsi="Aptos"/>
          <w:lang w:val="en-GB"/>
        </w:rPr>
        <w:t>, 2022).</w:t>
      </w:r>
    </w:p>
    <w:p w14:paraId="51B0B4FA" w14:textId="77777777" w:rsidR="00DF7823" w:rsidRPr="00B30BD9" w:rsidRDefault="00DF7823" w:rsidP="00B30BD9">
      <w:pPr>
        <w:rPr>
          <w:rFonts w:ascii="Aptos" w:hAnsi="Aptos"/>
          <w:lang w:val="en-GB"/>
        </w:rPr>
      </w:pPr>
    </w:p>
    <w:p w14:paraId="5EC46066" w14:textId="77777777" w:rsidR="00B30BD9" w:rsidRDefault="00B30BD9" w:rsidP="00B30BD9">
      <w:pPr>
        <w:rPr>
          <w:rFonts w:ascii="Aptos" w:hAnsi="Aptos"/>
          <w:lang w:val="en-GB"/>
        </w:rPr>
      </w:pPr>
      <w:r w:rsidRPr="00B30BD9">
        <w:rPr>
          <w:rFonts w:ascii="Aptos" w:hAnsi="Aptos"/>
          <w:lang w:val="en-GB"/>
        </w:rPr>
        <w:t>In a post-merger public sector environment—where private-sector leaders may be unfamiliar with consultation traditions and staff expect inclusive dialogue—maintaining both involvement and participation mechanisms is crucial. Involvement ensures operational continuity and efficiency during change, enables frontline teams to contribute practical insights and fosters ownership over processes such as new workflows. Participation ensures legitimacy and fairness in merger-related decisions through representative consultation, strengthening commitment to organisational direction and policy changes.</w:t>
      </w:r>
    </w:p>
    <w:p w14:paraId="58A3CC6D" w14:textId="77777777" w:rsidR="00DF7823" w:rsidRPr="00B30BD9" w:rsidRDefault="00DF7823" w:rsidP="00B30BD9">
      <w:pPr>
        <w:rPr>
          <w:rFonts w:ascii="Aptos" w:hAnsi="Aptos"/>
          <w:lang w:val="en-GB"/>
        </w:rPr>
      </w:pPr>
    </w:p>
    <w:p w14:paraId="2EB3188D" w14:textId="1EE6696A" w:rsidR="00B30BD9" w:rsidRDefault="00B30BD9" w:rsidP="00B30BD9">
      <w:pPr>
        <w:rPr>
          <w:rFonts w:ascii="Aptos" w:hAnsi="Aptos"/>
          <w:lang w:val="en-GB"/>
        </w:rPr>
      </w:pPr>
      <w:r w:rsidRPr="00B30BD9">
        <w:rPr>
          <w:rFonts w:ascii="Aptos" w:hAnsi="Aptos"/>
          <w:lang w:val="en-GB"/>
        </w:rPr>
        <w:t>Public-sector literature emphasises that successful engagement blends both models: involvement for day-to-day empowerment, participation for strategic consultation and structural trust (Dundon et</w:t>
      </w:r>
      <w:r w:rsidRPr="00B30BD9">
        <w:rPr>
          <w:rFonts w:ascii="Arial" w:hAnsi="Arial" w:cs="Arial"/>
          <w:lang w:val="en-GB"/>
        </w:rPr>
        <w:t> </w:t>
      </w:r>
      <w:r w:rsidRPr="00B30BD9">
        <w:rPr>
          <w:rFonts w:ascii="Aptos" w:hAnsi="Aptos"/>
          <w:lang w:val="en-GB"/>
        </w:rPr>
        <w:t xml:space="preserve">al., 2023; </w:t>
      </w:r>
      <w:proofErr w:type="spellStart"/>
      <w:r w:rsidRPr="00B30BD9">
        <w:rPr>
          <w:rFonts w:ascii="Aptos" w:hAnsi="Aptos"/>
          <w:lang w:val="en-GB"/>
        </w:rPr>
        <w:t>Triantafillidou</w:t>
      </w:r>
      <w:proofErr w:type="spellEnd"/>
      <w:r w:rsidRPr="00B30BD9">
        <w:rPr>
          <w:rFonts w:ascii="Aptos" w:hAnsi="Aptos"/>
          <w:lang w:val="en-GB"/>
        </w:rPr>
        <w:t xml:space="preserve"> &amp; </w:t>
      </w:r>
      <w:proofErr w:type="spellStart"/>
      <w:r w:rsidRPr="00B30BD9">
        <w:rPr>
          <w:rFonts w:ascii="Aptos" w:hAnsi="Aptos"/>
          <w:lang w:val="en-GB"/>
        </w:rPr>
        <w:t>Koutroukis</w:t>
      </w:r>
      <w:proofErr w:type="spellEnd"/>
      <w:r w:rsidRPr="00B30BD9">
        <w:rPr>
          <w:rFonts w:ascii="Aptos" w:hAnsi="Aptos"/>
          <w:lang w:val="en-GB"/>
        </w:rPr>
        <w:t>, 2022). For example, organisations may run suggestion schemes and brainstorming workshops (involvement), while holding formal staff council meetings or union consultation committees on strategic issues like job security, service delivery impact or change governance (participation).</w:t>
      </w:r>
    </w:p>
    <w:p w14:paraId="4EDBA6A1" w14:textId="77777777" w:rsidR="004C4F78" w:rsidRPr="00B30BD9" w:rsidRDefault="004C4F78" w:rsidP="00B30BD9">
      <w:pPr>
        <w:rPr>
          <w:rFonts w:ascii="Aptos" w:hAnsi="Aptos"/>
          <w:lang w:val="en-GB"/>
        </w:rPr>
      </w:pPr>
    </w:p>
    <w:p w14:paraId="27C1977D" w14:textId="77777777" w:rsidR="00B30BD9" w:rsidRDefault="00B30BD9" w:rsidP="00B30BD9">
      <w:pPr>
        <w:rPr>
          <w:rFonts w:ascii="Aptos" w:hAnsi="Aptos"/>
          <w:lang w:val="en-GB"/>
        </w:rPr>
      </w:pPr>
      <w:r w:rsidRPr="00B30BD9">
        <w:rPr>
          <w:rFonts w:ascii="Aptos" w:hAnsi="Aptos"/>
          <w:lang w:val="en-GB"/>
        </w:rPr>
        <w:t>By offering both forms of employee voice, the merged public-sector organisation can nurture a culture of engagement, trust, innovation and legitimacy—crucial foundations for harmony and commitment during periods of leadership transition and staff change.</w:t>
      </w:r>
    </w:p>
    <w:p w14:paraId="7783120C" w14:textId="77777777" w:rsidR="00DB71E3" w:rsidRPr="00B30BD9" w:rsidRDefault="00DB71E3" w:rsidP="00B30BD9">
      <w:pPr>
        <w:rPr>
          <w:rFonts w:ascii="Aptos" w:hAnsi="Aptos"/>
          <w:lang w:val="en-GB"/>
        </w:rPr>
      </w:pPr>
    </w:p>
    <w:p w14:paraId="7D937B77" w14:textId="77777777" w:rsidR="00421E4D" w:rsidRDefault="00421E4D" w:rsidP="00D170E6">
      <w:pPr>
        <w:rPr>
          <w:lang w:val="en-GB"/>
        </w:rPr>
      </w:pPr>
    </w:p>
    <w:p w14:paraId="0C43F5F8" w14:textId="77777777" w:rsidR="008C2355" w:rsidRDefault="008C2355" w:rsidP="00D170E6">
      <w:pPr>
        <w:rPr>
          <w:lang w:val="en-GB"/>
        </w:rPr>
      </w:pPr>
    </w:p>
    <w:p w14:paraId="7EB9F122" w14:textId="77777777" w:rsidR="008C2355" w:rsidRDefault="008C2355" w:rsidP="00D170E6">
      <w:pPr>
        <w:rPr>
          <w:lang w:val="en-GB"/>
        </w:rPr>
      </w:pPr>
    </w:p>
    <w:p w14:paraId="36DC8293" w14:textId="77777777" w:rsidR="008C2355" w:rsidRPr="00D170E6" w:rsidRDefault="008C2355" w:rsidP="00D170E6">
      <w:pPr>
        <w:rPr>
          <w:lang w:val="en-GB"/>
        </w:rPr>
      </w:pPr>
    </w:p>
    <w:p w14:paraId="183DDE52" w14:textId="284D529E" w:rsidR="00D170E6" w:rsidRPr="008C2355" w:rsidRDefault="00D170E6" w:rsidP="00D170E6">
      <w:pPr>
        <w:rPr>
          <w:rFonts w:ascii="Aptos" w:hAnsi="Aptos"/>
          <w:b/>
          <w:bCs/>
          <w:lang w:val="en-GB"/>
        </w:rPr>
      </w:pPr>
      <w:r w:rsidRPr="00D170E6">
        <w:rPr>
          <w:rFonts w:ascii="Aptos" w:hAnsi="Aptos"/>
          <w:b/>
          <w:bCs/>
          <w:lang w:val="en-GB"/>
        </w:rPr>
        <w:lastRenderedPageBreak/>
        <w:t>Forms of union vs non-union employee representation (AC 1.2)</w:t>
      </w:r>
    </w:p>
    <w:p w14:paraId="4970FC2E" w14:textId="77777777" w:rsidR="00DB71E3" w:rsidRPr="00D170E6" w:rsidRDefault="00DB71E3" w:rsidP="00D170E6">
      <w:pPr>
        <w:rPr>
          <w:rFonts w:ascii="Aptos" w:hAnsi="Aptos"/>
          <w:b/>
          <w:bCs/>
          <w:lang w:val="en-GB"/>
        </w:rPr>
      </w:pPr>
    </w:p>
    <w:p w14:paraId="13BB9891" w14:textId="77777777" w:rsidR="008C2355" w:rsidRDefault="008C2355" w:rsidP="008C2355">
      <w:pPr>
        <w:rPr>
          <w:rFonts w:ascii="Aptos" w:hAnsi="Aptos"/>
          <w:lang w:val="en-GB"/>
        </w:rPr>
      </w:pPr>
      <w:r w:rsidRPr="008C2355">
        <w:rPr>
          <w:rFonts w:ascii="Aptos" w:hAnsi="Aptos"/>
          <w:lang w:val="en-GB"/>
        </w:rPr>
        <w:t>Employee representation refers to the structures through which employees’ interests are expressed, safeguarded, and negotiated with management. In the UK public sector, both union and non-union representation models operate, often in tandem, to provide comprehensive employee voice.</w:t>
      </w:r>
    </w:p>
    <w:p w14:paraId="7FAE9D6D" w14:textId="77777777" w:rsidR="008C2355" w:rsidRPr="008C2355" w:rsidRDefault="008C2355" w:rsidP="008C2355">
      <w:pPr>
        <w:rPr>
          <w:rFonts w:ascii="Aptos" w:hAnsi="Aptos"/>
          <w:lang w:val="en-GB"/>
        </w:rPr>
      </w:pPr>
    </w:p>
    <w:p w14:paraId="1ED8A2DB" w14:textId="77777777" w:rsidR="008C2355" w:rsidRDefault="008C2355" w:rsidP="008C2355">
      <w:pPr>
        <w:rPr>
          <w:rFonts w:ascii="Aptos" w:hAnsi="Aptos"/>
          <w:lang w:val="en-GB"/>
        </w:rPr>
      </w:pPr>
      <w:r w:rsidRPr="008C2355">
        <w:rPr>
          <w:rFonts w:ascii="Aptos" w:hAnsi="Aptos"/>
          <w:lang w:val="en-GB"/>
        </w:rPr>
        <w:t>Union representation is the most established form in public services. Recognised trade unions, such as UNISON, PCS, or Unite, engage in collective bargaining on pay, terms and conditions, and employment policies (Heery, 2016). In the public sector, formal negotiation frameworks such as the Cabinet Office agreements or JNCHES (Joint Negotiating Committee for Higher Education Staff) govern structured dialogue between management and employee representatives (BEIS, 2021). Union representation also involves consultation committees, participation in health and safety forums, and the ability to mobilise industrial action (strikes, work-to-rule, overtime bans) when disputes cannot be resolved (</w:t>
      </w:r>
      <w:proofErr w:type="spellStart"/>
      <w:r w:rsidRPr="008C2355">
        <w:rPr>
          <w:rFonts w:ascii="Aptos" w:hAnsi="Aptos"/>
          <w:lang w:val="en-GB"/>
        </w:rPr>
        <w:t>Eurofound</w:t>
      </w:r>
      <w:proofErr w:type="spellEnd"/>
      <w:r w:rsidRPr="008C2355">
        <w:rPr>
          <w:rFonts w:ascii="Aptos" w:hAnsi="Aptos"/>
          <w:lang w:val="en-GB"/>
        </w:rPr>
        <w:t>, 2016). Unions offer legal support, training, and advocacy, which strengthens employees’ bargaining power and ensures that changes are subject to robust scrutiny.</w:t>
      </w:r>
    </w:p>
    <w:p w14:paraId="1D3A0739" w14:textId="77777777" w:rsidR="008C2355" w:rsidRPr="008C2355" w:rsidRDefault="008C2355" w:rsidP="008C2355">
      <w:pPr>
        <w:rPr>
          <w:rFonts w:ascii="Aptos" w:hAnsi="Aptos"/>
          <w:lang w:val="en-GB"/>
        </w:rPr>
      </w:pPr>
    </w:p>
    <w:p w14:paraId="77EC7D87" w14:textId="77777777" w:rsidR="008C2355" w:rsidRDefault="008C2355" w:rsidP="008C2355">
      <w:pPr>
        <w:rPr>
          <w:rFonts w:ascii="Aptos" w:hAnsi="Aptos"/>
          <w:lang w:val="en-GB"/>
        </w:rPr>
      </w:pPr>
      <w:r w:rsidRPr="008C2355">
        <w:rPr>
          <w:rFonts w:ascii="Aptos" w:hAnsi="Aptos"/>
          <w:lang w:val="en-GB"/>
        </w:rPr>
        <w:t>By contrast, non-union representation refers to channels not mediated through a recognised trade union. These may be direct voice mechanisms—such as staff surveys, suggestion schemes, team briefings, town-hall meetings, and open-door policies—or indirect forums such as elected employee councils, joint consultative committees without union affiliation, quality circles, and cross-departmental working groups (Marchington et al., 2021). The CIPD Good Work Index highlights these approaches as valuable for encouraging innovation, rapid feedback, and collaborative problem-solving (CIPD, 2023). Non-union representation tends to be more flexible, adaptable to organisational culture, and quicker to implement, particularly in smaller departments or where staff are dispersed.</w:t>
      </w:r>
    </w:p>
    <w:p w14:paraId="380B52E1" w14:textId="77777777" w:rsidR="00524D30" w:rsidRPr="008C2355" w:rsidRDefault="00524D30" w:rsidP="008C2355">
      <w:pPr>
        <w:rPr>
          <w:rFonts w:ascii="Aptos" w:hAnsi="Aptos"/>
          <w:lang w:val="en-GB"/>
        </w:rPr>
      </w:pPr>
    </w:p>
    <w:p w14:paraId="4698994E" w14:textId="77777777" w:rsidR="008C2355" w:rsidRPr="008C2355" w:rsidRDefault="008C2355" w:rsidP="008C2355">
      <w:pPr>
        <w:rPr>
          <w:rFonts w:ascii="Aptos" w:hAnsi="Aptos"/>
          <w:lang w:val="en-GB"/>
        </w:rPr>
      </w:pPr>
      <w:r w:rsidRPr="008C2355">
        <w:rPr>
          <w:rFonts w:ascii="Aptos" w:hAnsi="Aptos"/>
          <w:lang w:val="en-GB"/>
        </w:rPr>
        <w:t>In the public sector post-merger context, both forms have specific advantages. Union mechanisms ensure compliance with statutory consultation duties, protect against unilateral changes to terms, and provide legitimacy in large-scale restructuring. Non-union channels can complement these by capturing broader engagement, especially from employees who are not union members, and by providing real-time operational insights to managers (TUC, 2020).</w:t>
      </w:r>
    </w:p>
    <w:p w14:paraId="673E2983" w14:textId="77777777" w:rsidR="008C2355" w:rsidRPr="008C2355" w:rsidRDefault="008C2355" w:rsidP="008C2355">
      <w:pPr>
        <w:rPr>
          <w:rFonts w:ascii="Aptos" w:hAnsi="Aptos"/>
          <w:lang w:val="en-GB"/>
        </w:rPr>
      </w:pPr>
      <w:r w:rsidRPr="008C2355">
        <w:rPr>
          <w:rFonts w:ascii="Aptos" w:hAnsi="Aptos"/>
          <w:lang w:val="en-GB"/>
        </w:rPr>
        <w:t>Research indicates that a dual-channel approach—where union and non-union structures coexist—creates stronger employee voice, reduces the likelihood of conflict escalation, and fosters trust between staff and leadership (</w:t>
      </w:r>
      <w:proofErr w:type="spellStart"/>
      <w:r w:rsidRPr="008C2355">
        <w:rPr>
          <w:rFonts w:ascii="Aptos" w:hAnsi="Aptos"/>
          <w:lang w:val="en-GB"/>
        </w:rPr>
        <w:t>Eurofound</w:t>
      </w:r>
      <w:proofErr w:type="spellEnd"/>
      <w:r w:rsidRPr="008C2355">
        <w:rPr>
          <w:rFonts w:ascii="Aptos" w:hAnsi="Aptos"/>
          <w:lang w:val="en-GB"/>
        </w:rPr>
        <w:t>, 2016; Marchington et al., 2021). For newly appointed leaders from the private sector, recognising the unique role of trade unions in the public sector, while also developing agile non-union mechanisms, will be essential to maintain industrial harmony and support change acceptance.</w:t>
      </w:r>
    </w:p>
    <w:p w14:paraId="65BE83CE" w14:textId="77777777" w:rsidR="008C2355" w:rsidRDefault="008C2355" w:rsidP="00D170E6">
      <w:pPr>
        <w:rPr>
          <w:lang w:val="en-GB"/>
        </w:rPr>
      </w:pPr>
    </w:p>
    <w:p w14:paraId="3F989B04" w14:textId="77777777" w:rsidR="008C2355" w:rsidRPr="00D170E6" w:rsidRDefault="008C2355" w:rsidP="00D170E6">
      <w:pPr>
        <w:rPr>
          <w:lang w:val="en-GB"/>
        </w:rPr>
      </w:pPr>
    </w:p>
    <w:p w14:paraId="003DB8DD" w14:textId="50FD888D" w:rsidR="00D170E6" w:rsidRPr="00140097" w:rsidRDefault="00D170E6" w:rsidP="00D170E6">
      <w:pPr>
        <w:rPr>
          <w:rFonts w:ascii="Aptos" w:hAnsi="Aptos"/>
          <w:b/>
          <w:bCs/>
          <w:lang w:val="en-GB"/>
        </w:rPr>
      </w:pPr>
      <w:r w:rsidRPr="00D170E6">
        <w:rPr>
          <w:rFonts w:ascii="Aptos" w:hAnsi="Aptos"/>
          <w:b/>
          <w:bCs/>
          <w:lang w:val="en-GB"/>
        </w:rPr>
        <w:t>Employee voice and organisational performance (AC 1.3)</w:t>
      </w:r>
    </w:p>
    <w:p w14:paraId="4A87CE76" w14:textId="77777777" w:rsidR="00F678EB" w:rsidRPr="00D170E6" w:rsidRDefault="00F678EB" w:rsidP="00D170E6">
      <w:pPr>
        <w:rPr>
          <w:b/>
          <w:bCs/>
          <w:lang w:val="en-GB"/>
        </w:rPr>
      </w:pPr>
    </w:p>
    <w:p w14:paraId="204B73C7" w14:textId="77777777" w:rsidR="00140097" w:rsidRPr="00140097" w:rsidRDefault="00140097" w:rsidP="00140097">
      <w:pPr>
        <w:rPr>
          <w:rFonts w:ascii="Aptos" w:hAnsi="Aptos"/>
          <w:lang w:val="en-GB"/>
        </w:rPr>
      </w:pPr>
      <w:r w:rsidRPr="00140097">
        <w:rPr>
          <w:rFonts w:ascii="Aptos" w:hAnsi="Aptos"/>
          <w:lang w:val="en-GB"/>
        </w:rPr>
        <w:t>Employee voice refers to the ability of employees to express opinions, concerns, suggestions, and ideas to management, either directly or through representatives. A strong organisational voice culture—where employees feel safe and encouraged to speak up—has been shown to positively correlate with higher engagement, innovation, and service quality (</w:t>
      </w:r>
      <w:proofErr w:type="spellStart"/>
      <w:r w:rsidRPr="00140097">
        <w:rPr>
          <w:rFonts w:ascii="Aptos" w:hAnsi="Aptos"/>
          <w:lang w:val="en-GB"/>
        </w:rPr>
        <w:t>Abdulgalimov</w:t>
      </w:r>
      <w:proofErr w:type="spellEnd"/>
      <w:r w:rsidRPr="00140097">
        <w:rPr>
          <w:rFonts w:ascii="Aptos" w:hAnsi="Aptos"/>
          <w:lang w:val="en-GB"/>
        </w:rPr>
        <w:t xml:space="preserve"> et al., 2020).</w:t>
      </w:r>
    </w:p>
    <w:p w14:paraId="09A56B45" w14:textId="77777777" w:rsidR="00140097" w:rsidRDefault="00140097" w:rsidP="00140097">
      <w:pPr>
        <w:rPr>
          <w:rFonts w:ascii="Aptos" w:hAnsi="Aptos"/>
          <w:lang w:val="en-GB"/>
        </w:rPr>
      </w:pPr>
      <w:r w:rsidRPr="00140097">
        <w:rPr>
          <w:rFonts w:ascii="Aptos" w:hAnsi="Aptos"/>
          <w:lang w:val="en-GB"/>
        </w:rPr>
        <w:lastRenderedPageBreak/>
        <w:t>In the public sector, research consistently links employee voice to enhanced job engagement, organisational citizenship behaviours (such as helping colleagues and going beyond role requirements), and improved performance outcomes (</w:t>
      </w:r>
      <w:proofErr w:type="spellStart"/>
      <w:r w:rsidRPr="00140097">
        <w:rPr>
          <w:rFonts w:ascii="Aptos" w:hAnsi="Aptos"/>
          <w:lang w:val="en-GB"/>
        </w:rPr>
        <w:t>Kişi</w:t>
      </w:r>
      <w:proofErr w:type="spellEnd"/>
      <w:r w:rsidRPr="00140097">
        <w:rPr>
          <w:rFonts w:ascii="Aptos" w:hAnsi="Aptos"/>
          <w:lang w:val="en-GB"/>
        </w:rPr>
        <w:t>, 2024). When employees have channels to influence decisions, they are more likely to commit discretionary effort, which directly benefits service delivery standards and citizen satisfaction.</w:t>
      </w:r>
    </w:p>
    <w:p w14:paraId="156996D3" w14:textId="77777777" w:rsidR="00F800B0" w:rsidRPr="00140097" w:rsidRDefault="00F800B0" w:rsidP="00140097">
      <w:pPr>
        <w:rPr>
          <w:rFonts w:ascii="Aptos" w:hAnsi="Aptos"/>
          <w:lang w:val="en-GB"/>
        </w:rPr>
      </w:pPr>
    </w:p>
    <w:p w14:paraId="2A10DE9B" w14:textId="77777777" w:rsidR="00140097" w:rsidRDefault="00140097" w:rsidP="00140097">
      <w:pPr>
        <w:rPr>
          <w:rFonts w:ascii="Aptos" w:hAnsi="Aptos"/>
          <w:lang w:val="en-GB"/>
        </w:rPr>
      </w:pPr>
      <w:r w:rsidRPr="00140097">
        <w:rPr>
          <w:rFonts w:ascii="Aptos" w:hAnsi="Aptos"/>
          <w:lang w:val="en-GB"/>
        </w:rPr>
        <w:t>Dundon et al. (2023) note that effective listening mechanisms—such as regular consultation, open forums, and representative committees—can increase morale, reduce turnover, and support smoother change management, particularly in merger contexts where uncertainty can otherwise drive disengagement. Voice mechanisms act as an early-warning system, allowing leaders to identify and address concerns before they escalate into formal disputes.</w:t>
      </w:r>
    </w:p>
    <w:p w14:paraId="3BAA6759" w14:textId="77777777" w:rsidR="00F800B0" w:rsidRPr="00140097" w:rsidRDefault="00F800B0" w:rsidP="00140097">
      <w:pPr>
        <w:rPr>
          <w:rFonts w:ascii="Aptos" w:hAnsi="Aptos"/>
          <w:lang w:val="en-GB"/>
        </w:rPr>
      </w:pPr>
    </w:p>
    <w:p w14:paraId="64389E0C" w14:textId="77777777" w:rsidR="00140097" w:rsidRDefault="00140097" w:rsidP="00140097">
      <w:pPr>
        <w:rPr>
          <w:rFonts w:ascii="Aptos" w:hAnsi="Aptos"/>
          <w:lang w:val="en-GB"/>
        </w:rPr>
      </w:pPr>
      <w:r w:rsidRPr="00140097">
        <w:rPr>
          <w:rFonts w:ascii="Aptos" w:hAnsi="Aptos"/>
          <w:lang w:val="en-GB"/>
        </w:rPr>
        <w:t>From an organisational performance perspective, CIPD (2023) highlights that employee voice contributes to innovation by encouraging the sharing of operational insights and problem-solving ideas, often leading to process improvements and cost efficiencies. In high-reliability public services (e.g., healthcare, emergency response), a strong voice culture supports safety by ensuring that potential risks are flagged and acted upon without fear of reprisal.</w:t>
      </w:r>
    </w:p>
    <w:p w14:paraId="27483C0B" w14:textId="77777777" w:rsidR="000B68A3" w:rsidRPr="00140097" w:rsidRDefault="000B68A3" w:rsidP="00140097">
      <w:pPr>
        <w:rPr>
          <w:rFonts w:ascii="Aptos" w:hAnsi="Aptos"/>
          <w:lang w:val="en-GB"/>
        </w:rPr>
      </w:pPr>
    </w:p>
    <w:p w14:paraId="6B1425F9" w14:textId="77777777" w:rsidR="00140097" w:rsidRDefault="00140097" w:rsidP="00140097">
      <w:pPr>
        <w:rPr>
          <w:rFonts w:ascii="Aptos" w:hAnsi="Aptos"/>
          <w:lang w:val="en-GB"/>
        </w:rPr>
      </w:pPr>
      <w:r w:rsidRPr="00140097">
        <w:rPr>
          <w:rFonts w:ascii="Aptos" w:hAnsi="Aptos"/>
          <w:lang w:val="en-GB"/>
        </w:rPr>
        <w:t>Moreover, employee voice is strongly associated with perceptions of procedural justice—the belief that processes are fair—which, in turn, drives trust in leadership and commitment to organisational goals (Colquitt et al., 2001). In a merged organisation with leaders from different backgrounds, visible commitment to listening and acting on employee input can bridge cultural divides between legacy teams.</w:t>
      </w:r>
    </w:p>
    <w:p w14:paraId="0476B7A1" w14:textId="77777777" w:rsidR="000B68A3" w:rsidRPr="00140097" w:rsidRDefault="000B68A3" w:rsidP="00140097">
      <w:pPr>
        <w:rPr>
          <w:rFonts w:ascii="Aptos" w:hAnsi="Aptos"/>
          <w:lang w:val="en-GB"/>
        </w:rPr>
      </w:pPr>
    </w:p>
    <w:p w14:paraId="7F01A5B5" w14:textId="77777777" w:rsidR="00140097" w:rsidRDefault="00140097" w:rsidP="00140097">
      <w:pPr>
        <w:rPr>
          <w:rFonts w:ascii="Aptos" w:hAnsi="Aptos"/>
          <w:lang w:val="en-GB"/>
        </w:rPr>
      </w:pPr>
      <w:r w:rsidRPr="00140097">
        <w:rPr>
          <w:rFonts w:ascii="Aptos" w:hAnsi="Aptos"/>
          <w:lang w:val="en-GB"/>
        </w:rPr>
        <w:t>However, for voice to positively impact performance, it must be genuine rather than symbolic. Tokenistic consultation—where employees are asked for input but see no action—can harm engagement and trust (Wilkinson et al., 2020). Therefore, public sector leaders should not only provide multiple voice channels (both union and non-union) but also close the feedback loop by communicating outcomes and explaining how employee contributions influenced decisions.</w:t>
      </w:r>
    </w:p>
    <w:p w14:paraId="25ED7E72" w14:textId="77777777" w:rsidR="00191D89" w:rsidRPr="00140097" w:rsidRDefault="00191D89" w:rsidP="00140097">
      <w:pPr>
        <w:rPr>
          <w:rFonts w:ascii="Aptos" w:hAnsi="Aptos"/>
          <w:lang w:val="en-GB"/>
        </w:rPr>
      </w:pPr>
    </w:p>
    <w:p w14:paraId="7D3F1274" w14:textId="77777777" w:rsidR="00140097" w:rsidRPr="00140097" w:rsidRDefault="00140097" w:rsidP="00140097">
      <w:pPr>
        <w:rPr>
          <w:rFonts w:ascii="Aptos" w:hAnsi="Aptos"/>
          <w:lang w:val="en-GB"/>
        </w:rPr>
      </w:pPr>
      <w:r w:rsidRPr="00140097">
        <w:rPr>
          <w:rFonts w:ascii="Aptos" w:hAnsi="Aptos"/>
          <w:lang w:val="en-GB"/>
        </w:rPr>
        <w:t>In summary, fostering a robust voice culture in the newly merged organisation can improve staff morale, service delivery, and innovation, while reducing conflict risk—making it a critical strategic priority during the post-merger transition.</w:t>
      </w:r>
    </w:p>
    <w:p w14:paraId="3D38FFEE" w14:textId="77777777" w:rsidR="00140097" w:rsidRPr="00140097" w:rsidRDefault="00140097" w:rsidP="00140097">
      <w:pPr>
        <w:rPr>
          <w:b/>
          <w:bCs/>
          <w:lang w:val="en-GB"/>
        </w:rPr>
      </w:pPr>
    </w:p>
    <w:p w14:paraId="782BABA7" w14:textId="77777777" w:rsidR="00F678EB" w:rsidRDefault="00F678EB" w:rsidP="00D170E6">
      <w:pPr>
        <w:rPr>
          <w:b/>
          <w:bCs/>
          <w:lang w:val="en-GB"/>
        </w:rPr>
      </w:pPr>
    </w:p>
    <w:p w14:paraId="4E98CCBD" w14:textId="04E72B38" w:rsidR="00D170E6" w:rsidRPr="00AB54F9" w:rsidRDefault="00D170E6" w:rsidP="00D170E6">
      <w:pPr>
        <w:rPr>
          <w:rFonts w:ascii="Aptos" w:hAnsi="Aptos"/>
          <w:b/>
          <w:bCs/>
          <w:lang w:val="en-GB"/>
        </w:rPr>
      </w:pPr>
      <w:r w:rsidRPr="00D170E6">
        <w:rPr>
          <w:rFonts w:ascii="Aptos" w:hAnsi="Aptos"/>
          <w:b/>
          <w:bCs/>
          <w:lang w:val="en-GB"/>
        </w:rPr>
        <w:t>Better working lives – concept and design (AC 1.4)</w:t>
      </w:r>
    </w:p>
    <w:p w14:paraId="0328503C" w14:textId="77777777" w:rsidR="00191D89" w:rsidRPr="00D170E6" w:rsidRDefault="00191D89" w:rsidP="00D170E6">
      <w:pPr>
        <w:rPr>
          <w:rFonts w:ascii="Aptos" w:hAnsi="Aptos"/>
          <w:b/>
          <w:bCs/>
          <w:lang w:val="en-GB"/>
        </w:rPr>
      </w:pPr>
    </w:p>
    <w:p w14:paraId="31FC409A" w14:textId="77777777" w:rsidR="00AB54F9" w:rsidRPr="00AB54F9" w:rsidRDefault="00AB54F9" w:rsidP="00AB54F9">
      <w:pPr>
        <w:rPr>
          <w:rFonts w:ascii="Aptos" w:hAnsi="Aptos"/>
          <w:lang w:val="en-GB"/>
        </w:rPr>
      </w:pPr>
      <w:r w:rsidRPr="00AB54F9">
        <w:rPr>
          <w:rFonts w:ascii="Aptos" w:hAnsi="Aptos"/>
          <w:lang w:val="en-GB"/>
        </w:rPr>
        <w:t xml:space="preserve">The concept of better working lives is closely aligned with the CIPD’s </w:t>
      </w:r>
      <w:r w:rsidRPr="00AB54F9">
        <w:rPr>
          <w:rFonts w:ascii="Aptos" w:hAnsi="Aptos"/>
          <w:i/>
          <w:iCs/>
          <w:lang w:val="en-GB"/>
        </w:rPr>
        <w:t>Good Work</w:t>
      </w:r>
      <w:r w:rsidRPr="00AB54F9">
        <w:rPr>
          <w:rFonts w:ascii="Aptos" w:hAnsi="Aptos"/>
          <w:lang w:val="en-GB"/>
        </w:rPr>
        <w:t xml:space="preserve"> agenda, which defines “good work” as work that is </w:t>
      </w:r>
      <w:proofErr w:type="gramStart"/>
      <w:r w:rsidRPr="00AB54F9">
        <w:rPr>
          <w:rFonts w:ascii="Aptos" w:hAnsi="Aptos"/>
          <w:lang w:val="en-GB"/>
        </w:rPr>
        <w:t>fairly rewarded</w:t>
      </w:r>
      <w:proofErr w:type="gramEnd"/>
      <w:r w:rsidRPr="00AB54F9">
        <w:rPr>
          <w:rFonts w:ascii="Aptos" w:hAnsi="Aptos"/>
          <w:lang w:val="en-GB"/>
        </w:rPr>
        <w:t>, offers opportunities for development, ensures employee voice, promotes health and wellbeing, and provides a healthy work–life balance (CIPD, 2023). It goes beyond job satisfaction to encompass a holistic view of work as a positive contributor to overall quality of life.</w:t>
      </w:r>
    </w:p>
    <w:p w14:paraId="2D7C5C95" w14:textId="77777777" w:rsidR="00AB54F9" w:rsidRPr="00AB54F9" w:rsidRDefault="00AB54F9" w:rsidP="00AB54F9">
      <w:pPr>
        <w:rPr>
          <w:rFonts w:ascii="Aptos" w:hAnsi="Aptos"/>
          <w:lang w:val="en-GB"/>
        </w:rPr>
      </w:pPr>
    </w:p>
    <w:p w14:paraId="35472000" w14:textId="77777777" w:rsidR="00AB54F9" w:rsidRPr="00AB54F9" w:rsidRDefault="00AB54F9" w:rsidP="00AB54F9">
      <w:pPr>
        <w:rPr>
          <w:rFonts w:ascii="Aptos" w:hAnsi="Aptos"/>
          <w:lang w:val="en-GB"/>
        </w:rPr>
      </w:pPr>
      <w:r w:rsidRPr="00AB54F9">
        <w:rPr>
          <w:rFonts w:ascii="Aptos" w:hAnsi="Aptos"/>
          <w:lang w:val="en-GB"/>
        </w:rPr>
        <w:t>Better working lives are underpinned by principles of job quality, fairness, and meaningfulness. According to the Carnegie UK Trust and RSA (2018), key dimensions include fair pay, secure employment, workplace autonomy, supportive management, opportunities for learning, and safe working conditions. In the public sector, these are often tied to service values, ethical responsibilities, and long-term staff retention.</w:t>
      </w:r>
    </w:p>
    <w:p w14:paraId="04A3617E" w14:textId="77777777" w:rsidR="00AB54F9" w:rsidRDefault="00AB54F9" w:rsidP="00AB54F9">
      <w:pPr>
        <w:rPr>
          <w:rFonts w:ascii="Aptos" w:hAnsi="Aptos"/>
          <w:lang w:val="en-GB"/>
        </w:rPr>
      </w:pPr>
      <w:r w:rsidRPr="00AB54F9">
        <w:rPr>
          <w:rFonts w:ascii="Aptos" w:hAnsi="Aptos"/>
          <w:lang w:val="en-GB"/>
        </w:rPr>
        <w:lastRenderedPageBreak/>
        <w:t>Designing for better working lives requires both structural and cultural interventions:</w:t>
      </w:r>
    </w:p>
    <w:p w14:paraId="081E36F7" w14:textId="77777777" w:rsidR="00D9201C" w:rsidRPr="00AB54F9" w:rsidRDefault="00D9201C" w:rsidP="00AB54F9">
      <w:pPr>
        <w:rPr>
          <w:rFonts w:ascii="Aptos" w:hAnsi="Aptos"/>
          <w:lang w:val="en-GB"/>
        </w:rPr>
      </w:pPr>
    </w:p>
    <w:p w14:paraId="6CC08F19" w14:textId="77777777" w:rsidR="00D9201C" w:rsidRPr="00D9201C" w:rsidRDefault="00AB54F9" w:rsidP="00D9201C">
      <w:pPr>
        <w:pStyle w:val="ListParagraph"/>
        <w:numPr>
          <w:ilvl w:val="0"/>
          <w:numId w:val="21"/>
        </w:numPr>
        <w:rPr>
          <w:rFonts w:ascii="Aptos" w:hAnsi="Aptos"/>
          <w:sz w:val="24"/>
          <w:szCs w:val="24"/>
          <w:lang w:val="en-GB"/>
        </w:rPr>
      </w:pPr>
      <w:r w:rsidRPr="00D9201C">
        <w:rPr>
          <w:rFonts w:ascii="Aptos" w:hAnsi="Aptos"/>
          <w:sz w:val="24"/>
          <w:szCs w:val="24"/>
          <w:lang w:val="en-GB"/>
        </w:rPr>
        <w:t>Jobs should be enriched with autonomy, task variety, and clear purpose, linking individual roles to broader organisational and societal impact (Hackman &amp; Oldham, 1976). In a public sector merger, aligning job roles with the mission of serving communities can strengthen employee meaning and motivation.</w:t>
      </w:r>
    </w:p>
    <w:p w14:paraId="7337FC75" w14:textId="77777777" w:rsidR="00D9201C" w:rsidRPr="00D9201C" w:rsidRDefault="00AB54F9" w:rsidP="00D9201C">
      <w:pPr>
        <w:pStyle w:val="ListParagraph"/>
        <w:numPr>
          <w:ilvl w:val="0"/>
          <w:numId w:val="21"/>
        </w:numPr>
        <w:rPr>
          <w:rFonts w:ascii="Aptos" w:hAnsi="Aptos"/>
          <w:sz w:val="24"/>
          <w:szCs w:val="24"/>
          <w:lang w:val="en-GB"/>
        </w:rPr>
      </w:pPr>
      <w:r w:rsidRPr="00D9201C">
        <w:rPr>
          <w:rFonts w:ascii="Aptos" w:hAnsi="Aptos"/>
          <w:sz w:val="24"/>
          <w:szCs w:val="24"/>
          <w:lang w:val="en-GB"/>
        </w:rPr>
        <w:t>Work–life balance – Policies such as flexible working, compressed hours, or hybrid arrangements can help staff manage personal responsibilities without compromising service delivery. CIPD research (2023) shows that flexibility significantly improves wellbeing and reduces turnover intentions.</w:t>
      </w:r>
    </w:p>
    <w:p w14:paraId="660695C6" w14:textId="77777777" w:rsidR="00D9201C" w:rsidRPr="00D9201C" w:rsidRDefault="00AB54F9" w:rsidP="00D9201C">
      <w:pPr>
        <w:pStyle w:val="ListParagraph"/>
        <w:numPr>
          <w:ilvl w:val="0"/>
          <w:numId w:val="21"/>
        </w:numPr>
        <w:rPr>
          <w:rFonts w:ascii="Aptos" w:hAnsi="Aptos"/>
          <w:sz w:val="24"/>
          <w:szCs w:val="24"/>
          <w:lang w:val="en-GB"/>
        </w:rPr>
      </w:pPr>
      <w:r w:rsidRPr="00D9201C">
        <w:rPr>
          <w:rFonts w:ascii="Aptos" w:hAnsi="Aptos"/>
          <w:sz w:val="24"/>
          <w:szCs w:val="24"/>
          <w:lang w:val="en-GB"/>
        </w:rPr>
        <w:t>Employee voice and involvement – Providing formal and informal channels for feedback ensures that employees influence decisions affecting their work, which boosts engagement and trust (Wilkinson et al., 2020).</w:t>
      </w:r>
    </w:p>
    <w:p w14:paraId="2CBB077E" w14:textId="77777777" w:rsidR="00D9201C" w:rsidRPr="00D9201C" w:rsidRDefault="00AB54F9" w:rsidP="00D9201C">
      <w:pPr>
        <w:pStyle w:val="ListParagraph"/>
        <w:numPr>
          <w:ilvl w:val="0"/>
          <w:numId w:val="21"/>
        </w:numPr>
        <w:rPr>
          <w:rFonts w:ascii="Aptos" w:hAnsi="Aptos"/>
          <w:sz w:val="24"/>
          <w:szCs w:val="24"/>
          <w:lang w:val="en-GB"/>
        </w:rPr>
      </w:pPr>
      <w:r w:rsidRPr="00D9201C">
        <w:rPr>
          <w:rFonts w:ascii="Aptos" w:hAnsi="Aptos"/>
          <w:sz w:val="24"/>
          <w:szCs w:val="24"/>
          <w:lang w:val="en-GB"/>
        </w:rPr>
        <w:t>Learning and development – Continuous professional development, mentoring, and skills pathways contribute to career satisfaction and resilience during organisational change (CIPD, 2021).</w:t>
      </w:r>
    </w:p>
    <w:p w14:paraId="337CB49B" w14:textId="6801EBAC" w:rsidR="00AB54F9" w:rsidRDefault="00AB54F9" w:rsidP="00D9201C">
      <w:pPr>
        <w:pStyle w:val="ListParagraph"/>
        <w:numPr>
          <w:ilvl w:val="0"/>
          <w:numId w:val="21"/>
        </w:numPr>
        <w:rPr>
          <w:rFonts w:ascii="Aptos" w:hAnsi="Aptos"/>
          <w:sz w:val="24"/>
          <w:szCs w:val="24"/>
          <w:lang w:val="en-GB"/>
        </w:rPr>
      </w:pPr>
      <w:r w:rsidRPr="00D9201C">
        <w:rPr>
          <w:rFonts w:ascii="Aptos" w:hAnsi="Aptos"/>
          <w:sz w:val="24"/>
          <w:szCs w:val="24"/>
          <w:lang w:val="en-GB"/>
        </w:rPr>
        <w:t>Wellbeing and inclusion – Embedding wellbeing strategies (mental health support, workload management, equality initiatives) helps create a safe, respectful environment where all employees can thrive (Robertson &amp; Cooper, 2011).</w:t>
      </w:r>
    </w:p>
    <w:p w14:paraId="53A87227" w14:textId="77777777" w:rsidR="00D9201C" w:rsidRPr="00D9201C" w:rsidRDefault="00D9201C" w:rsidP="00D9201C">
      <w:pPr>
        <w:rPr>
          <w:rFonts w:ascii="Aptos" w:hAnsi="Aptos"/>
          <w:lang w:val="en-GB"/>
        </w:rPr>
      </w:pPr>
    </w:p>
    <w:p w14:paraId="52296BC9" w14:textId="77777777" w:rsidR="00AB54F9" w:rsidRDefault="00AB54F9" w:rsidP="00AB54F9">
      <w:pPr>
        <w:rPr>
          <w:rFonts w:ascii="Aptos" w:hAnsi="Aptos"/>
          <w:lang w:val="en-GB"/>
        </w:rPr>
      </w:pPr>
      <w:r w:rsidRPr="00AB54F9">
        <w:rPr>
          <w:rFonts w:ascii="Aptos" w:hAnsi="Aptos"/>
          <w:lang w:val="en-GB"/>
        </w:rPr>
        <w:t>In a post-merger scenario, focusing on better working lives can mitigate uncertainty, rebuild trust, and improve retention by signalling that leadership values employees’ contributions and welfare. Practically, this could include co-designing new policies with staff, introducing wellbeing champions, and reviewing workloads to prevent burnout during transition periods.</w:t>
      </w:r>
    </w:p>
    <w:p w14:paraId="3009121C" w14:textId="77777777" w:rsidR="00D9201C" w:rsidRPr="00AB54F9" w:rsidRDefault="00D9201C" w:rsidP="00AB54F9">
      <w:pPr>
        <w:rPr>
          <w:rFonts w:ascii="Aptos" w:hAnsi="Aptos"/>
          <w:lang w:val="en-GB"/>
        </w:rPr>
      </w:pPr>
    </w:p>
    <w:p w14:paraId="1A18D0D1" w14:textId="77777777" w:rsidR="00AB54F9" w:rsidRPr="00AB54F9" w:rsidRDefault="00AB54F9" w:rsidP="00AB54F9">
      <w:pPr>
        <w:rPr>
          <w:rFonts w:ascii="Aptos" w:hAnsi="Aptos"/>
          <w:lang w:val="en-GB"/>
        </w:rPr>
      </w:pPr>
      <w:r w:rsidRPr="00AB54F9">
        <w:rPr>
          <w:rFonts w:ascii="Aptos" w:hAnsi="Aptos"/>
          <w:lang w:val="en-GB"/>
        </w:rPr>
        <w:t>Ultimately, better working lives benefit both employees and the organisation: engaged, healthy staff deliver higher-quality services, show greater adaptability, and are less likely to leave, creating a more resilient and high-performing public sector organisation.</w:t>
      </w:r>
    </w:p>
    <w:p w14:paraId="15352BCB" w14:textId="77777777" w:rsidR="00191D89" w:rsidRDefault="00191D89" w:rsidP="00D170E6">
      <w:pPr>
        <w:rPr>
          <w:lang w:val="en-GB"/>
        </w:rPr>
      </w:pPr>
    </w:p>
    <w:p w14:paraId="5C4D6896" w14:textId="77777777" w:rsidR="00191D89" w:rsidRPr="00D170E6" w:rsidRDefault="00191D89" w:rsidP="00D170E6">
      <w:pPr>
        <w:rPr>
          <w:lang w:val="en-GB"/>
        </w:rPr>
      </w:pPr>
    </w:p>
    <w:p w14:paraId="51DFFDC1" w14:textId="25D79A48" w:rsidR="00D170E6" w:rsidRPr="00251350" w:rsidRDefault="00D170E6" w:rsidP="00D170E6">
      <w:pPr>
        <w:rPr>
          <w:rFonts w:ascii="Aptos" w:hAnsi="Aptos"/>
          <w:b/>
          <w:bCs/>
          <w:lang w:val="en-GB"/>
        </w:rPr>
      </w:pPr>
      <w:r w:rsidRPr="00D170E6">
        <w:rPr>
          <w:rFonts w:ascii="Aptos" w:hAnsi="Aptos"/>
          <w:b/>
          <w:bCs/>
          <w:lang w:val="en-GB"/>
        </w:rPr>
        <w:t>Organisational conflict vs misbehaviour (AC 2.1)</w:t>
      </w:r>
    </w:p>
    <w:p w14:paraId="39ED37BD" w14:textId="77777777" w:rsidR="00D9201C" w:rsidRPr="00D170E6" w:rsidRDefault="00D9201C" w:rsidP="00D170E6">
      <w:pPr>
        <w:rPr>
          <w:rFonts w:ascii="Aptos" w:hAnsi="Aptos"/>
          <w:lang w:val="en-GB"/>
        </w:rPr>
      </w:pPr>
    </w:p>
    <w:p w14:paraId="47FE1BCE" w14:textId="77777777" w:rsidR="00251350" w:rsidRDefault="00251350" w:rsidP="00251350">
      <w:pPr>
        <w:rPr>
          <w:rFonts w:ascii="Aptos" w:hAnsi="Aptos"/>
          <w:lang w:val="en-GB"/>
        </w:rPr>
      </w:pPr>
      <w:r w:rsidRPr="00251350">
        <w:rPr>
          <w:rFonts w:ascii="Aptos" w:hAnsi="Aptos"/>
          <w:lang w:val="en-GB"/>
        </w:rPr>
        <w:t>Although related, organisational conflict and misbehaviour are distinct concepts in employment relations, differing in their causes, nature, and management approaches.</w:t>
      </w:r>
    </w:p>
    <w:p w14:paraId="485A1DA8" w14:textId="77777777" w:rsidR="001474CC" w:rsidRPr="00251350" w:rsidRDefault="001474CC" w:rsidP="00251350">
      <w:pPr>
        <w:rPr>
          <w:rFonts w:ascii="Aptos" w:hAnsi="Aptos"/>
          <w:lang w:val="en-GB"/>
        </w:rPr>
      </w:pPr>
    </w:p>
    <w:p w14:paraId="7A7D8CD7" w14:textId="77777777" w:rsidR="00251350" w:rsidRDefault="00251350" w:rsidP="00251350">
      <w:pPr>
        <w:rPr>
          <w:rFonts w:ascii="Aptos" w:hAnsi="Aptos"/>
          <w:lang w:val="en-GB"/>
        </w:rPr>
      </w:pPr>
      <w:r w:rsidRPr="00251350">
        <w:rPr>
          <w:rFonts w:ascii="Aptos" w:hAnsi="Aptos"/>
          <w:lang w:val="en-GB"/>
        </w:rPr>
        <w:t xml:space="preserve">Organisational conflict occurs when there is perceived incompatibility of goals, interests, or values between individuals, groups, or the </w:t>
      </w:r>
      <w:proofErr w:type="gramStart"/>
      <w:r w:rsidRPr="00251350">
        <w:rPr>
          <w:rFonts w:ascii="Aptos" w:hAnsi="Aptos"/>
          <w:lang w:val="en-GB"/>
        </w:rPr>
        <w:t>organisation as a whole</w:t>
      </w:r>
      <w:proofErr w:type="gramEnd"/>
      <w:r w:rsidRPr="00251350">
        <w:rPr>
          <w:rFonts w:ascii="Aptos" w:hAnsi="Aptos"/>
          <w:lang w:val="en-GB"/>
        </w:rPr>
        <w:t xml:space="preserve"> (De Dreu &amp; Gelfand, 2008). Conflict can arise from structural issues such as resource allocation, organisational change, or role ambiguity, as well as interpersonal factors such as communication breakdowns or differing work styles (Robbins &amp; Judge, 2019). In the public sector, common triggers include budget constraints, policy changes, and tensions between service delivery targets and staff workloads. Conflict is not inherently negative—when managed constructively, it can stimulate innovation and improve decision-making (Jehn &amp; Bendersky, 2003).</w:t>
      </w:r>
    </w:p>
    <w:p w14:paraId="1403E718" w14:textId="77777777" w:rsidR="001474CC" w:rsidRPr="00251350" w:rsidRDefault="001474CC" w:rsidP="00251350">
      <w:pPr>
        <w:rPr>
          <w:rFonts w:ascii="Aptos" w:hAnsi="Aptos"/>
          <w:lang w:val="en-GB"/>
        </w:rPr>
      </w:pPr>
    </w:p>
    <w:p w14:paraId="3D912099" w14:textId="77777777" w:rsidR="00251350" w:rsidRDefault="00251350" w:rsidP="00251350">
      <w:pPr>
        <w:rPr>
          <w:rFonts w:ascii="Aptos" w:hAnsi="Aptos"/>
          <w:lang w:val="en-GB"/>
        </w:rPr>
      </w:pPr>
      <w:r w:rsidRPr="00251350">
        <w:rPr>
          <w:rFonts w:ascii="Aptos" w:hAnsi="Aptos"/>
          <w:lang w:val="en-GB"/>
        </w:rPr>
        <w:t xml:space="preserve">Misbehaviour, by contrast, refers to deliberate actions by employees that deviate from organisational norms, rules, or expected conduct (Ackroyd &amp; Thompson, 1999). This can include insubordination, theft, fraud, bullying, harassment, or intentional underperformance. Misbehaviour may be overt (e.g., aggressive confrontation) or covert (e.g., time-wasting, </w:t>
      </w:r>
      <w:r w:rsidRPr="00251350">
        <w:rPr>
          <w:rFonts w:ascii="Aptos" w:hAnsi="Aptos"/>
          <w:lang w:val="en-GB"/>
        </w:rPr>
        <w:lastRenderedPageBreak/>
        <w:t>unauthorised absence), and is generally aimed at resisting control, expressing dissatisfaction, or personal gain at the expense of the organisation.</w:t>
      </w:r>
    </w:p>
    <w:p w14:paraId="35CBA196" w14:textId="77777777" w:rsidR="00D40DCD" w:rsidRPr="00251350" w:rsidRDefault="00D40DCD" w:rsidP="00251350">
      <w:pPr>
        <w:rPr>
          <w:rFonts w:ascii="Aptos" w:hAnsi="Aptos"/>
          <w:lang w:val="en-GB"/>
        </w:rPr>
      </w:pPr>
    </w:p>
    <w:p w14:paraId="039C573E" w14:textId="77777777" w:rsidR="00251350" w:rsidRDefault="00251350" w:rsidP="00251350">
      <w:pPr>
        <w:rPr>
          <w:rFonts w:ascii="Aptos" w:hAnsi="Aptos"/>
          <w:lang w:val="en-GB"/>
        </w:rPr>
      </w:pPr>
      <w:r w:rsidRPr="00251350">
        <w:rPr>
          <w:rFonts w:ascii="Aptos" w:hAnsi="Aptos"/>
          <w:lang w:val="en-GB"/>
        </w:rPr>
        <w:t>The key distinction lies in intent and framing:</w:t>
      </w:r>
    </w:p>
    <w:p w14:paraId="71432906" w14:textId="77777777" w:rsidR="002E785C" w:rsidRPr="00251350" w:rsidRDefault="002E785C" w:rsidP="00251350">
      <w:pPr>
        <w:rPr>
          <w:rFonts w:ascii="Aptos" w:hAnsi="Aptos"/>
          <w:lang w:val="en-GB"/>
        </w:rPr>
      </w:pPr>
    </w:p>
    <w:p w14:paraId="1FCB87D8" w14:textId="77777777" w:rsidR="00251350" w:rsidRDefault="00251350" w:rsidP="00251350">
      <w:pPr>
        <w:numPr>
          <w:ilvl w:val="0"/>
          <w:numId w:val="22"/>
        </w:numPr>
        <w:rPr>
          <w:rFonts w:ascii="Aptos" w:hAnsi="Aptos"/>
          <w:lang w:val="en-GB"/>
        </w:rPr>
      </w:pPr>
      <w:r w:rsidRPr="00251350">
        <w:rPr>
          <w:rFonts w:ascii="Aptos" w:hAnsi="Aptos"/>
          <w:lang w:val="en-GB"/>
        </w:rPr>
        <w:t xml:space="preserve">Conflict can be the by-product of legitimate differences in perspective or competing </w:t>
      </w:r>
      <w:proofErr w:type="gramStart"/>
      <w:r w:rsidRPr="00251350">
        <w:rPr>
          <w:rFonts w:ascii="Aptos" w:hAnsi="Aptos"/>
          <w:lang w:val="en-GB"/>
        </w:rPr>
        <w:t>priorities, and</w:t>
      </w:r>
      <w:proofErr w:type="gramEnd"/>
      <w:r w:rsidRPr="00251350">
        <w:rPr>
          <w:rFonts w:ascii="Aptos" w:hAnsi="Aptos"/>
          <w:lang w:val="en-GB"/>
        </w:rPr>
        <w:t xml:space="preserve"> may occur even among employees acting in good faith.</w:t>
      </w:r>
    </w:p>
    <w:p w14:paraId="169D3F2F" w14:textId="77777777" w:rsidR="002E785C" w:rsidRPr="00251350" w:rsidRDefault="002E785C" w:rsidP="002E785C">
      <w:pPr>
        <w:ind w:left="360"/>
        <w:rPr>
          <w:rFonts w:ascii="Aptos" w:hAnsi="Aptos"/>
          <w:lang w:val="en-GB"/>
        </w:rPr>
      </w:pPr>
    </w:p>
    <w:p w14:paraId="5E272449" w14:textId="77777777" w:rsidR="00251350" w:rsidRDefault="00251350" w:rsidP="00251350">
      <w:pPr>
        <w:numPr>
          <w:ilvl w:val="0"/>
          <w:numId w:val="22"/>
        </w:numPr>
        <w:rPr>
          <w:rFonts w:ascii="Aptos" w:hAnsi="Aptos"/>
          <w:lang w:val="en-GB"/>
        </w:rPr>
      </w:pPr>
      <w:r w:rsidRPr="00251350">
        <w:rPr>
          <w:rFonts w:ascii="Aptos" w:hAnsi="Aptos"/>
          <w:lang w:val="en-GB"/>
        </w:rPr>
        <w:t>Misbehaviour implies a conscious breach of conduct or organisational expectations, often requiring formal intervention under disciplinary procedures.</w:t>
      </w:r>
    </w:p>
    <w:p w14:paraId="3D49E40E" w14:textId="77777777" w:rsidR="002E785C" w:rsidRPr="00251350" w:rsidRDefault="002E785C" w:rsidP="002E785C">
      <w:pPr>
        <w:rPr>
          <w:rFonts w:ascii="Aptos" w:hAnsi="Aptos"/>
          <w:lang w:val="en-GB"/>
        </w:rPr>
      </w:pPr>
    </w:p>
    <w:p w14:paraId="1EA7F4EA" w14:textId="77777777" w:rsidR="00251350" w:rsidRDefault="00251350" w:rsidP="00251350">
      <w:pPr>
        <w:rPr>
          <w:rFonts w:ascii="Aptos" w:hAnsi="Aptos"/>
          <w:lang w:val="en-GB"/>
        </w:rPr>
      </w:pPr>
      <w:r w:rsidRPr="00251350">
        <w:rPr>
          <w:rFonts w:ascii="Aptos" w:hAnsi="Aptos"/>
          <w:lang w:val="en-GB"/>
        </w:rPr>
        <w:t>Management approaches also differ. Conflict resolution typically involves dialogue, mediation, and problem-solving to reconcile differences or find acceptable compromises (ACAS, 2021). Misbehaviour requires investigation and proportionate disciplinary action in line with organisational policy and the ACAS Code of Practice on Disciplinary and Grievance Procedures (2015).</w:t>
      </w:r>
    </w:p>
    <w:p w14:paraId="2FC7CA33" w14:textId="77777777" w:rsidR="006E43DF" w:rsidRPr="00251350" w:rsidRDefault="006E43DF" w:rsidP="00251350">
      <w:pPr>
        <w:rPr>
          <w:rFonts w:ascii="Aptos" w:hAnsi="Aptos"/>
          <w:lang w:val="en-GB"/>
        </w:rPr>
      </w:pPr>
    </w:p>
    <w:p w14:paraId="2C6B7A2B" w14:textId="77777777" w:rsidR="00251350" w:rsidRDefault="00251350" w:rsidP="00251350">
      <w:pPr>
        <w:rPr>
          <w:rFonts w:ascii="Aptos" w:hAnsi="Aptos"/>
          <w:lang w:val="en-GB"/>
        </w:rPr>
      </w:pPr>
      <w:r w:rsidRPr="00251350">
        <w:rPr>
          <w:rFonts w:ascii="Aptos" w:hAnsi="Aptos"/>
          <w:lang w:val="en-GB"/>
        </w:rPr>
        <w:t>In a post-merger public sector context, it is important for new leaders to differentiate between conflict stemming from cultural integration issues—which may be addressed through improved communication and team-building—and deliberate misconduct, which should be handled through established disciplinary processes. Misclassifying one as the other can undermine trust, damage morale, and increase the risk of employment tribunal claims.</w:t>
      </w:r>
    </w:p>
    <w:p w14:paraId="35C798C1" w14:textId="77777777" w:rsidR="006E43DF" w:rsidRPr="00251350" w:rsidRDefault="006E43DF" w:rsidP="00251350">
      <w:pPr>
        <w:rPr>
          <w:rFonts w:ascii="Aptos" w:hAnsi="Aptos"/>
          <w:lang w:val="en-GB"/>
        </w:rPr>
      </w:pPr>
    </w:p>
    <w:p w14:paraId="323A9033" w14:textId="77777777" w:rsidR="00251350" w:rsidRPr="00251350" w:rsidRDefault="00251350" w:rsidP="00251350">
      <w:pPr>
        <w:rPr>
          <w:rFonts w:ascii="Aptos" w:hAnsi="Aptos"/>
          <w:lang w:val="en-GB"/>
        </w:rPr>
      </w:pPr>
      <w:r w:rsidRPr="00251350">
        <w:rPr>
          <w:rFonts w:ascii="Aptos" w:hAnsi="Aptos"/>
          <w:lang w:val="en-GB"/>
        </w:rPr>
        <w:t>Ultimately, effective leaders recognise that some level of organisational conflict is natural and can be productive if channelled constructively, whereas misbehaviour must be addressed promptly and fairly to uphold organisational standards and maintain public trust.</w:t>
      </w:r>
    </w:p>
    <w:p w14:paraId="38E5E8CA" w14:textId="77777777" w:rsidR="00D9201C" w:rsidRDefault="00D9201C" w:rsidP="00D170E6">
      <w:pPr>
        <w:rPr>
          <w:lang w:val="en-GB"/>
        </w:rPr>
      </w:pPr>
    </w:p>
    <w:p w14:paraId="5EC642AA" w14:textId="77777777" w:rsidR="00D9201C" w:rsidRPr="00D170E6" w:rsidRDefault="00D9201C" w:rsidP="00D170E6">
      <w:pPr>
        <w:rPr>
          <w:lang w:val="en-GB"/>
        </w:rPr>
      </w:pPr>
    </w:p>
    <w:p w14:paraId="14D8689C" w14:textId="129F112E" w:rsidR="00D170E6" w:rsidRPr="00FE40D8" w:rsidRDefault="00D170E6" w:rsidP="00D170E6">
      <w:pPr>
        <w:rPr>
          <w:rFonts w:ascii="Aptos" w:hAnsi="Aptos"/>
          <w:b/>
          <w:bCs/>
          <w:lang w:val="en-GB"/>
        </w:rPr>
      </w:pPr>
      <w:r w:rsidRPr="00D170E6">
        <w:rPr>
          <w:rFonts w:ascii="Aptos" w:hAnsi="Aptos"/>
          <w:b/>
          <w:bCs/>
          <w:lang w:val="en-GB"/>
        </w:rPr>
        <w:t>Emerging trends in conflict and industrial sanctions (AC 2.2)</w:t>
      </w:r>
    </w:p>
    <w:p w14:paraId="28DC632D" w14:textId="77777777" w:rsidR="006E43DF" w:rsidRPr="00D170E6" w:rsidRDefault="006E43DF" w:rsidP="00D170E6">
      <w:pPr>
        <w:rPr>
          <w:rFonts w:ascii="Aptos" w:hAnsi="Aptos"/>
          <w:lang w:val="en-GB"/>
        </w:rPr>
      </w:pPr>
    </w:p>
    <w:p w14:paraId="55C26B5E" w14:textId="77777777" w:rsidR="00FE40D8" w:rsidRDefault="00FE40D8" w:rsidP="00FE40D8">
      <w:pPr>
        <w:rPr>
          <w:rFonts w:ascii="Aptos" w:hAnsi="Aptos"/>
          <w:lang w:val="en-GB"/>
        </w:rPr>
      </w:pPr>
      <w:r w:rsidRPr="00FE40D8">
        <w:rPr>
          <w:rFonts w:ascii="Aptos" w:hAnsi="Aptos"/>
          <w:lang w:val="en-GB"/>
        </w:rPr>
        <w:t>Conflict in the workplace is not static; its nature and the methods used to express discontent evolve in response to economic, technological, and societal change. In recent years, both the types of organisational conflict and forms of industrial sanctions have shifted, particularly within the UK public sector.</w:t>
      </w:r>
    </w:p>
    <w:p w14:paraId="1E9DCAA5" w14:textId="09DFCA21" w:rsidR="00FE40D8" w:rsidRDefault="00FE40D8" w:rsidP="00FE40D8">
      <w:pPr>
        <w:rPr>
          <w:rFonts w:ascii="Aptos" w:hAnsi="Aptos"/>
          <w:lang w:val="en-GB"/>
        </w:rPr>
      </w:pPr>
      <w:r w:rsidRPr="00FE40D8">
        <w:rPr>
          <w:rFonts w:ascii="Aptos" w:hAnsi="Aptos"/>
          <w:lang w:val="en-GB"/>
        </w:rPr>
        <w:br/>
        <w:t>Traditionally, workplace conflict centred on issues such as pay, working hours, and job security. While these remain important, there is a notable rise in values-based conflict, where disputes stem from ethical, environmental, or equality concerns (</w:t>
      </w:r>
      <w:proofErr w:type="spellStart"/>
      <w:r w:rsidRPr="00FE40D8">
        <w:rPr>
          <w:rFonts w:ascii="Aptos" w:hAnsi="Aptos"/>
          <w:lang w:val="en-GB"/>
        </w:rPr>
        <w:t>Saundry</w:t>
      </w:r>
      <w:proofErr w:type="spellEnd"/>
      <w:r w:rsidRPr="00FE40D8">
        <w:rPr>
          <w:rFonts w:ascii="Aptos" w:hAnsi="Aptos"/>
          <w:lang w:val="en-GB"/>
        </w:rPr>
        <w:t xml:space="preserve"> et al., 2020). Examples include disagreements over diversity policies, climate commitments, or organisational responses to social issues.</w:t>
      </w:r>
    </w:p>
    <w:p w14:paraId="6ED237EF" w14:textId="77777777" w:rsidR="007D0BE3" w:rsidRPr="00FE40D8" w:rsidRDefault="007D0BE3" w:rsidP="00FE40D8">
      <w:pPr>
        <w:rPr>
          <w:rFonts w:ascii="Aptos" w:hAnsi="Aptos"/>
          <w:lang w:val="en-GB"/>
        </w:rPr>
      </w:pPr>
    </w:p>
    <w:p w14:paraId="2673D916" w14:textId="77777777" w:rsidR="00FE40D8" w:rsidRDefault="00FE40D8" w:rsidP="00FE40D8">
      <w:pPr>
        <w:rPr>
          <w:rFonts w:ascii="Aptos" w:hAnsi="Aptos"/>
          <w:lang w:val="en-GB"/>
        </w:rPr>
      </w:pPr>
      <w:r w:rsidRPr="00FE40D8">
        <w:rPr>
          <w:rFonts w:ascii="Aptos" w:hAnsi="Aptos"/>
          <w:lang w:val="en-GB"/>
        </w:rPr>
        <w:t>Another growing area is technological conflict—tensions arising from the implementation of new digital systems, AI-based monitoring, and data privacy concerns (CIPD, 2023). In the public sector, digital transformation projects can lead to disputes over job redesign, perceived surveillance, and skill obsolescence. Additionally, hybrid and remote work arrangements have introduced boundary conflicts over availability, workload distribution, and communication expectations (ACAS, 2021).</w:t>
      </w:r>
    </w:p>
    <w:p w14:paraId="13A3CBC7" w14:textId="77777777" w:rsidR="00E97A5A" w:rsidRDefault="00E97A5A" w:rsidP="00FE40D8">
      <w:pPr>
        <w:rPr>
          <w:rFonts w:ascii="Aptos" w:hAnsi="Aptos"/>
          <w:lang w:val="en-GB"/>
        </w:rPr>
      </w:pPr>
    </w:p>
    <w:p w14:paraId="455BDCDC" w14:textId="234E7323" w:rsidR="00FE40D8" w:rsidRDefault="00FE40D8" w:rsidP="00FE40D8">
      <w:pPr>
        <w:rPr>
          <w:rFonts w:ascii="Aptos" w:hAnsi="Aptos"/>
          <w:lang w:val="en-GB"/>
        </w:rPr>
      </w:pPr>
      <w:r w:rsidRPr="00FE40D8">
        <w:rPr>
          <w:rFonts w:ascii="Aptos" w:hAnsi="Aptos"/>
          <w:lang w:val="en-GB"/>
        </w:rPr>
        <w:lastRenderedPageBreak/>
        <w:br/>
        <w:t>Industrial sanctions remain a critical means for employees—often through unions—to express dissatisfaction and exert pressure. While traditional strike action continues, particularly in healthcare, education, and transport, newer tactics are emerging:</w:t>
      </w:r>
    </w:p>
    <w:p w14:paraId="15DFB63C" w14:textId="77777777" w:rsidR="00E97A5A" w:rsidRPr="00FE40D8" w:rsidRDefault="00E97A5A" w:rsidP="00FE40D8">
      <w:pPr>
        <w:rPr>
          <w:rFonts w:ascii="Aptos" w:hAnsi="Aptos"/>
          <w:lang w:val="en-GB"/>
        </w:rPr>
      </w:pPr>
    </w:p>
    <w:p w14:paraId="7034C2C7" w14:textId="77777777" w:rsidR="00FE40D8" w:rsidRPr="00FE40D8" w:rsidRDefault="00FE40D8" w:rsidP="00FE40D8">
      <w:pPr>
        <w:numPr>
          <w:ilvl w:val="0"/>
          <w:numId w:val="23"/>
        </w:numPr>
        <w:rPr>
          <w:rFonts w:ascii="Aptos" w:hAnsi="Aptos"/>
          <w:lang w:val="en-GB"/>
        </w:rPr>
      </w:pPr>
      <w:r w:rsidRPr="00FE40D8">
        <w:rPr>
          <w:rFonts w:ascii="Aptos" w:hAnsi="Aptos"/>
          <w:lang w:val="en-GB"/>
        </w:rPr>
        <w:t>Work-to-rule and overtime bans, where employees strictly adhere to contractual duties without going beyond, have gained prominence as less disruptive but sustained forms of protest (BEIS, 2021).</w:t>
      </w:r>
    </w:p>
    <w:p w14:paraId="33214AD9" w14:textId="77777777" w:rsidR="00FE40D8" w:rsidRPr="00FE40D8" w:rsidRDefault="00FE40D8" w:rsidP="00FE40D8">
      <w:pPr>
        <w:numPr>
          <w:ilvl w:val="0"/>
          <w:numId w:val="23"/>
        </w:numPr>
        <w:rPr>
          <w:rFonts w:ascii="Aptos" w:hAnsi="Aptos"/>
          <w:lang w:val="en-GB"/>
        </w:rPr>
      </w:pPr>
      <w:r w:rsidRPr="00FE40D8">
        <w:rPr>
          <w:rFonts w:ascii="Aptos" w:hAnsi="Aptos"/>
          <w:lang w:val="en-GB"/>
        </w:rPr>
        <w:t>Social media activism, where employees publicise grievances online, can escalate disputes rapidly and affect organisational reputation (Donaghey et al., 2021).</w:t>
      </w:r>
    </w:p>
    <w:p w14:paraId="1F4138BB" w14:textId="77777777" w:rsidR="00FE40D8" w:rsidRPr="00FE40D8" w:rsidRDefault="00FE40D8" w:rsidP="00FE40D8">
      <w:pPr>
        <w:numPr>
          <w:ilvl w:val="0"/>
          <w:numId w:val="23"/>
        </w:numPr>
        <w:rPr>
          <w:rFonts w:ascii="Aptos" w:hAnsi="Aptos"/>
          <w:lang w:val="en-GB"/>
        </w:rPr>
      </w:pPr>
      <w:r w:rsidRPr="00FE40D8">
        <w:rPr>
          <w:rFonts w:ascii="Aptos" w:hAnsi="Aptos"/>
          <w:lang w:val="en-GB"/>
        </w:rPr>
        <w:t>Coordinated micro-protests, such as simultaneous refusal of optional duties or mass use of grievance procedures, are increasingly used to apply internal pressure while remaining within legal boundaries.</w:t>
      </w:r>
    </w:p>
    <w:p w14:paraId="242A25DE" w14:textId="79F3ED71" w:rsidR="00FE40D8" w:rsidRDefault="00FE40D8" w:rsidP="00FE40D8">
      <w:pPr>
        <w:rPr>
          <w:rFonts w:ascii="Aptos" w:hAnsi="Aptos"/>
          <w:lang w:val="en-GB"/>
        </w:rPr>
      </w:pPr>
      <w:r w:rsidRPr="00FE40D8">
        <w:rPr>
          <w:rFonts w:ascii="Aptos" w:hAnsi="Aptos"/>
          <w:lang w:val="en-GB"/>
        </w:rPr>
        <w:br/>
        <w:t>Recent years have seen heightened industrial unrest in UK public services—often linked to pay disputes, staffing shortages, and workload pressures (TUC, 2023). The cost-of-living crisis, combined with post-pandemic workforce fatigue, has intensified both formal and informal conflict. Importantly, the trend towards hybrid disputes—where formal industrial action is supplemented by public campaigning and media engagement—requires managers to adopt broader conflict management strategies that combine legal compliance, stakeholder engagement, and proactive communication.</w:t>
      </w:r>
    </w:p>
    <w:p w14:paraId="0F8F9BB5" w14:textId="77777777" w:rsidR="00E97A5A" w:rsidRPr="00FE40D8" w:rsidRDefault="00E97A5A" w:rsidP="00FE40D8">
      <w:pPr>
        <w:rPr>
          <w:rFonts w:ascii="Aptos" w:hAnsi="Aptos"/>
          <w:lang w:val="en-GB"/>
        </w:rPr>
      </w:pPr>
    </w:p>
    <w:p w14:paraId="7FFB7782" w14:textId="77777777" w:rsidR="00FE40D8" w:rsidRPr="00FE40D8" w:rsidRDefault="00FE40D8" w:rsidP="00FE40D8">
      <w:pPr>
        <w:rPr>
          <w:rFonts w:ascii="Aptos" w:hAnsi="Aptos"/>
          <w:lang w:val="en-GB"/>
        </w:rPr>
      </w:pPr>
      <w:r w:rsidRPr="00FE40D8">
        <w:rPr>
          <w:rFonts w:ascii="Aptos" w:hAnsi="Aptos"/>
          <w:lang w:val="en-GB"/>
        </w:rPr>
        <w:t>For post-merger leadership, awareness of these evolving trends is essential. Understanding the modern spectrum of conflict and sanctions enables leaders to anticipate potential flashpoints, engage constructively with staff and unions, and adapt organisational policies to prevent escalation.</w:t>
      </w:r>
    </w:p>
    <w:p w14:paraId="1A97AD0E" w14:textId="77777777" w:rsidR="006E43DF" w:rsidRDefault="006E43DF" w:rsidP="00D170E6">
      <w:pPr>
        <w:rPr>
          <w:lang w:val="en-GB"/>
        </w:rPr>
      </w:pPr>
    </w:p>
    <w:p w14:paraId="13BF32C7" w14:textId="77777777" w:rsidR="006E43DF" w:rsidRPr="00D170E6" w:rsidRDefault="006E43DF" w:rsidP="00D170E6">
      <w:pPr>
        <w:rPr>
          <w:lang w:val="en-GB"/>
        </w:rPr>
      </w:pPr>
    </w:p>
    <w:p w14:paraId="0FD9CCD2" w14:textId="3A630FFE" w:rsidR="00D170E6" w:rsidRPr="00B66A8E" w:rsidRDefault="00D170E6" w:rsidP="00D170E6">
      <w:pPr>
        <w:rPr>
          <w:rFonts w:ascii="Aptos" w:hAnsi="Aptos"/>
          <w:b/>
          <w:bCs/>
          <w:lang w:val="en-GB"/>
        </w:rPr>
      </w:pPr>
      <w:r w:rsidRPr="00D170E6">
        <w:rPr>
          <w:rFonts w:ascii="Aptos" w:hAnsi="Aptos"/>
          <w:b/>
          <w:bCs/>
          <w:lang w:val="en-GB"/>
        </w:rPr>
        <w:t>Third-party conciliation, mediation and arbitration (AC 2.3)</w:t>
      </w:r>
    </w:p>
    <w:p w14:paraId="718DB2E5" w14:textId="77777777" w:rsidR="00B66A8E" w:rsidRPr="00B66A8E" w:rsidRDefault="00B66A8E" w:rsidP="00D170E6">
      <w:pPr>
        <w:rPr>
          <w:rFonts w:ascii="Aptos" w:hAnsi="Aptos"/>
          <w:b/>
          <w:bCs/>
          <w:lang w:val="en-GB"/>
        </w:rPr>
      </w:pPr>
    </w:p>
    <w:p w14:paraId="3C5D762A" w14:textId="77777777" w:rsidR="00B66A8E" w:rsidRPr="00B66A8E" w:rsidRDefault="00B66A8E" w:rsidP="00B66A8E">
      <w:pPr>
        <w:rPr>
          <w:rFonts w:ascii="Aptos" w:hAnsi="Aptos"/>
          <w:lang w:val="en-GB"/>
        </w:rPr>
      </w:pPr>
      <w:r w:rsidRPr="00B66A8E">
        <w:rPr>
          <w:rFonts w:ascii="Aptos" w:hAnsi="Aptos"/>
          <w:lang w:val="en-GB"/>
        </w:rPr>
        <w:t>When workplace disputes cannot be resolved internally, third-party intervention can provide a structured, impartial process to facilitate resolution. In the UK, these processes are often supported by the Advisory, Conciliation and Arbitration Service (ACAS) or private providers, and are particularly relevant in public sector organisations where industrial relations frameworks are formalised.</w:t>
      </w:r>
    </w:p>
    <w:p w14:paraId="688AFC80" w14:textId="53E68FB5" w:rsidR="00B66A8E" w:rsidRPr="00B66A8E" w:rsidRDefault="00B66A8E" w:rsidP="00B66A8E">
      <w:pPr>
        <w:rPr>
          <w:rFonts w:ascii="Aptos" w:hAnsi="Aptos"/>
          <w:lang w:val="en-GB"/>
        </w:rPr>
      </w:pPr>
      <w:r w:rsidRPr="00B66A8E">
        <w:rPr>
          <w:rFonts w:ascii="Aptos" w:hAnsi="Aptos"/>
          <w:lang w:val="en-GB"/>
        </w:rPr>
        <w:br/>
        <w:t xml:space="preserve">Conciliation involves an independent third party helping disputing parties reach a mutually acceptable agreement. It is typically voluntary and non-binding, with the conciliator’s role being to facilitate dialogue, clarify issues, and suggest potential solutions (ACAS, 2021). In the UK, early conciliation is a legal requirement before lodging most employment tribunal claims, aimed at encouraging settlement without litigation. Conciliation can be individual—e.g., in unfair dismissal claims—or collective, addressing disputes between management and unions </w:t>
      </w:r>
      <w:proofErr w:type="gramStart"/>
      <w:r w:rsidRPr="00B66A8E">
        <w:rPr>
          <w:rFonts w:ascii="Aptos" w:hAnsi="Aptos"/>
          <w:lang w:val="en-GB"/>
        </w:rPr>
        <w:t>over pay</w:t>
      </w:r>
      <w:proofErr w:type="gramEnd"/>
      <w:r w:rsidRPr="00B66A8E">
        <w:rPr>
          <w:rFonts w:ascii="Aptos" w:hAnsi="Aptos"/>
          <w:lang w:val="en-GB"/>
        </w:rPr>
        <w:t xml:space="preserve"> or conditions. The focus is on reaching compromise rather than determining fault.</w:t>
      </w:r>
    </w:p>
    <w:p w14:paraId="3705B323" w14:textId="71C72933" w:rsidR="00B66A8E" w:rsidRPr="00B66A8E" w:rsidRDefault="00B66A8E" w:rsidP="00B66A8E">
      <w:pPr>
        <w:rPr>
          <w:rFonts w:ascii="Aptos" w:hAnsi="Aptos"/>
          <w:lang w:val="en-GB"/>
        </w:rPr>
      </w:pPr>
      <w:r w:rsidRPr="00B66A8E">
        <w:rPr>
          <w:rFonts w:ascii="Aptos" w:hAnsi="Aptos"/>
          <w:lang w:val="en-GB"/>
        </w:rPr>
        <w:br/>
      </w:r>
      <w:proofErr w:type="spellStart"/>
      <w:r w:rsidRPr="00B66A8E">
        <w:rPr>
          <w:rFonts w:ascii="Aptos" w:hAnsi="Aptos"/>
          <w:lang w:val="en-GB"/>
        </w:rPr>
        <w:t>Mediation</w:t>
      </w:r>
      <w:proofErr w:type="spellEnd"/>
      <w:r w:rsidRPr="00B66A8E">
        <w:rPr>
          <w:rFonts w:ascii="Aptos" w:hAnsi="Aptos"/>
          <w:lang w:val="en-GB"/>
        </w:rPr>
        <w:t xml:space="preserve"> is a confidential, informal, and voluntary process in which an impartial mediator helps parties resolve a dispute through constructive dialogue (Latreille, 2011). Unlike conciliation, mediation is often used for interpersonal or team conflicts, such as personality clashes, communication breakdowns, or grievances that risk escalating. The mediator does not impose a decision but supports the parties to agree their own solution, which can improve </w:t>
      </w:r>
      <w:r w:rsidRPr="00B66A8E">
        <w:rPr>
          <w:rFonts w:ascii="Aptos" w:hAnsi="Aptos"/>
          <w:lang w:val="en-GB"/>
        </w:rPr>
        <w:lastRenderedPageBreak/>
        <w:t>relationships and prevent recurrence. In the public sector, mediation is increasingly used for disputes arising from organisational change or restructuring (</w:t>
      </w:r>
      <w:proofErr w:type="spellStart"/>
      <w:r w:rsidRPr="00B66A8E">
        <w:rPr>
          <w:rFonts w:ascii="Aptos" w:hAnsi="Aptos"/>
          <w:lang w:val="en-GB"/>
        </w:rPr>
        <w:t>Saundry</w:t>
      </w:r>
      <w:proofErr w:type="spellEnd"/>
      <w:r w:rsidRPr="00B66A8E">
        <w:rPr>
          <w:rFonts w:ascii="Aptos" w:hAnsi="Aptos"/>
          <w:lang w:val="en-GB"/>
        </w:rPr>
        <w:t xml:space="preserve"> et al., 2014).</w:t>
      </w:r>
    </w:p>
    <w:p w14:paraId="70B60A1F" w14:textId="4D902A0A" w:rsidR="00B66A8E" w:rsidRDefault="00B66A8E" w:rsidP="00B66A8E">
      <w:pPr>
        <w:rPr>
          <w:rFonts w:ascii="Aptos" w:hAnsi="Aptos"/>
          <w:lang w:val="en-GB"/>
        </w:rPr>
      </w:pPr>
      <w:r w:rsidRPr="00B66A8E">
        <w:rPr>
          <w:rFonts w:ascii="Aptos" w:hAnsi="Aptos"/>
          <w:lang w:val="en-GB"/>
        </w:rPr>
        <w:br/>
      </w:r>
      <w:proofErr w:type="spellStart"/>
      <w:r w:rsidRPr="00B66A8E">
        <w:rPr>
          <w:rFonts w:ascii="Aptos" w:hAnsi="Aptos"/>
          <w:lang w:val="en-GB"/>
        </w:rPr>
        <w:t>Arbitration</w:t>
      </w:r>
      <w:proofErr w:type="spellEnd"/>
      <w:r w:rsidRPr="00B66A8E">
        <w:rPr>
          <w:rFonts w:ascii="Aptos" w:hAnsi="Aptos"/>
          <w:lang w:val="en-GB"/>
        </w:rPr>
        <w:t xml:space="preserve"> is a more formal process where an independent arbitrator hears evidence from both sides and makes a binding decision (BEIS, 2021). It is often used in collective disputes, such as pay negotiations, where voluntary agreements cannot be reached. ACAS offers an Arbitration Scheme for certain cases, including unfair dismissal and flexible working disputes. Arbitration provides a quicker and less costly alternative to tribunal proceedings but involves ceding decision-making power to the arbitrator, making it less collaborative than mediation or conciliation.</w:t>
      </w:r>
    </w:p>
    <w:p w14:paraId="12AF4140" w14:textId="43072190" w:rsidR="00B66A8E" w:rsidRPr="00B66A8E" w:rsidRDefault="00691456" w:rsidP="00B66A8E">
      <w:pPr>
        <w:rPr>
          <w:rFonts w:ascii="Aptos" w:hAnsi="Aptos"/>
          <w:lang w:val="en-GB"/>
        </w:rPr>
      </w:pPr>
      <w:r w:rsidRPr="00B66A8E">
        <w:rPr>
          <w:rFonts w:ascii="Aptos" w:hAnsi="Aptos"/>
          <w:lang w:val="en-GB"/>
        </w:rPr>
        <w:t xml:space="preserve"> </w:t>
      </w:r>
      <w:r w:rsidR="00B66A8E" w:rsidRPr="00B66A8E">
        <w:rPr>
          <w:rFonts w:ascii="Aptos" w:hAnsi="Aptos"/>
          <w:lang w:val="en-GB"/>
        </w:rPr>
        <w:br/>
        <w:t>For newly merged public sector organisations, these third-party mechanisms can be vital in preventing prolonged disputes that disrupt service delivery. Leaders unfamiliar with UK public sector employment relations should recognise that mediation is often most effective for restoring working relationships, conciliation for achieving pragmatic settlements, and arbitration for resolving intractable issues where a binding decision is required. Choosing the right process depends on the nature, scale, and urgency of the dispute.</w:t>
      </w:r>
    </w:p>
    <w:p w14:paraId="5D006CA8" w14:textId="77777777" w:rsidR="00B66A8E" w:rsidRPr="00B66A8E" w:rsidRDefault="00B66A8E" w:rsidP="00D170E6">
      <w:pPr>
        <w:rPr>
          <w:rFonts w:ascii="Aptos" w:hAnsi="Aptos"/>
          <w:b/>
          <w:bCs/>
          <w:lang w:val="en-GB"/>
        </w:rPr>
      </w:pPr>
    </w:p>
    <w:p w14:paraId="0FE6D284" w14:textId="77777777" w:rsidR="00B66A8E" w:rsidRDefault="00B66A8E" w:rsidP="00D170E6">
      <w:pPr>
        <w:rPr>
          <w:b/>
          <w:bCs/>
          <w:lang w:val="en-GB"/>
        </w:rPr>
      </w:pPr>
    </w:p>
    <w:p w14:paraId="0512B730" w14:textId="0E2EC642" w:rsidR="00D170E6" w:rsidRPr="00DA6179" w:rsidRDefault="00D170E6" w:rsidP="00D170E6">
      <w:pPr>
        <w:rPr>
          <w:rFonts w:ascii="Aptos" w:hAnsi="Aptos"/>
          <w:b/>
          <w:bCs/>
          <w:lang w:val="en-GB"/>
        </w:rPr>
      </w:pPr>
      <w:r w:rsidRPr="00D170E6">
        <w:rPr>
          <w:rFonts w:ascii="Aptos" w:hAnsi="Aptos"/>
          <w:b/>
          <w:bCs/>
          <w:lang w:val="en-GB"/>
        </w:rPr>
        <w:t>Legislation on unfair dismissal – capability and misconduct (AC 3.1)</w:t>
      </w:r>
    </w:p>
    <w:p w14:paraId="0A13E2D5" w14:textId="77777777" w:rsidR="00691456" w:rsidRPr="00D170E6" w:rsidRDefault="00691456" w:rsidP="00D170E6">
      <w:pPr>
        <w:rPr>
          <w:rFonts w:ascii="Aptos" w:hAnsi="Aptos"/>
          <w:b/>
          <w:bCs/>
          <w:lang w:val="en-GB"/>
        </w:rPr>
      </w:pPr>
    </w:p>
    <w:p w14:paraId="3FF747C8" w14:textId="77777777" w:rsidR="00DA6179" w:rsidRPr="00DA6179" w:rsidRDefault="00DA6179" w:rsidP="00DA6179">
      <w:pPr>
        <w:rPr>
          <w:rFonts w:ascii="Aptos" w:hAnsi="Aptos"/>
          <w:lang w:val="en-GB"/>
        </w:rPr>
      </w:pPr>
      <w:r w:rsidRPr="00DA6179">
        <w:rPr>
          <w:rFonts w:ascii="Aptos" w:hAnsi="Aptos"/>
          <w:lang w:val="en-GB"/>
        </w:rPr>
        <w:t xml:space="preserve">In the UK, the legal framework for unfair dismissal is primarily set out in the </w:t>
      </w:r>
      <w:r w:rsidRPr="00DA6179">
        <w:rPr>
          <w:rFonts w:ascii="Aptos" w:hAnsi="Aptos"/>
          <w:i/>
          <w:iCs/>
          <w:lang w:val="en-GB"/>
        </w:rPr>
        <w:t>Employment Rights Act 1996</w:t>
      </w:r>
      <w:r w:rsidRPr="00DA6179">
        <w:rPr>
          <w:rFonts w:ascii="Aptos" w:hAnsi="Aptos"/>
          <w:lang w:val="en-GB"/>
        </w:rPr>
        <w:t xml:space="preserve"> (ERA 1996). To avoid a finding of unfair dismissal, employers must show both a fair reason for dismissal (Section 98 ERA 1996) and that the decision to dismiss was reasonable in all the circumstances, following a fair procedure. Two of the five potentially fair reasons under the Act are particularly relevant in employee relations: capability and conduct.</w:t>
      </w:r>
    </w:p>
    <w:p w14:paraId="0C899B07" w14:textId="2B90D89F" w:rsidR="00DA6179" w:rsidRPr="00DA6179" w:rsidRDefault="00DA6179" w:rsidP="00DA6179">
      <w:pPr>
        <w:rPr>
          <w:rFonts w:ascii="Aptos" w:hAnsi="Aptos"/>
          <w:lang w:val="en-GB"/>
        </w:rPr>
      </w:pPr>
      <w:r w:rsidRPr="00DA6179">
        <w:rPr>
          <w:rFonts w:ascii="Aptos" w:hAnsi="Aptos"/>
          <w:lang w:val="en-GB"/>
        </w:rPr>
        <w:br/>
        <w:t>Capability refers to an employee’s ability to perform their job duties to the required standard, including due to skills, aptitude, health, or other physical or mental attributes. Under Section 98(2)(a) ERA 1996, a dismissal may be fair if it results from the employee’s lack of capability or qualifications. ACAS guidance (2023) stresses that before dismissal, employers should provide support such as training, reasonable adjustments for disability (Equality Act 2010), and opportunities to improve through a performance improvement plan (PIP). Medical evidence should be obtained where ill health is a factor, and alternatives to dismissal—such as redeployment—should be considered.</w:t>
      </w:r>
    </w:p>
    <w:p w14:paraId="160D0714" w14:textId="6ED314F7" w:rsidR="00DA6179" w:rsidRPr="00DA6179" w:rsidRDefault="00DA6179" w:rsidP="00DA6179">
      <w:pPr>
        <w:rPr>
          <w:rFonts w:ascii="Aptos" w:hAnsi="Aptos"/>
          <w:lang w:val="en-GB"/>
        </w:rPr>
      </w:pPr>
      <w:r w:rsidRPr="00DA6179">
        <w:rPr>
          <w:rFonts w:ascii="Aptos" w:hAnsi="Aptos"/>
          <w:lang w:val="en-GB"/>
        </w:rPr>
        <w:br/>
      </w:r>
      <w:proofErr w:type="spellStart"/>
      <w:r w:rsidRPr="00DA6179">
        <w:rPr>
          <w:rFonts w:ascii="Aptos" w:hAnsi="Aptos"/>
          <w:lang w:val="en-GB"/>
        </w:rPr>
        <w:t>Misconduct</w:t>
      </w:r>
      <w:proofErr w:type="spellEnd"/>
      <w:r w:rsidRPr="00DA6179">
        <w:rPr>
          <w:rFonts w:ascii="Aptos" w:hAnsi="Aptos"/>
          <w:lang w:val="en-GB"/>
        </w:rPr>
        <w:t xml:space="preserve"> covers breaches of contractual obligations or workplace rules, ranging from minor infractions (e.g., lateness) to gross misconduct (e.g., theft, violence, fraud). Under Section 98(2)(b) ERA 1996, misconduct can be a fair reason for dismissal, provided the employer carries out a reasonable investigation, informs the employee of the allegations, allows them to respond, and follows the organisation’s disciplinary procedure in line with the ACAS Code of Practice (2015). Gross misconduct may justify summary dismissal without notice, but only after a fair process.</w:t>
      </w:r>
    </w:p>
    <w:p w14:paraId="0CD55233" w14:textId="32D83ED5" w:rsidR="00DA6179" w:rsidRPr="00DA6179" w:rsidRDefault="00DA6179" w:rsidP="00DA6179">
      <w:pPr>
        <w:rPr>
          <w:rFonts w:ascii="Aptos" w:hAnsi="Aptos"/>
          <w:lang w:val="en-GB"/>
        </w:rPr>
      </w:pPr>
      <w:r w:rsidRPr="00DA6179">
        <w:rPr>
          <w:rFonts w:ascii="Aptos" w:hAnsi="Aptos"/>
          <w:lang w:val="en-GB"/>
        </w:rPr>
        <w:br/>
        <w:t xml:space="preserve">Employment tribunals assess procedural fairness using the “range of reasonable responses” test from </w:t>
      </w:r>
      <w:r w:rsidRPr="00DA6179">
        <w:rPr>
          <w:rFonts w:ascii="Aptos" w:hAnsi="Aptos"/>
          <w:i/>
          <w:iCs/>
          <w:lang w:val="en-GB"/>
        </w:rPr>
        <w:t>Iceland Frozen Foods Ltd v Jones</w:t>
      </w:r>
      <w:r w:rsidRPr="00DA6179">
        <w:rPr>
          <w:rFonts w:ascii="Aptos" w:hAnsi="Aptos"/>
          <w:lang w:val="en-GB"/>
        </w:rPr>
        <w:t xml:space="preserve"> [1983] ICR 17. Employers must follow their own disciplinary procedures and the ACAS Code, which emphasises early resolution, proportionality of sanctions, and the right to be accompanied at hearings. Failure to follow the ACAS Code can result in tribunal awards being increased by up to 25%.</w:t>
      </w:r>
    </w:p>
    <w:p w14:paraId="6EBF3063" w14:textId="55E88774" w:rsidR="00DA6179" w:rsidRPr="00DA6179" w:rsidRDefault="00DA6179" w:rsidP="00DA6179">
      <w:pPr>
        <w:rPr>
          <w:rFonts w:ascii="Aptos" w:hAnsi="Aptos"/>
          <w:lang w:val="en-GB"/>
        </w:rPr>
      </w:pPr>
      <w:r w:rsidRPr="00DA6179">
        <w:rPr>
          <w:rFonts w:ascii="Aptos" w:hAnsi="Aptos"/>
          <w:lang w:val="en-GB"/>
        </w:rPr>
        <w:lastRenderedPageBreak/>
        <w:t>For public sector organisations—often operating under collective agreements—leaders must ensure compliance with statutory obligations, local policies, and relevant national frameworks. Transparent, fair handling of capability and misconduct cases maintains organisational integrity, mitigates legal risk, and supports employee trust, which is particularly important during post-merger integration.</w:t>
      </w:r>
    </w:p>
    <w:p w14:paraId="33FD49C9" w14:textId="77777777" w:rsidR="00691456" w:rsidRDefault="00691456" w:rsidP="00D170E6">
      <w:pPr>
        <w:rPr>
          <w:lang w:val="en-GB"/>
        </w:rPr>
      </w:pPr>
    </w:p>
    <w:p w14:paraId="1FB3F13F" w14:textId="77777777" w:rsidR="00691456" w:rsidRPr="00D170E6" w:rsidRDefault="00691456" w:rsidP="00D170E6">
      <w:pPr>
        <w:rPr>
          <w:lang w:val="en-GB"/>
        </w:rPr>
      </w:pPr>
    </w:p>
    <w:p w14:paraId="3DA667CE" w14:textId="2BC556E2" w:rsidR="00D170E6" w:rsidRPr="008D7C4E" w:rsidRDefault="00D170E6" w:rsidP="00D170E6">
      <w:pPr>
        <w:rPr>
          <w:rFonts w:ascii="Aptos" w:hAnsi="Aptos"/>
          <w:b/>
          <w:bCs/>
          <w:lang w:val="en-GB"/>
        </w:rPr>
      </w:pPr>
      <w:r w:rsidRPr="00D170E6">
        <w:rPr>
          <w:rFonts w:ascii="Aptos" w:hAnsi="Aptos"/>
          <w:b/>
          <w:bCs/>
          <w:lang w:val="en-GB"/>
        </w:rPr>
        <w:t>Three key causes of grievances (AC 3.2)</w:t>
      </w:r>
    </w:p>
    <w:p w14:paraId="1F359918" w14:textId="77777777" w:rsidR="00B03603" w:rsidRPr="00D170E6" w:rsidRDefault="00B03603" w:rsidP="00D170E6">
      <w:pPr>
        <w:rPr>
          <w:rFonts w:ascii="Aptos" w:hAnsi="Aptos"/>
          <w:b/>
          <w:bCs/>
          <w:lang w:val="en-GB"/>
        </w:rPr>
      </w:pPr>
    </w:p>
    <w:p w14:paraId="2DCBF453" w14:textId="77777777" w:rsidR="008D7C4E" w:rsidRDefault="008D7C4E" w:rsidP="008D7C4E">
      <w:pPr>
        <w:rPr>
          <w:rFonts w:ascii="Aptos" w:hAnsi="Aptos"/>
          <w:lang w:val="en-GB"/>
        </w:rPr>
      </w:pPr>
      <w:r w:rsidRPr="008D7C4E">
        <w:rPr>
          <w:rFonts w:ascii="Aptos" w:hAnsi="Aptos"/>
          <w:lang w:val="en-GB"/>
        </w:rPr>
        <w:t>A grievance is a formal complaint raised by an employee concerning the workplace, often relating to treatment by management, colleagues, or organisational policies. Understanding the underlying causes is essential for prevention and effective resolution. Research by ACAS (2021) and the CIPD (2023) identifies recurring themes. Three of the most common causes are:</w:t>
      </w:r>
    </w:p>
    <w:p w14:paraId="7E1210EF" w14:textId="77777777" w:rsidR="008D7C4E" w:rsidRPr="008D7C4E" w:rsidRDefault="008D7C4E" w:rsidP="008D7C4E">
      <w:pPr>
        <w:rPr>
          <w:rFonts w:ascii="Aptos" w:hAnsi="Aptos"/>
          <w:lang w:val="en-GB"/>
        </w:rPr>
      </w:pPr>
    </w:p>
    <w:p w14:paraId="0468EE38" w14:textId="77777777" w:rsidR="008D7C4E" w:rsidRPr="008D7C4E" w:rsidRDefault="008D7C4E" w:rsidP="008D7C4E">
      <w:pPr>
        <w:rPr>
          <w:rFonts w:ascii="Aptos" w:hAnsi="Aptos"/>
          <w:lang w:val="en-GB"/>
        </w:rPr>
      </w:pPr>
      <w:r w:rsidRPr="008D7C4E">
        <w:rPr>
          <w:rFonts w:ascii="Aptos" w:hAnsi="Aptos"/>
          <w:b/>
          <w:bCs/>
          <w:lang w:val="en-GB"/>
        </w:rPr>
        <w:t>1. Pay and reward disputes</w:t>
      </w:r>
      <w:r w:rsidRPr="008D7C4E">
        <w:rPr>
          <w:rFonts w:ascii="Aptos" w:hAnsi="Aptos"/>
          <w:lang w:val="en-GB"/>
        </w:rPr>
        <w:br/>
        <w:t>Pay-related grievances can stem from perceived unfairness in salary, bonuses, or allowances, particularly where discrepancies exist between colleagues in similar roles. In the public sector, tensions may arise from national pay bargaining outcomes, cost-of-living pressures, or changes to overtime and shift allowances (TUC, 2023). Perceptions of unequal pay can also lead to claims under the Equality Act 2010. Transparent reward structures and clear communication of pay decisions are critical to avoiding these disputes.</w:t>
      </w:r>
    </w:p>
    <w:p w14:paraId="2C703575" w14:textId="77777777" w:rsidR="008D7C4E" w:rsidRDefault="008D7C4E" w:rsidP="008D7C4E">
      <w:pPr>
        <w:rPr>
          <w:rFonts w:ascii="Aptos" w:hAnsi="Aptos"/>
          <w:b/>
          <w:bCs/>
          <w:lang w:val="en-GB"/>
        </w:rPr>
      </w:pPr>
    </w:p>
    <w:p w14:paraId="48879A8F" w14:textId="68D41D2D" w:rsidR="008D7C4E" w:rsidRPr="008D7C4E" w:rsidRDefault="008D7C4E" w:rsidP="008D7C4E">
      <w:pPr>
        <w:rPr>
          <w:rFonts w:ascii="Aptos" w:hAnsi="Aptos"/>
          <w:lang w:val="en-GB"/>
        </w:rPr>
      </w:pPr>
      <w:r w:rsidRPr="008D7C4E">
        <w:rPr>
          <w:rFonts w:ascii="Aptos" w:hAnsi="Aptos"/>
          <w:b/>
          <w:bCs/>
          <w:lang w:val="en-GB"/>
        </w:rPr>
        <w:t>2. Bullying, harassment, and discrimination</w:t>
      </w:r>
      <w:r w:rsidRPr="008D7C4E">
        <w:rPr>
          <w:rFonts w:ascii="Aptos" w:hAnsi="Aptos"/>
          <w:lang w:val="en-GB"/>
        </w:rPr>
        <w:br/>
        <w:t>Bullying and harassment—whether based on protected characteristics (e.g., gender, race, disability) or unrelated workplace behaviour—are significant drivers of grievances. CIPD research (2023) notes that unresolved incidents can severely damage morale, increase absenteeism, and lead to employment tribunal claims under the Equality Act 2010. In the public sector, where teams are often diverse and high-pressure service environments prevail, early intervention and robust dignity-at-work policies are essential.</w:t>
      </w:r>
    </w:p>
    <w:p w14:paraId="3A947F0D" w14:textId="77777777" w:rsidR="008D7C4E" w:rsidRDefault="008D7C4E" w:rsidP="008D7C4E">
      <w:pPr>
        <w:rPr>
          <w:rFonts w:ascii="Aptos" w:hAnsi="Aptos"/>
          <w:b/>
          <w:bCs/>
          <w:lang w:val="en-GB"/>
        </w:rPr>
      </w:pPr>
    </w:p>
    <w:p w14:paraId="15412CFA" w14:textId="67BF8D16" w:rsidR="008D7C4E" w:rsidRPr="008D7C4E" w:rsidRDefault="008D7C4E" w:rsidP="008D7C4E">
      <w:pPr>
        <w:rPr>
          <w:rFonts w:ascii="Aptos" w:hAnsi="Aptos"/>
          <w:lang w:val="en-GB"/>
        </w:rPr>
      </w:pPr>
      <w:r w:rsidRPr="008D7C4E">
        <w:rPr>
          <w:rFonts w:ascii="Aptos" w:hAnsi="Aptos"/>
          <w:b/>
          <w:bCs/>
          <w:lang w:val="en-GB"/>
        </w:rPr>
        <w:t>3. Workload and working conditions</w:t>
      </w:r>
      <w:r w:rsidRPr="008D7C4E">
        <w:rPr>
          <w:rFonts w:ascii="Aptos" w:hAnsi="Aptos"/>
          <w:lang w:val="en-GB"/>
        </w:rPr>
        <w:br/>
        <w:t>Excessive workload, insufficient resources, and unsafe or unhealthy working conditions frequently generate grievances. Post-merger reorganisations can exacerbate these issues as teams adjust to new staffing structures and service delivery demands. The Health and Safety at Work etc. Act 1974 places a duty on employers to ensure safe working environments, while the Working Time Regulations 1998 set limits on hours and rest breaks. Perceived breaches can prompt both formal grievances and union involvement.</w:t>
      </w:r>
    </w:p>
    <w:p w14:paraId="0067422C" w14:textId="6DDAEB70" w:rsidR="008D7C4E" w:rsidRPr="008D7C4E" w:rsidRDefault="008D7C4E" w:rsidP="008D7C4E">
      <w:pPr>
        <w:rPr>
          <w:rFonts w:ascii="Aptos" w:hAnsi="Aptos"/>
          <w:lang w:val="en-GB"/>
        </w:rPr>
      </w:pPr>
      <w:r w:rsidRPr="008D7C4E">
        <w:rPr>
          <w:rFonts w:ascii="Aptos" w:hAnsi="Aptos"/>
          <w:lang w:val="en-GB"/>
        </w:rPr>
        <w:br/>
        <w:t>These causes often intersect—e.g., high workload can lead to stress, which in turn can result in disputes over sickness absence management. Similarly, perceived unfair pay may compound feelings of discrimination if linked to protected characteristics.</w:t>
      </w:r>
    </w:p>
    <w:p w14:paraId="1462532D" w14:textId="77777777" w:rsidR="008D7C4E" w:rsidRPr="008D7C4E" w:rsidRDefault="008D7C4E" w:rsidP="008D7C4E">
      <w:pPr>
        <w:rPr>
          <w:rFonts w:ascii="Aptos" w:hAnsi="Aptos"/>
          <w:lang w:val="en-GB"/>
        </w:rPr>
      </w:pPr>
      <w:r w:rsidRPr="008D7C4E">
        <w:rPr>
          <w:rFonts w:ascii="Aptos" w:hAnsi="Aptos"/>
          <w:lang w:val="en-GB"/>
        </w:rPr>
        <w:t>Addressing root causes through proactive policies—such as regular workload reviews, equality and diversity training, and transparent pay governance—can reduce the likelihood of grievances escalating into disputes or tribunal claims. In a post-merger public sector organisation, early engagement with staff and unions on these matters can help maintain trust during periods of change.</w:t>
      </w:r>
    </w:p>
    <w:p w14:paraId="14F0513C" w14:textId="77777777" w:rsidR="00B03603" w:rsidRPr="008D7C4E" w:rsidRDefault="00B03603" w:rsidP="00B03603">
      <w:pPr>
        <w:rPr>
          <w:rFonts w:ascii="Aptos" w:hAnsi="Aptos"/>
          <w:lang w:val="en-GB"/>
        </w:rPr>
      </w:pPr>
    </w:p>
    <w:p w14:paraId="796A0AAE" w14:textId="77777777" w:rsidR="00B03603" w:rsidRDefault="00B03603" w:rsidP="00B03603">
      <w:pPr>
        <w:rPr>
          <w:lang w:val="en-GB"/>
        </w:rPr>
      </w:pPr>
    </w:p>
    <w:p w14:paraId="14E73507" w14:textId="77777777" w:rsidR="008D7C4E" w:rsidRDefault="008D7C4E" w:rsidP="00B03603">
      <w:pPr>
        <w:rPr>
          <w:lang w:val="en-GB"/>
        </w:rPr>
      </w:pPr>
    </w:p>
    <w:p w14:paraId="222D0EDD" w14:textId="77777777" w:rsidR="008D7C4E" w:rsidRPr="00D170E6" w:rsidRDefault="008D7C4E" w:rsidP="00B03603">
      <w:pPr>
        <w:rPr>
          <w:lang w:val="en-GB"/>
        </w:rPr>
      </w:pPr>
    </w:p>
    <w:p w14:paraId="26B8F807" w14:textId="308C72C7" w:rsidR="00D170E6" w:rsidRPr="005D7E88" w:rsidRDefault="00D170E6" w:rsidP="00D170E6">
      <w:pPr>
        <w:rPr>
          <w:rFonts w:ascii="Aptos" w:hAnsi="Aptos"/>
          <w:b/>
          <w:bCs/>
          <w:lang w:val="en-GB"/>
        </w:rPr>
      </w:pPr>
      <w:r w:rsidRPr="00D170E6">
        <w:rPr>
          <w:rFonts w:ascii="Aptos" w:hAnsi="Aptos"/>
          <w:b/>
          <w:bCs/>
          <w:lang w:val="en-GB"/>
        </w:rPr>
        <w:lastRenderedPageBreak/>
        <w:t>Importance of handling grievances effectively (AC 3.3)</w:t>
      </w:r>
    </w:p>
    <w:p w14:paraId="5245F89D" w14:textId="77777777" w:rsidR="008D7C4E" w:rsidRPr="00D170E6" w:rsidRDefault="008D7C4E" w:rsidP="00D170E6">
      <w:pPr>
        <w:rPr>
          <w:rFonts w:ascii="Aptos" w:hAnsi="Aptos"/>
          <w:b/>
          <w:bCs/>
          <w:lang w:val="en-GB"/>
        </w:rPr>
      </w:pPr>
    </w:p>
    <w:p w14:paraId="3246042E" w14:textId="77777777" w:rsidR="005D7E88" w:rsidRDefault="005D7E88" w:rsidP="005D7E88">
      <w:pPr>
        <w:rPr>
          <w:rFonts w:ascii="Aptos" w:hAnsi="Aptos"/>
          <w:lang w:val="en-GB"/>
        </w:rPr>
      </w:pPr>
      <w:r w:rsidRPr="005D7E88">
        <w:rPr>
          <w:rFonts w:ascii="Aptos" w:hAnsi="Aptos"/>
          <w:lang w:val="en-GB"/>
        </w:rPr>
        <w:t>Effective grievance handling is critical to maintaining positive employee relations, especially in complex environments such as public sector organisations undergoing mergers. A well-managed grievance process can prevent escalation, protect organisational reputation, and sustain workforce morale (ACAS, 2021).</w:t>
      </w:r>
    </w:p>
    <w:p w14:paraId="558E6CB1" w14:textId="77777777" w:rsidR="00C91368" w:rsidRPr="005D7E88" w:rsidRDefault="00C91368" w:rsidP="005D7E88">
      <w:pPr>
        <w:rPr>
          <w:rFonts w:ascii="Aptos" w:hAnsi="Aptos"/>
          <w:lang w:val="en-GB"/>
        </w:rPr>
      </w:pPr>
    </w:p>
    <w:p w14:paraId="431B1D45" w14:textId="77777777" w:rsidR="005D7E88" w:rsidRDefault="005D7E88" w:rsidP="005D7E88">
      <w:pPr>
        <w:rPr>
          <w:rFonts w:ascii="Aptos" w:hAnsi="Aptos"/>
          <w:lang w:val="en-GB"/>
        </w:rPr>
      </w:pPr>
      <w:r w:rsidRPr="005D7E88">
        <w:rPr>
          <w:rFonts w:ascii="Aptos" w:hAnsi="Aptos"/>
          <w:lang w:val="en-GB"/>
        </w:rPr>
        <w:t>Firstly, timely and fair resolution of grievances demonstrates organisational justice—the perception that the organisation treats employees equitably and respects their concerns (Colquitt et al., 2001). When employees believe their grievances are heard and addressed sincerely, trust in leadership improves, enhancing commitment and reducing turnover intentions (CIPD, 2023).</w:t>
      </w:r>
    </w:p>
    <w:p w14:paraId="20D8DE9F" w14:textId="77777777" w:rsidR="00625B76" w:rsidRPr="005D7E88" w:rsidRDefault="00625B76" w:rsidP="005D7E88">
      <w:pPr>
        <w:rPr>
          <w:rFonts w:ascii="Aptos" w:hAnsi="Aptos"/>
          <w:lang w:val="en-GB"/>
        </w:rPr>
      </w:pPr>
    </w:p>
    <w:p w14:paraId="023EC1A1" w14:textId="77777777" w:rsidR="005D7E88" w:rsidRPr="005D7E88" w:rsidRDefault="005D7E88" w:rsidP="005D7E88">
      <w:pPr>
        <w:rPr>
          <w:rFonts w:ascii="Aptos" w:hAnsi="Aptos"/>
          <w:lang w:val="en-GB"/>
        </w:rPr>
      </w:pPr>
      <w:r w:rsidRPr="005D7E88">
        <w:rPr>
          <w:rFonts w:ascii="Aptos" w:hAnsi="Aptos"/>
          <w:lang w:val="en-GB"/>
        </w:rPr>
        <w:t>Secondly, unresolved grievances can lead to increased conflict and reduced productivity. Persistent dissatisfaction may manifest as absenteeism, presenteeism, or industrial action, all of which disrupt service delivery—a critical risk in public sector contexts where continuity is vital (TUC, 2023). Early intervention and transparent communication help mitigate these risks.</w:t>
      </w:r>
    </w:p>
    <w:p w14:paraId="6FB5FF1C" w14:textId="77777777" w:rsidR="00625B76" w:rsidRDefault="00625B76" w:rsidP="005D7E88">
      <w:pPr>
        <w:rPr>
          <w:rFonts w:ascii="Aptos" w:hAnsi="Aptos"/>
          <w:lang w:val="en-GB"/>
        </w:rPr>
      </w:pPr>
    </w:p>
    <w:p w14:paraId="3C96DDA2" w14:textId="3AE148E3" w:rsidR="005D7E88" w:rsidRDefault="005D7E88" w:rsidP="005D7E88">
      <w:pPr>
        <w:rPr>
          <w:rFonts w:ascii="Aptos" w:hAnsi="Aptos"/>
          <w:lang w:val="en-GB"/>
        </w:rPr>
      </w:pPr>
      <w:r w:rsidRPr="005D7E88">
        <w:rPr>
          <w:rFonts w:ascii="Aptos" w:hAnsi="Aptos"/>
          <w:lang w:val="en-GB"/>
        </w:rPr>
        <w:t>Thirdly, proper grievance management helps ensure legal compliance. Failure to follow fair procedures, as outlined in the ACAS Code of Practice on Disciplinary and Grievance Procedures (2015), can expose organisations to employment tribunal claims and financial penalties. Public sector employers often have additional statutory duties, making adherence to policy essential for risk management (BEIS, 2021).</w:t>
      </w:r>
    </w:p>
    <w:p w14:paraId="430DA022" w14:textId="77777777" w:rsidR="00B01AA6" w:rsidRPr="005D7E88" w:rsidRDefault="00B01AA6" w:rsidP="005D7E88">
      <w:pPr>
        <w:rPr>
          <w:rFonts w:ascii="Aptos" w:hAnsi="Aptos"/>
          <w:lang w:val="en-GB"/>
        </w:rPr>
      </w:pPr>
    </w:p>
    <w:p w14:paraId="02C166C6" w14:textId="77777777" w:rsidR="005D7E88" w:rsidRDefault="005D7E88" w:rsidP="005D7E88">
      <w:pPr>
        <w:rPr>
          <w:rFonts w:ascii="Aptos" w:hAnsi="Aptos"/>
          <w:lang w:val="en-GB"/>
        </w:rPr>
      </w:pPr>
      <w:r w:rsidRPr="005D7E88">
        <w:rPr>
          <w:rFonts w:ascii="Aptos" w:hAnsi="Aptos"/>
          <w:lang w:val="en-GB"/>
        </w:rPr>
        <w:t>Furthermore, a robust grievance procedure fosters a culture of openness and continuous improvement. It encourages employees to raise concerns constructively rather than resorting to covert resistance or formal disputes (Wilkinson et al., 2020). This feedback loop enables leaders to identify systemic issues—such as workload pressures or policy flaws—and respond proactively.</w:t>
      </w:r>
    </w:p>
    <w:p w14:paraId="30350984" w14:textId="77777777" w:rsidR="00B01AA6" w:rsidRPr="005D7E88" w:rsidRDefault="00B01AA6" w:rsidP="005D7E88">
      <w:pPr>
        <w:rPr>
          <w:rFonts w:ascii="Aptos" w:hAnsi="Aptos"/>
          <w:lang w:val="en-GB"/>
        </w:rPr>
      </w:pPr>
    </w:p>
    <w:p w14:paraId="50907905" w14:textId="77777777" w:rsidR="005D7E88" w:rsidRDefault="005D7E88" w:rsidP="005D7E88">
      <w:pPr>
        <w:rPr>
          <w:rFonts w:ascii="Aptos" w:hAnsi="Aptos"/>
          <w:lang w:val="en-GB"/>
        </w:rPr>
      </w:pPr>
      <w:r w:rsidRPr="005D7E88">
        <w:rPr>
          <w:rFonts w:ascii="Aptos" w:hAnsi="Aptos"/>
          <w:lang w:val="en-GB"/>
        </w:rPr>
        <w:t>In a post-merger public sector organisation, effective grievance handling is particularly important to bridge cultural differences between legacy staff and new leadership teams. It signals respect for employee voice during periods of uncertainty, helping to rebuild trust and sustain morale (Dundon et al., 2023).</w:t>
      </w:r>
    </w:p>
    <w:p w14:paraId="0496DE0B" w14:textId="77777777" w:rsidR="00B01AA6" w:rsidRPr="005D7E88" w:rsidRDefault="00B01AA6" w:rsidP="005D7E88">
      <w:pPr>
        <w:rPr>
          <w:rFonts w:ascii="Aptos" w:hAnsi="Aptos"/>
          <w:lang w:val="en-GB"/>
        </w:rPr>
      </w:pPr>
    </w:p>
    <w:p w14:paraId="517F8C69" w14:textId="77777777" w:rsidR="005D7E88" w:rsidRPr="005D7E88" w:rsidRDefault="005D7E88" w:rsidP="005D7E88">
      <w:pPr>
        <w:rPr>
          <w:rFonts w:ascii="Aptos" w:hAnsi="Aptos"/>
          <w:lang w:val="en-GB"/>
        </w:rPr>
      </w:pPr>
      <w:r w:rsidRPr="005D7E88">
        <w:rPr>
          <w:rFonts w:ascii="Aptos" w:hAnsi="Aptos"/>
          <w:lang w:val="en-GB"/>
        </w:rPr>
        <w:t>In summary, managing grievances effectively is essential for maintaining harmony, legal compliance, and organisational resilience. It supports employee wellbeing and engagement, which in turn drives better public service outcomes—a critical priority in any public sector organisation undergoing significant change.</w:t>
      </w:r>
    </w:p>
    <w:p w14:paraId="4BA6B278" w14:textId="6A0EE119" w:rsidR="00A541A0" w:rsidRDefault="00A541A0" w:rsidP="00D170E6"/>
    <w:p w14:paraId="08FC6610" w14:textId="77777777" w:rsidR="00C07BDF" w:rsidRDefault="00C07BDF" w:rsidP="00D170E6"/>
    <w:p w14:paraId="2ACA2A51" w14:textId="77777777" w:rsidR="00C07BDF" w:rsidRDefault="00C07BDF" w:rsidP="00D170E6"/>
    <w:p w14:paraId="57DAAC5C" w14:textId="77777777" w:rsidR="00C07BDF" w:rsidRDefault="00C07BDF" w:rsidP="00D170E6"/>
    <w:p w14:paraId="266CACFB" w14:textId="77777777" w:rsidR="00C07BDF" w:rsidRDefault="00C07BDF" w:rsidP="00D170E6"/>
    <w:p w14:paraId="320619C1" w14:textId="77777777" w:rsidR="00C07BDF" w:rsidRDefault="00C07BDF" w:rsidP="00D170E6"/>
    <w:p w14:paraId="1703808B" w14:textId="77777777" w:rsidR="00C07BDF" w:rsidRDefault="00C07BDF" w:rsidP="00D170E6"/>
    <w:p w14:paraId="318BF81C" w14:textId="77777777" w:rsidR="00B01AA6" w:rsidRDefault="00B01AA6" w:rsidP="00D170E6"/>
    <w:p w14:paraId="3AEDB0D1" w14:textId="77777777" w:rsidR="00B01AA6" w:rsidRDefault="00B01AA6" w:rsidP="00D170E6"/>
    <w:p w14:paraId="1BD6FD06" w14:textId="77777777" w:rsidR="00C07BDF" w:rsidRDefault="00C07BDF" w:rsidP="00D170E6"/>
    <w:p w14:paraId="0562003B" w14:textId="0BED0B89" w:rsidR="00DB71E3" w:rsidRDefault="00DB71E3" w:rsidP="003C332A"/>
    <w:p w14:paraId="091CBC46" w14:textId="77777777" w:rsidR="00C07BDF" w:rsidRDefault="00C07BDF" w:rsidP="00C07BDF">
      <w:pPr>
        <w:rPr>
          <w:rFonts w:ascii="Aptos" w:hAnsi="Aptos"/>
          <w:b/>
          <w:bCs/>
          <w:lang w:val="en-GB"/>
        </w:rPr>
      </w:pPr>
      <w:r w:rsidRPr="00C07BDF">
        <w:rPr>
          <w:rFonts w:ascii="Aptos" w:hAnsi="Aptos"/>
          <w:b/>
          <w:bCs/>
          <w:lang w:val="en-GB"/>
        </w:rPr>
        <w:lastRenderedPageBreak/>
        <w:t>Reference List</w:t>
      </w:r>
    </w:p>
    <w:p w14:paraId="51282038" w14:textId="77777777" w:rsidR="00C07BDF" w:rsidRPr="00C07BDF" w:rsidRDefault="00C07BDF" w:rsidP="00C07BDF">
      <w:pPr>
        <w:rPr>
          <w:rFonts w:ascii="Aptos" w:hAnsi="Aptos"/>
          <w:b/>
          <w:bCs/>
          <w:lang w:val="en-GB"/>
        </w:rPr>
      </w:pPr>
    </w:p>
    <w:p w14:paraId="2E6F79FC" w14:textId="77777777" w:rsidR="00C07BDF" w:rsidRDefault="00C07BDF" w:rsidP="00C07BDF">
      <w:pPr>
        <w:rPr>
          <w:rFonts w:ascii="Aptos" w:hAnsi="Aptos"/>
          <w:lang w:val="en-GB"/>
        </w:rPr>
      </w:pPr>
      <w:r w:rsidRPr="00C07BDF">
        <w:rPr>
          <w:rFonts w:ascii="Aptos" w:hAnsi="Aptos"/>
          <w:lang w:val="en-GB"/>
        </w:rPr>
        <w:t xml:space="preserve">ACAS (2015) </w:t>
      </w:r>
      <w:r w:rsidRPr="00C07BDF">
        <w:rPr>
          <w:rFonts w:ascii="Aptos" w:hAnsi="Aptos"/>
          <w:i/>
          <w:iCs/>
          <w:lang w:val="en-GB"/>
        </w:rPr>
        <w:t>Code of Practice on Disciplinary and Grievance Procedures</w:t>
      </w:r>
      <w:r w:rsidRPr="00C07BDF">
        <w:rPr>
          <w:rFonts w:ascii="Aptos" w:hAnsi="Aptos"/>
          <w:lang w:val="en-GB"/>
        </w:rPr>
        <w:t>. London: Advisory, Conciliation and Arbitration Service.</w:t>
      </w:r>
    </w:p>
    <w:p w14:paraId="50E14597" w14:textId="77777777" w:rsidR="00C07BDF" w:rsidRPr="00C07BDF" w:rsidRDefault="00C07BDF" w:rsidP="00C07BDF">
      <w:pPr>
        <w:rPr>
          <w:rFonts w:ascii="Aptos" w:hAnsi="Aptos"/>
          <w:lang w:val="en-GB"/>
        </w:rPr>
      </w:pPr>
    </w:p>
    <w:p w14:paraId="05A78700" w14:textId="77777777" w:rsidR="00C07BDF" w:rsidRDefault="00C07BDF" w:rsidP="00C07BDF">
      <w:pPr>
        <w:rPr>
          <w:rFonts w:ascii="Aptos" w:hAnsi="Aptos"/>
          <w:lang w:val="en-GB"/>
        </w:rPr>
      </w:pPr>
      <w:r w:rsidRPr="00C07BDF">
        <w:rPr>
          <w:rFonts w:ascii="Aptos" w:hAnsi="Aptos"/>
          <w:lang w:val="en-GB"/>
        </w:rPr>
        <w:t xml:space="preserve">ACAS (2021) </w:t>
      </w:r>
      <w:r w:rsidRPr="00C07BDF">
        <w:rPr>
          <w:rFonts w:ascii="Aptos" w:hAnsi="Aptos"/>
          <w:i/>
          <w:iCs/>
          <w:lang w:val="en-GB"/>
        </w:rPr>
        <w:t>Advisory Booklet: Discipline and Grievances at Work</w:t>
      </w:r>
      <w:r w:rsidRPr="00C07BDF">
        <w:rPr>
          <w:rFonts w:ascii="Aptos" w:hAnsi="Aptos"/>
          <w:lang w:val="en-GB"/>
        </w:rPr>
        <w:t>. London: Advisory, Conciliation and Arbitration Service.</w:t>
      </w:r>
    </w:p>
    <w:p w14:paraId="4B9036A2" w14:textId="77777777" w:rsidR="00C07BDF" w:rsidRPr="00C07BDF" w:rsidRDefault="00C07BDF" w:rsidP="00C07BDF">
      <w:pPr>
        <w:rPr>
          <w:rFonts w:ascii="Aptos" w:hAnsi="Aptos"/>
          <w:lang w:val="en-GB"/>
        </w:rPr>
      </w:pPr>
    </w:p>
    <w:p w14:paraId="06F2C54C" w14:textId="77777777" w:rsidR="00C07BDF" w:rsidRDefault="00C07BDF" w:rsidP="00C07BDF">
      <w:pPr>
        <w:rPr>
          <w:rFonts w:ascii="Aptos" w:hAnsi="Aptos"/>
          <w:lang w:val="en-GB"/>
        </w:rPr>
      </w:pPr>
      <w:r w:rsidRPr="00C07BDF">
        <w:rPr>
          <w:rFonts w:ascii="Aptos" w:hAnsi="Aptos"/>
          <w:lang w:val="en-GB"/>
        </w:rPr>
        <w:t xml:space="preserve">ACAS (2021) </w:t>
      </w:r>
      <w:r w:rsidRPr="00C07BDF">
        <w:rPr>
          <w:rFonts w:ascii="Aptos" w:hAnsi="Aptos"/>
          <w:i/>
          <w:iCs/>
          <w:lang w:val="en-GB"/>
        </w:rPr>
        <w:t>Guidance: Mediation, Conciliation and Arbitration</w:t>
      </w:r>
      <w:r w:rsidRPr="00C07BDF">
        <w:rPr>
          <w:rFonts w:ascii="Aptos" w:hAnsi="Aptos"/>
          <w:lang w:val="en-GB"/>
        </w:rPr>
        <w:t>. London: Advisory, Conciliation and Arbitration Service.</w:t>
      </w:r>
    </w:p>
    <w:p w14:paraId="12090C21" w14:textId="77777777" w:rsidR="00C07BDF" w:rsidRPr="00C07BDF" w:rsidRDefault="00C07BDF" w:rsidP="00C07BDF">
      <w:pPr>
        <w:rPr>
          <w:rFonts w:ascii="Aptos" w:hAnsi="Aptos"/>
          <w:lang w:val="en-GB"/>
        </w:rPr>
      </w:pPr>
    </w:p>
    <w:p w14:paraId="2A87B43A" w14:textId="77777777" w:rsidR="00C07BDF" w:rsidRDefault="00C07BDF" w:rsidP="00C07BDF">
      <w:pPr>
        <w:rPr>
          <w:rFonts w:ascii="Aptos" w:hAnsi="Aptos"/>
          <w:lang w:val="en-GB"/>
        </w:rPr>
      </w:pPr>
      <w:r w:rsidRPr="00C07BDF">
        <w:rPr>
          <w:rFonts w:ascii="Aptos" w:hAnsi="Aptos"/>
          <w:lang w:val="en-GB"/>
        </w:rPr>
        <w:t xml:space="preserve">ACAS (2021) </w:t>
      </w:r>
      <w:r w:rsidRPr="00C07BDF">
        <w:rPr>
          <w:rFonts w:ascii="Aptos" w:hAnsi="Aptos"/>
          <w:i/>
          <w:iCs/>
          <w:lang w:val="en-GB"/>
        </w:rPr>
        <w:t>Managing Conflict at Work</w:t>
      </w:r>
      <w:r w:rsidRPr="00C07BDF">
        <w:rPr>
          <w:rFonts w:ascii="Aptos" w:hAnsi="Aptos"/>
          <w:lang w:val="en-GB"/>
        </w:rPr>
        <w:t>. London: Advisory, Conciliation and Arbitration Service.</w:t>
      </w:r>
    </w:p>
    <w:p w14:paraId="5AED790A" w14:textId="77777777" w:rsidR="00C07BDF" w:rsidRPr="00C07BDF" w:rsidRDefault="00C07BDF" w:rsidP="00C07BDF">
      <w:pPr>
        <w:rPr>
          <w:rFonts w:ascii="Aptos" w:hAnsi="Aptos"/>
          <w:lang w:val="en-GB"/>
        </w:rPr>
      </w:pPr>
    </w:p>
    <w:p w14:paraId="3319D0B7" w14:textId="77777777" w:rsidR="00C07BDF" w:rsidRDefault="00C07BDF" w:rsidP="00C07BDF">
      <w:pPr>
        <w:rPr>
          <w:rFonts w:ascii="Aptos" w:hAnsi="Aptos"/>
          <w:lang w:val="en-GB"/>
        </w:rPr>
      </w:pPr>
      <w:r w:rsidRPr="00C07BDF">
        <w:rPr>
          <w:rFonts w:ascii="Aptos" w:hAnsi="Aptos"/>
          <w:lang w:val="en-GB"/>
        </w:rPr>
        <w:t xml:space="preserve">ACAS (2023) </w:t>
      </w:r>
      <w:r w:rsidRPr="00C07BDF">
        <w:rPr>
          <w:rFonts w:ascii="Aptos" w:hAnsi="Aptos"/>
          <w:i/>
          <w:iCs/>
          <w:lang w:val="en-GB"/>
        </w:rPr>
        <w:t>Managing Performance and Capability</w:t>
      </w:r>
      <w:r w:rsidRPr="00C07BDF">
        <w:rPr>
          <w:rFonts w:ascii="Aptos" w:hAnsi="Aptos"/>
          <w:lang w:val="en-GB"/>
        </w:rPr>
        <w:t>. London: Advisory, Conciliation and Arbitration Service.</w:t>
      </w:r>
    </w:p>
    <w:p w14:paraId="0E209A59" w14:textId="77777777" w:rsidR="00C07BDF" w:rsidRPr="00C07BDF" w:rsidRDefault="00C07BDF" w:rsidP="00C07BDF">
      <w:pPr>
        <w:rPr>
          <w:rFonts w:ascii="Aptos" w:hAnsi="Aptos"/>
          <w:lang w:val="en-GB"/>
        </w:rPr>
      </w:pPr>
    </w:p>
    <w:p w14:paraId="0068C670" w14:textId="77777777" w:rsidR="00C07BDF" w:rsidRDefault="00C07BDF" w:rsidP="00C07BDF">
      <w:pPr>
        <w:rPr>
          <w:rFonts w:ascii="Aptos" w:hAnsi="Aptos"/>
          <w:lang w:val="en-GB"/>
        </w:rPr>
      </w:pPr>
      <w:r w:rsidRPr="00C07BDF">
        <w:rPr>
          <w:rFonts w:ascii="Aptos" w:hAnsi="Aptos"/>
          <w:lang w:val="en-GB"/>
        </w:rPr>
        <w:t xml:space="preserve">BEIS (2021) </w:t>
      </w:r>
      <w:r w:rsidRPr="00C07BDF">
        <w:rPr>
          <w:rFonts w:ascii="Aptos" w:hAnsi="Aptos"/>
          <w:i/>
          <w:iCs/>
          <w:lang w:val="en-GB"/>
        </w:rPr>
        <w:t>Resolving Workplace Disputes: Guidance for Employers and Employees</w:t>
      </w:r>
      <w:r w:rsidRPr="00C07BDF">
        <w:rPr>
          <w:rFonts w:ascii="Aptos" w:hAnsi="Aptos"/>
          <w:lang w:val="en-GB"/>
        </w:rPr>
        <w:t>. London: Department for Business, Energy &amp; Industrial Strategy.</w:t>
      </w:r>
    </w:p>
    <w:p w14:paraId="5F171352" w14:textId="77777777" w:rsidR="00C07BDF" w:rsidRPr="00C07BDF" w:rsidRDefault="00C07BDF" w:rsidP="00C07BDF">
      <w:pPr>
        <w:rPr>
          <w:rFonts w:ascii="Aptos" w:hAnsi="Aptos"/>
          <w:lang w:val="en-GB"/>
        </w:rPr>
      </w:pPr>
    </w:p>
    <w:p w14:paraId="4E9174E1" w14:textId="77777777" w:rsidR="00C07BDF" w:rsidRDefault="00C07BDF" w:rsidP="00C07BDF">
      <w:pPr>
        <w:rPr>
          <w:rFonts w:ascii="Aptos" w:hAnsi="Aptos"/>
          <w:lang w:val="en-GB"/>
        </w:rPr>
      </w:pPr>
      <w:r w:rsidRPr="00C07BDF">
        <w:rPr>
          <w:rFonts w:ascii="Aptos" w:hAnsi="Aptos"/>
          <w:lang w:val="en-GB"/>
        </w:rPr>
        <w:t xml:space="preserve">BEIS (2021) </w:t>
      </w:r>
      <w:r w:rsidRPr="00C07BDF">
        <w:rPr>
          <w:rFonts w:ascii="Aptos" w:hAnsi="Aptos"/>
          <w:i/>
          <w:iCs/>
          <w:lang w:val="en-GB"/>
        </w:rPr>
        <w:t>Trade Union and Labour Relations (Consolidation) Act 1992: guidance</w:t>
      </w:r>
      <w:r w:rsidRPr="00C07BDF">
        <w:rPr>
          <w:rFonts w:ascii="Aptos" w:hAnsi="Aptos"/>
          <w:lang w:val="en-GB"/>
        </w:rPr>
        <w:t>. London: Department for Business, Energy &amp; Industrial Strategy.</w:t>
      </w:r>
    </w:p>
    <w:p w14:paraId="0E89498F" w14:textId="77777777" w:rsidR="00C07BDF" w:rsidRPr="00C07BDF" w:rsidRDefault="00C07BDF" w:rsidP="00C07BDF">
      <w:pPr>
        <w:rPr>
          <w:rFonts w:ascii="Aptos" w:hAnsi="Aptos"/>
          <w:lang w:val="en-GB"/>
        </w:rPr>
      </w:pPr>
    </w:p>
    <w:p w14:paraId="3D3DAC70" w14:textId="77777777" w:rsidR="00C07BDF" w:rsidRDefault="00C07BDF" w:rsidP="00C07BDF">
      <w:pPr>
        <w:rPr>
          <w:rFonts w:ascii="Aptos" w:hAnsi="Aptos"/>
          <w:lang w:val="en-GB"/>
        </w:rPr>
      </w:pPr>
      <w:r w:rsidRPr="00C07BDF">
        <w:rPr>
          <w:rFonts w:ascii="Aptos" w:hAnsi="Aptos"/>
          <w:lang w:val="en-GB"/>
        </w:rPr>
        <w:t xml:space="preserve">Carnegie UK Trust &amp; RSA (2018) </w:t>
      </w:r>
      <w:r w:rsidRPr="00C07BDF">
        <w:rPr>
          <w:rFonts w:ascii="Aptos" w:hAnsi="Aptos"/>
          <w:i/>
          <w:iCs/>
          <w:lang w:val="en-GB"/>
        </w:rPr>
        <w:t>Measuring Good Work: The final report of the Measuring Job Quality Working Group</w:t>
      </w:r>
      <w:r w:rsidRPr="00C07BDF">
        <w:rPr>
          <w:rFonts w:ascii="Aptos" w:hAnsi="Aptos"/>
          <w:lang w:val="en-GB"/>
        </w:rPr>
        <w:t>. Dunfermline: Carnegie UK Trust.</w:t>
      </w:r>
    </w:p>
    <w:p w14:paraId="4420E95F" w14:textId="77777777" w:rsidR="00C07BDF" w:rsidRPr="00C07BDF" w:rsidRDefault="00C07BDF" w:rsidP="00C07BDF">
      <w:pPr>
        <w:rPr>
          <w:rFonts w:ascii="Aptos" w:hAnsi="Aptos"/>
          <w:lang w:val="en-GB"/>
        </w:rPr>
      </w:pPr>
    </w:p>
    <w:p w14:paraId="020D1E9B" w14:textId="77777777" w:rsidR="00C07BDF" w:rsidRDefault="00C07BDF" w:rsidP="00C07BDF">
      <w:pPr>
        <w:rPr>
          <w:rFonts w:ascii="Aptos" w:hAnsi="Aptos"/>
          <w:lang w:val="en-GB"/>
        </w:rPr>
      </w:pPr>
      <w:r w:rsidRPr="00C07BDF">
        <w:rPr>
          <w:rFonts w:ascii="Aptos" w:hAnsi="Aptos"/>
          <w:lang w:val="en-GB"/>
        </w:rPr>
        <w:t xml:space="preserve">CIPD (2021) </w:t>
      </w:r>
      <w:r w:rsidRPr="00C07BDF">
        <w:rPr>
          <w:rFonts w:ascii="Aptos" w:hAnsi="Aptos"/>
          <w:i/>
          <w:iCs/>
          <w:lang w:val="en-GB"/>
        </w:rPr>
        <w:t>Learning and Skills at Work Survey 2021</w:t>
      </w:r>
      <w:r w:rsidRPr="00C07BDF">
        <w:rPr>
          <w:rFonts w:ascii="Aptos" w:hAnsi="Aptos"/>
          <w:lang w:val="en-GB"/>
        </w:rPr>
        <w:t>. London: Chartered Institute of Personnel and Development.</w:t>
      </w:r>
    </w:p>
    <w:p w14:paraId="1AAC7663" w14:textId="77777777" w:rsidR="00C07BDF" w:rsidRPr="00C07BDF" w:rsidRDefault="00C07BDF" w:rsidP="00C07BDF">
      <w:pPr>
        <w:rPr>
          <w:rFonts w:ascii="Aptos" w:hAnsi="Aptos"/>
          <w:lang w:val="en-GB"/>
        </w:rPr>
      </w:pPr>
    </w:p>
    <w:p w14:paraId="4C5BD296" w14:textId="77777777" w:rsidR="00C07BDF" w:rsidRDefault="00C07BDF" w:rsidP="00C07BDF">
      <w:pPr>
        <w:rPr>
          <w:rFonts w:ascii="Aptos" w:hAnsi="Aptos"/>
          <w:lang w:val="en-GB"/>
        </w:rPr>
      </w:pPr>
      <w:r w:rsidRPr="00C07BDF">
        <w:rPr>
          <w:rFonts w:ascii="Aptos" w:hAnsi="Aptos"/>
          <w:lang w:val="en-GB"/>
        </w:rPr>
        <w:t xml:space="preserve">CIPD (2023) </w:t>
      </w:r>
      <w:r w:rsidRPr="00C07BDF">
        <w:rPr>
          <w:rFonts w:ascii="Aptos" w:hAnsi="Aptos"/>
          <w:i/>
          <w:iCs/>
          <w:lang w:val="en-GB"/>
        </w:rPr>
        <w:t>Good Work Index 2023</w:t>
      </w:r>
      <w:r w:rsidRPr="00C07BDF">
        <w:rPr>
          <w:rFonts w:ascii="Aptos" w:hAnsi="Aptos"/>
          <w:lang w:val="en-GB"/>
        </w:rPr>
        <w:t>. London: Chartered Institute of Personnel and Development.</w:t>
      </w:r>
    </w:p>
    <w:p w14:paraId="5A0F1F4E" w14:textId="77777777" w:rsidR="00C07BDF" w:rsidRPr="00C07BDF" w:rsidRDefault="00C07BDF" w:rsidP="00C07BDF">
      <w:pPr>
        <w:rPr>
          <w:rFonts w:ascii="Aptos" w:hAnsi="Aptos"/>
          <w:lang w:val="en-GB"/>
        </w:rPr>
      </w:pPr>
    </w:p>
    <w:p w14:paraId="79AA99C2" w14:textId="77777777" w:rsidR="00C07BDF" w:rsidRDefault="00C07BDF" w:rsidP="00C07BDF">
      <w:pPr>
        <w:rPr>
          <w:rFonts w:ascii="Aptos" w:hAnsi="Aptos"/>
          <w:lang w:val="en-GB"/>
        </w:rPr>
      </w:pPr>
      <w:r w:rsidRPr="00C07BDF">
        <w:rPr>
          <w:rFonts w:ascii="Aptos" w:hAnsi="Aptos"/>
          <w:lang w:val="en-GB"/>
        </w:rPr>
        <w:t xml:space="preserve">Colquitt, J.A., Conlon, D.E., Wesson, M.J., Porter, C.O. &amp; Ng, K.Y. (2001) ‘Justice at the millennium: A meta-analytic review of 25 years of organisational justice research’, </w:t>
      </w:r>
      <w:r w:rsidRPr="00C07BDF">
        <w:rPr>
          <w:rFonts w:ascii="Aptos" w:hAnsi="Aptos"/>
          <w:i/>
          <w:iCs/>
          <w:lang w:val="en-GB"/>
        </w:rPr>
        <w:t>Journal of Applied Psychology</w:t>
      </w:r>
      <w:r w:rsidRPr="00C07BDF">
        <w:rPr>
          <w:rFonts w:ascii="Aptos" w:hAnsi="Aptos"/>
          <w:lang w:val="en-GB"/>
        </w:rPr>
        <w:t>, 86(3), pp. 425–445.</w:t>
      </w:r>
    </w:p>
    <w:p w14:paraId="1C1E9C46" w14:textId="77777777" w:rsidR="00C07BDF" w:rsidRPr="00C07BDF" w:rsidRDefault="00C07BDF" w:rsidP="00C07BDF">
      <w:pPr>
        <w:rPr>
          <w:rFonts w:ascii="Aptos" w:hAnsi="Aptos"/>
          <w:lang w:val="en-GB"/>
        </w:rPr>
      </w:pPr>
    </w:p>
    <w:p w14:paraId="20D9B372" w14:textId="77777777" w:rsidR="00C07BDF" w:rsidRDefault="00C07BDF" w:rsidP="00C07BDF">
      <w:pPr>
        <w:rPr>
          <w:rFonts w:ascii="Aptos" w:hAnsi="Aptos"/>
          <w:lang w:val="en-GB"/>
        </w:rPr>
      </w:pPr>
      <w:r w:rsidRPr="00C07BDF">
        <w:rPr>
          <w:rFonts w:ascii="Aptos" w:hAnsi="Aptos"/>
          <w:lang w:val="en-GB"/>
        </w:rPr>
        <w:t xml:space="preserve">De Dreu, C.K.W. &amp; Gelfand, M.J. (2008) </w:t>
      </w:r>
      <w:r w:rsidRPr="00C07BDF">
        <w:rPr>
          <w:rFonts w:ascii="Aptos" w:hAnsi="Aptos"/>
          <w:i/>
          <w:iCs/>
          <w:lang w:val="en-GB"/>
        </w:rPr>
        <w:t>The Psychology of Conflict and Conflict Management in Organisations</w:t>
      </w:r>
      <w:r w:rsidRPr="00C07BDF">
        <w:rPr>
          <w:rFonts w:ascii="Aptos" w:hAnsi="Aptos"/>
          <w:lang w:val="en-GB"/>
        </w:rPr>
        <w:t>. New York: Lawrence Erlbaum Associates.</w:t>
      </w:r>
    </w:p>
    <w:p w14:paraId="79A7CBA2" w14:textId="77777777" w:rsidR="00C07BDF" w:rsidRPr="00C07BDF" w:rsidRDefault="00C07BDF" w:rsidP="00C07BDF">
      <w:pPr>
        <w:rPr>
          <w:rFonts w:ascii="Aptos" w:hAnsi="Aptos"/>
          <w:lang w:val="en-GB"/>
        </w:rPr>
      </w:pPr>
    </w:p>
    <w:p w14:paraId="5AC5DB94" w14:textId="77777777" w:rsidR="00C07BDF" w:rsidRDefault="00C07BDF" w:rsidP="00C07BDF">
      <w:pPr>
        <w:rPr>
          <w:rFonts w:ascii="Aptos" w:hAnsi="Aptos"/>
          <w:lang w:val="en-GB"/>
        </w:rPr>
      </w:pPr>
      <w:r w:rsidRPr="00C07BDF">
        <w:rPr>
          <w:rFonts w:ascii="Aptos" w:hAnsi="Aptos"/>
          <w:lang w:val="en-GB"/>
        </w:rPr>
        <w:t xml:space="preserve">Donaghey, J., Dundon, T., Cullinane, N. &amp; Wilkinson, A. (2021) ‘Digitalisation, employee voice and industrial relations’, </w:t>
      </w:r>
      <w:r w:rsidRPr="00C07BDF">
        <w:rPr>
          <w:rFonts w:ascii="Aptos" w:hAnsi="Aptos"/>
          <w:i/>
          <w:iCs/>
          <w:lang w:val="en-GB"/>
        </w:rPr>
        <w:t>New Technology, Work and Employment</w:t>
      </w:r>
      <w:r w:rsidRPr="00C07BDF">
        <w:rPr>
          <w:rFonts w:ascii="Aptos" w:hAnsi="Aptos"/>
          <w:lang w:val="en-GB"/>
        </w:rPr>
        <w:t>, 36(3), pp. 237–255.</w:t>
      </w:r>
    </w:p>
    <w:p w14:paraId="5A03615E" w14:textId="77777777" w:rsidR="00C07BDF" w:rsidRPr="00C07BDF" w:rsidRDefault="00C07BDF" w:rsidP="00C07BDF">
      <w:pPr>
        <w:rPr>
          <w:rFonts w:ascii="Aptos" w:hAnsi="Aptos"/>
          <w:lang w:val="en-GB"/>
        </w:rPr>
      </w:pPr>
    </w:p>
    <w:p w14:paraId="73859B53" w14:textId="77777777" w:rsidR="00C07BDF" w:rsidRDefault="00C07BDF" w:rsidP="00C07BDF">
      <w:pPr>
        <w:rPr>
          <w:rFonts w:ascii="Aptos" w:hAnsi="Aptos"/>
          <w:lang w:val="en-GB"/>
        </w:rPr>
      </w:pPr>
      <w:r w:rsidRPr="00C07BDF">
        <w:rPr>
          <w:rFonts w:ascii="Aptos" w:hAnsi="Aptos"/>
          <w:lang w:val="en-GB"/>
        </w:rPr>
        <w:t xml:space="preserve">Dundon, T., Marchington, M., Wilkinson, A. &amp; Ackers, P. (2023) ‘Mapping employee involvement and participation’, </w:t>
      </w:r>
      <w:r w:rsidRPr="00C07BDF">
        <w:rPr>
          <w:rFonts w:ascii="Aptos" w:hAnsi="Aptos"/>
          <w:i/>
          <w:iCs/>
          <w:lang w:val="en-GB"/>
        </w:rPr>
        <w:t>Human Resource Management Journal</w:t>
      </w:r>
      <w:r w:rsidRPr="00C07BDF">
        <w:rPr>
          <w:rFonts w:ascii="Aptos" w:hAnsi="Aptos"/>
          <w:lang w:val="en-GB"/>
        </w:rPr>
        <w:t>, 33(2), pp. 234–252.</w:t>
      </w:r>
    </w:p>
    <w:p w14:paraId="7F380661" w14:textId="77777777" w:rsidR="00C07BDF" w:rsidRPr="00C07BDF" w:rsidRDefault="00C07BDF" w:rsidP="00C07BDF">
      <w:pPr>
        <w:rPr>
          <w:rFonts w:ascii="Aptos" w:hAnsi="Aptos"/>
          <w:lang w:val="en-GB"/>
        </w:rPr>
      </w:pPr>
    </w:p>
    <w:p w14:paraId="67A4A1D5" w14:textId="77777777" w:rsidR="00C07BDF" w:rsidRDefault="00C07BDF" w:rsidP="00C07BDF">
      <w:pPr>
        <w:rPr>
          <w:rFonts w:ascii="Aptos" w:hAnsi="Aptos"/>
          <w:lang w:val="en-GB"/>
        </w:rPr>
      </w:pPr>
      <w:r w:rsidRPr="00C07BDF">
        <w:rPr>
          <w:rFonts w:ascii="Aptos" w:hAnsi="Aptos"/>
          <w:lang w:val="en-GB"/>
        </w:rPr>
        <w:t>Equality Act 2010, c.15. London: HMSO.</w:t>
      </w:r>
    </w:p>
    <w:p w14:paraId="42276FA9" w14:textId="77777777" w:rsidR="00C07BDF" w:rsidRPr="00C07BDF" w:rsidRDefault="00C07BDF" w:rsidP="00C07BDF">
      <w:pPr>
        <w:rPr>
          <w:rFonts w:ascii="Aptos" w:hAnsi="Aptos"/>
          <w:lang w:val="en-GB"/>
        </w:rPr>
      </w:pPr>
    </w:p>
    <w:p w14:paraId="31E14AC3" w14:textId="77777777" w:rsidR="00C07BDF" w:rsidRPr="00C07BDF" w:rsidRDefault="00C07BDF" w:rsidP="00C07BDF">
      <w:pPr>
        <w:rPr>
          <w:rFonts w:ascii="Aptos" w:hAnsi="Aptos"/>
          <w:lang w:val="en-GB"/>
        </w:rPr>
      </w:pPr>
      <w:r w:rsidRPr="00C07BDF">
        <w:rPr>
          <w:rFonts w:ascii="Aptos" w:hAnsi="Aptos"/>
          <w:lang w:val="en-GB"/>
        </w:rPr>
        <w:t xml:space="preserve">Hackman, J.R. &amp; Oldham, G.R. (1976) ‘Motivation through the design of work: Test of a theory’, </w:t>
      </w:r>
      <w:r w:rsidRPr="00C07BDF">
        <w:rPr>
          <w:rFonts w:ascii="Aptos" w:hAnsi="Aptos"/>
          <w:i/>
          <w:iCs/>
          <w:lang w:val="en-GB"/>
        </w:rPr>
        <w:t xml:space="preserve">Organisational </w:t>
      </w:r>
      <w:proofErr w:type="spellStart"/>
      <w:r w:rsidRPr="00C07BDF">
        <w:rPr>
          <w:rFonts w:ascii="Aptos" w:hAnsi="Aptos"/>
          <w:i/>
          <w:iCs/>
          <w:lang w:val="en-GB"/>
        </w:rPr>
        <w:t>Behavior</w:t>
      </w:r>
      <w:proofErr w:type="spellEnd"/>
      <w:r w:rsidRPr="00C07BDF">
        <w:rPr>
          <w:rFonts w:ascii="Aptos" w:hAnsi="Aptos"/>
          <w:i/>
          <w:iCs/>
          <w:lang w:val="en-GB"/>
        </w:rPr>
        <w:t xml:space="preserve"> and Human Performance</w:t>
      </w:r>
      <w:r w:rsidRPr="00C07BDF">
        <w:rPr>
          <w:rFonts w:ascii="Aptos" w:hAnsi="Aptos"/>
          <w:lang w:val="en-GB"/>
        </w:rPr>
        <w:t>, 16(2), pp. 250–279.</w:t>
      </w:r>
    </w:p>
    <w:p w14:paraId="2AFDE146" w14:textId="77777777" w:rsidR="00C07BDF" w:rsidRDefault="00C07BDF" w:rsidP="00C07BDF">
      <w:pPr>
        <w:rPr>
          <w:rFonts w:ascii="Aptos" w:hAnsi="Aptos"/>
          <w:lang w:val="en-GB"/>
        </w:rPr>
      </w:pPr>
      <w:r w:rsidRPr="00C07BDF">
        <w:rPr>
          <w:rFonts w:ascii="Aptos" w:hAnsi="Aptos"/>
          <w:lang w:val="en-GB"/>
        </w:rPr>
        <w:lastRenderedPageBreak/>
        <w:t xml:space="preserve">Heery, E. (2016) </w:t>
      </w:r>
      <w:r w:rsidRPr="00C07BDF">
        <w:rPr>
          <w:rFonts w:ascii="Aptos" w:hAnsi="Aptos"/>
          <w:i/>
          <w:iCs/>
          <w:lang w:val="en-GB"/>
        </w:rPr>
        <w:t>Framing Work: Unitary, Pluralist and Critical Perspectives in the Twenty-First Century</w:t>
      </w:r>
      <w:r w:rsidRPr="00C07BDF">
        <w:rPr>
          <w:rFonts w:ascii="Aptos" w:hAnsi="Aptos"/>
          <w:lang w:val="en-GB"/>
        </w:rPr>
        <w:t>. Oxford: Oxford University Press.</w:t>
      </w:r>
    </w:p>
    <w:p w14:paraId="0051FD92" w14:textId="77777777" w:rsidR="00C07BDF" w:rsidRPr="00C07BDF" w:rsidRDefault="00C07BDF" w:rsidP="00C07BDF">
      <w:pPr>
        <w:rPr>
          <w:rFonts w:ascii="Aptos" w:hAnsi="Aptos"/>
          <w:lang w:val="en-GB"/>
        </w:rPr>
      </w:pPr>
    </w:p>
    <w:p w14:paraId="68B80A60" w14:textId="77777777" w:rsidR="00C07BDF" w:rsidRDefault="00C07BDF" w:rsidP="00C07BDF">
      <w:pPr>
        <w:rPr>
          <w:rFonts w:ascii="Aptos" w:hAnsi="Aptos"/>
          <w:lang w:val="en-GB"/>
        </w:rPr>
      </w:pPr>
      <w:r w:rsidRPr="00C07BDF">
        <w:rPr>
          <w:rFonts w:ascii="Aptos" w:hAnsi="Aptos"/>
          <w:lang w:val="en-GB"/>
        </w:rPr>
        <w:t>Iceland Frozen Foods Ltd v Jones [1983] ICR 17.</w:t>
      </w:r>
    </w:p>
    <w:p w14:paraId="2216568B" w14:textId="77777777" w:rsidR="00C07BDF" w:rsidRPr="00C07BDF" w:rsidRDefault="00C07BDF" w:rsidP="00C07BDF">
      <w:pPr>
        <w:rPr>
          <w:rFonts w:ascii="Aptos" w:hAnsi="Aptos"/>
          <w:lang w:val="en-GB"/>
        </w:rPr>
      </w:pPr>
    </w:p>
    <w:p w14:paraId="7772FDCE" w14:textId="77777777" w:rsidR="00C07BDF" w:rsidRDefault="00C07BDF" w:rsidP="00C07BDF">
      <w:pPr>
        <w:rPr>
          <w:rFonts w:ascii="Aptos" w:hAnsi="Aptos"/>
          <w:lang w:val="en-GB"/>
        </w:rPr>
      </w:pPr>
      <w:r w:rsidRPr="00C07BDF">
        <w:rPr>
          <w:rFonts w:ascii="Aptos" w:hAnsi="Aptos"/>
          <w:lang w:val="en-GB"/>
        </w:rPr>
        <w:t xml:space="preserve">Jehn, K.A. &amp; Bendersky, C. (2003) ‘Intragroup conflict in organisations: A contingency perspective on the conflict-outcome relationship’, </w:t>
      </w:r>
      <w:r w:rsidRPr="00C07BDF">
        <w:rPr>
          <w:rFonts w:ascii="Aptos" w:hAnsi="Aptos"/>
          <w:i/>
          <w:iCs/>
          <w:lang w:val="en-GB"/>
        </w:rPr>
        <w:t xml:space="preserve">Research in Organizational </w:t>
      </w:r>
      <w:proofErr w:type="spellStart"/>
      <w:r w:rsidRPr="00C07BDF">
        <w:rPr>
          <w:rFonts w:ascii="Aptos" w:hAnsi="Aptos"/>
          <w:i/>
          <w:iCs/>
          <w:lang w:val="en-GB"/>
        </w:rPr>
        <w:t>Behavior</w:t>
      </w:r>
      <w:proofErr w:type="spellEnd"/>
      <w:r w:rsidRPr="00C07BDF">
        <w:rPr>
          <w:rFonts w:ascii="Aptos" w:hAnsi="Aptos"/>
          <w:lang w:val="en-GB"/>
        </w:rPr>
        <w:t>, 25, pp. 187–242.</w:t>
      </w:r>
    </w:p>
    <w:p w14:paraId="60A7771F" w14:textId="77777777" w:rsidR="00C07BDF" w:rsidRPr="00C07BDF" w:rsidRDefault="00C07BDF" w:rsidP="00C07BDF">
      <w:pPr>
        <w:rPr>
          <w:rFonts w:ascii="Aptos" w:hAnsi="Aptos"/>
          <w:lang w:val="en-GB"/>
        </w:rPr>
      </w:pPr>
    </w:p>
    <w:p w14:paraId="117FCE7C" w14:textId="77777777" w:rsidR="00C07BDF" w:rsidRDefault="00C07BDF" w:rsidP="00C07BDF">
      <w:pPr>
        <w:rPr>
          <w:rFonts w:ascii="Aptos" w:hAnsi="Aptos"/>
          <w:lang w:val="en-GB"/>
        </w:rPr>
      </w:pPr>
      <w:proofErr w:type="spellStart"/>
      <w:r w:rsidRPr="00C07BDF">
        <w:rPr>
          <w:rFonts w:ascii="Aptos" w:hAnsi="Aptos"/>
          <w:lang w:val="en-GB"/>
        </w:rPr>
        <w:t>Kişi</w:t>
      </w:r>
      <w:proofErr w:type="spellEnd"/>
      <w:r w:rsidRPr="00C07BDF">
        <w:rPr>
          <w:rFonts w:ascii="Aptos" w:hAnsi="Aptos"/>
          <w:lang w:val="en-GB"/>
        </w:rPr>
        <w:t xml:space="preserve">, N. (2024) ‘Exploring employee engagement in the public sector: antecedents, consequences and strategies’, </w:t>
      </w:r>
      <w:r w:rsidRPr="00C07BDF">
        <w:rPr>
          <w:rFonts w:ascii="Aptos" w:hAnsi="Aptos"/>
          <w:i/>
          <w:iCs/>
          <w:lang w:val="en-GB"/>
        </w:rPr>
        <w:t>Public Administration Issues</w:t>
      </w:r>
      <w:r w:rsidRPr="00C07BDF">
        <w:rPr>
          <w:rFonts w:ascii="Aptos" w:hAnsi="Aptos"/>
          <w:lang w:val="en-GB"/>
        </w:rPr>
        <w:t>, 5, pp. 111–129.</w:t>
      </w:r>
    </w:p>
    <w:p w14:paraId="5971FF8C" w14:textId="77777777" w:rsidR="00C07BDF" w:rsidRPr="00C07BDF" w:rsidRDefault="00C07BDF" w:rsidP="00C07BDF">
      <w:pPr>
        <w:rPr>
          <w:rFonts w:ascii="Aptos" w:hAnsi="Aptos"/>
          <w:lang w:val="en-GB"/>
        </w:rPr>
      </w:pPr>
    </w:p>
    <w:p w14:paraId="6F212E41" w14:textId="77777777" w:rsidR="00C07BDF" w:rsidRDefault="00C07BDF" w:rsidP="00C07BDF">
      <w:pPr>
        <w:rPr>
          <w:rFonts w:ascii="Aptos" w:hAnsi="Aptos"/>
          <w:lang w:val="en-GB"/>
        </w:rPr>
      </w:pPr>
      <w:r w:rsidRPr="00C07BDF">
        <w:rPr>
          <w:rFonts w:ascii="Aptos" w:hAnsi="Aptos"/>
          <w:lang w:val="en-GB"/>
        </w:rPr>
        <w:t xml:space="preserve">Latreille, P.L. (2011) ‘Workplace mediation: A theoretical and empirical review’, </w:t>
      </w:r>
      <w:r w:rsidRPr="00C07BDF">
        <w:rPr>
          <w:rFonts w:ascii="Aptos" w:hAnsi="Aptos"/>
          <w:i/>
          <w:iCs/>
          <w:lang w:val="en-GB"/>
        </w:rPr>
        <w:t>International Journal of Management Reviews</w:t>
      </w:r>
      <w:r w:rsidRPr="00C07BDF">
        <w:rPr>
          <w:rFonts w:ascii="Aptos" w:hAnsi="Aptos"/>
          <w:lang w:val="en-GB"/>
        </w:rPr>
        <w:t>, 13(3), pp. 157–170.</w:t>
      </w:r>
    </w:p>
    <w:p w14:paraId="20E75D1D" w14:textId="77777777" w:rsidR="00C07BDF" w:rsidRPr="00C07BDF" w:rsidRDefault="00C07BDF" w:rsidP="00C07BDF">
      <w:pPr>
        <w:rPr>
          <w:rFonts w:ascii="Aptos" w:hAnsi="Aptos"/>
          <w:lang w:val="en-GB"/>
        </w:rPr>
      </w:pPr>
    </w:p>
    <w:p w14:paraId="66F87131" w14:textId="77777777" w:rsidR="00C07BDF" w:rsidRDefault="00C07BDF" w:rsidP="00C07BDF">
      <w:pPr>
        <w:rPr>
          <w:rFonts w:ascii="Aptos" w:hAnsi="Aptos"/>
          <w:lang w:val="en-GB"/>
        </w:rPr>
      </w:pPr>
      <w:r w:rsidRPr="00C07BDF">
        <w:rPr>
          <w:rFonts w:ascii="Aptos" w:hAnsi="Aptos"/>
          <w:lang w:val="en-GB"/>
        </w:rPr>
        <w:t xml:space="preserve">Marchington, M., Wilkinson, A., Donaghey, J. &amp; Dundon, T. (2021) </w:t>
      </w:r>
      <w:r w:rsidRPr="00C07BDF">
        <w:rPr>
          <w:rFonts w:ascii="Aptos" w:hAnsi="Aptos"/>
          <w:i/>
          <w:iCs/>
          <w:lang w:val="en-GB"/>
        </w:rPr>
        <w:t>Employee Voice at Work</w:t>
      </w:r>
      <w:r w:rsidRPr="00C07BDF">
        <w:rPr>
          <w:rFonts w:ascii="Aptos" w:hAnsi="Aptos"/>
          <w:lang w:val="en-GB"/>
        </w:rPr>
        <w:t>. London: Routledge.</w:t>
      </w:r>
    </w:p>
    <w:p w14:paraId="052BAE28" w14:textId="77777777" w:rsidR="00C07BDF" w:rsidRPr="00C07BDF" w:rsidRDefault="00C07BDF" w:rsidP="00C07BDF">
      <w:pPr>
        <w:rPr>
          <w:rFonts w:ascii="Aptos" w:hAnsi="Aptos"/>
          <w:lang w:val="en-GB"/>
        </w:rPr>
      </w:pPr>
    </w:p>
    <w:p w14:paraId="641B4F1F" w14:textId="77777777" w:rsidR="00C07BDF" w:rsidRDefault="00C07BDF" w:rsidP="00C07BDF">
      <w:pPr>
        <w:rPr>
          <w:rFonts w:ascii="Aptos" w:hAnsi="Aptos"/>
          <w:lang w:val="en-GB"/>
        </w:rPr>
      </w:pPr>
      <w:r w:rsidRPr="00C07BDF">
        <w:rPr>
          <w:rFonts w:ascii="Aptos" w:hAnsi="Aptos"/>
          <w:lang w:val="en-GB"/>
        </w:rPr>
        <w:t xml:space="preserve">Robbins, S.P. &amp; Judge, T.A. (2019) </w:t>
      </w:r>
      <w:r w:rsidRPr="00C07BDF">
        <w:rPr>
          <w:rFonts w:ascii="Aptos" w:hAnsi="Aptos"/>
          <w:i/>
          <w:iCs/>
          <w:lang w:val="en-GB"/>
        </w:rPr>
        <w:t xml:space="preserve">Organisational </w:t>
      </w:r>
      <w:proofErr w:type="spellStart"/>
      <w:r w:rsidRPr="00C07BDF">
        <w:rPr>
          <w:rFonts w:ascii="Aptos" w:hAnsi="Aptos"/>
          <w:i/>
          <w:iCs/>
          <w:lang w:val="en-GB"/>
        </w:rPr>
        <w:t>Behavior</w:t>
      </w:r>
      <w:proofErr w:type="spellEnd"/>
      <w:r w:rsidRPr="00C07BDF">
        <w:rPr>
          <w:rFonts w:ascii="Aptos" w:hAnsi="Aptos"/>
          <w:lang w:val="en-GB"/>
        </w:rPr>
        <w:t xml:space="preserve">. 18th </w:t>
      </w:r>
      <w:proofErr w:type="spellStart"/>
      <w:r w:rsidRPr="00C07BDF">
        <w:rPr>
          <w:rFonts w:ascii="Aptos" w:hAnsi="Aptos"/>
          <w:lang w:val="en-GB"/>
        </w:rPr>
        <w:t>edn</w:t>
      </w:r>
      <w:proofErr w:type="spellEnd"/>
      <w:r w:rsidRPr="00C07BDF">
        <w:rPr>
          <w:rFonts w:ascii="Aptos" w:hAnsi="Aptos"/>
          <w:lang w:val="en-GB"/>
        </w:rPr>
        <w:t>. Harlow: Pearson.</w:t>
      </w:r>
    </w:p>
    <w:p w14:paraId="56DA73D9" w14:textId="77777777" w:rsidR="00C07BDF" w:rsidRPr="00C07BDF" w:rsidRDefault="00C07BDF" w:rsidP="00C07BDF">
      <w:pPr>
        <w:rPr>
          <w:rFonts w:ascii="Aptos" w:hAnsi="Aptos"/>
          <w:lang w:val="en-GB"/>
        </w:rPr>
      </w:pPr>
    </w:p>
    <w:p w14:paraId="06B74ECD" w14:textId="77777777" w:rsidR="00C07BDF" w:rsidRDefault="00C07BDF" w:rsidP="00C07BDF">
      <w:pPr>
        <w:rPr>
          <w:rFonts w:ascii="Aptos" w:hAnsi="Aptos"/>
          <w:lang w:val="en-GB"/>
        </w:rPr>
      </w:pPr>
      <w:r w:rsidRPr="00C07BDF">
        <w:rPr>
          <w:rFonts w:ascii="Aptos" w:hAnsi="Aptos"/>
          <w:lang w:val="en-GB"/>
        </w:rPr>
        <w:t xml:space="preserve">Robertson, I. &amp; Cooper, C. (2011) </w:t>
      </w:r>
      <w:r w:rsidRPr="00C07BDF">
        <w:rPr>
          <w:rFonts w:ascii="Aptos" w:hAnsi="Aptos"/>
          <w:i/>
          <w:iCs/>
          <w:lang w:val="en-GB"/>
        </w:rPr>
        <w:t>Wellbeing: Productivity and happiness at work</w:t>
      </w:r>
      <w:r w:rsidRPr="00C07BDF">
        <w:rPr>
          <w:rFonts w:ascii="Aptos" w:hAnsi="Aptos"/>
          <w:lang w:val="en-GB"/>
        </w:rPr>
        <w:t>. Basingstoke: Palgrave Macmillan.</w:t>
      </w:r>
    </w:p>
    <w:p w14:paraId="7CF27E4A" w14:textId="77777777" w:rsidR="00C07BDF" w:rsidRPr="00C07BDF" w:rsidRDefault="00C07BDF" w:rsidP="00C07BDF">
      <w:pPr>
        <w:rPr>
          <w:rFonts w:ascii="Aptos" w:hAnsi="Aptos"/>
          <w:lang w:val="en-GB"/>
        </w:rPr>
      </w:pPr>
    </w:p>
    <w:p w14:paraId="4156CF96" w14:textId="77777777" w:rsidR="00C07BDF" w:rsidRDefault="00C07BDF" w:rsidP="00C07BDF">
      <w:pPr>
        <w:rPr>
          <w:rFonts w:ascii="Aptos" w:hAnsi="Aptos"/>
          <w:lang w:val="en-GB"/>
        </w:rPr>
      </w:pPr>
      <w:proofErr w:type="spellStart"/>
      <w:r w:rsidRPr="00C07BDF">
        <w:rPr>
          <w:rFonts w:ascii="Aptos" w:hAnsi="Aptos"/>
          <w:lang w:val="en-GB"/>
        </w:rPr>
        <w:t>Saundry</w:t>
      </w:r>
      <w:proofErr w:type="spellEnd"/>
      <w:r w:rsidRPr="00C07BDF">
        <w:rPr>
          <w:rFonts w:ascii="Aptos" w:hAnsi="Aptos"/>
          <w:lang w:val="en-GB"/>
        </w:rPr>
        <w:t xml:space="preserve">, R., Bennett, T. &amp; Wibberley, G. (2014) </w:t>
      </w:r>
      <w:r w:rsidRPr="00C07BDF">
        <w:rPr>
          <w:rFonts w:ascii="Aptos" w:hAnsi="Aptos"/>
          <w:i/>
          <w:iCs/>
          <w:lang w:val="en-GB"/>
        </w:rPr>
        <w:t>Workplace Mediation: The Participant Experience</w:t>
      </w:r>
      <w:r w:rsidRPr="00C07BDF">
        <w:rPr>
          <w:rFonts w:ascii="Aptos" w:hAnsi="Aptos"/>
          <w:lang w:val="en-GB"/>
        </w:rPr>
        <w:t>. London: ACAS.</w:t>
      </w:r>
    </w:p>
    <w:p w14:paraId="2971A912" w14:textId="77777777" w:rsidR="00C07BDF" w:rsidRPr="00C07BDF" w:rsidRDefault="00C07BDF" w:rsidP="00C07BDF">
      <w:pPr>
        <w:rPr>
          <w:rFonts w:ascii="Aptos" w:hAnsi="Aptos"/>
          <w:lang w:val="en-GB"/>
        </w:rPr>
      </w:pPr>
    </w:p>
    <w:p w14:paraId="3A66816A" w14:textId="77777777" w:rsidR="00C07BDF" w:rsidRDefault="00C07BDF" w:rsidP="00C07BDF">
      <w:pPr>
        <w:rPr>
          <w:rFonts w:ascii="Aptos" w:hAnsi="Aptos"/>
          <w:lang w:val="en-GB"/>
        </w:rPr>
      </w:pPr>
      <w:proofErr w:type="spellStart"/>
      <w:r w:rsidRPr="00C07BDF">
        <w:rPr>
          <w:rFonts w:ascii="Aptos" w:hAnsi="Aptos"/>
          <w:lang w:val="en-GB"/>
        </w:rPr>
        <w:t>Saundry</w:t>
      </w:r>
      <w:proofErr w:type="spellEnd"/>
      <w:r w:rsidRPr="00C07BDF">
        <w:rPr>
          <w:rFonts w:ascii="Aptos" w:hAnsi="Aptos"/>
          <w:lang w:val="en-GB"/>
        </w:rPr>
        <w:t xml:space="preserve">, R., Latreille, P. &amp; Ashman, I. (2020) </w:t>
      </w:r>
      <w:r w:rsidRPr="00C07BDF">
        <w:rPr>
          <w:rFonts w:ascii="Aptos" w:hAnsi="Aptos"/>
          <w:i/>
          <w:iCs/>
          <w:lang w:val="en-GB"/>
        </w:rPr>
        <w:t>Managing Individual Conflict in the Contemporary British Workplace</w:t>
      </w:r>
      <w:r w:rsidRPr="00C07BDF">
        <w:rPr>
          <w:rFonts w:ascii="Aptos" w:hAnsi="Aptos"/>
          <w:lang w:val="en-GB"/>
        </w:rPr>
        <w:t>. London: ACAS.</w:t>
      </w:r>
    </w:p>
    <w:p w14:paraId="44676324" w14:textId="77777777" w:rsidR="00C07BDF" w:rsidRPr="00C07BDF" w:rsidRDefault="00C07BDF" w:rsidP="00C07BDF">
      <w:pPr>
        <w:rPr>
          <w:rFonts w:ascii="Aptos" w:hAnsi="Aptos"/>
          <w:lang w:val="en-GB"/>
        </w:rPr>
      </w:pPr>
    </w:p>
    <w:p w14:paraId="097F83C5" w14:textId="77777777" w:rsidR="00C07BDF" w:rsidRDefault="00C07BDF" w:rsidP="00C07BDF">
      <w:pPr>
        <w:rPr>
          <w:rFonts w:ascii="Aptos" w:hAnsi="Aptos"/>
          <w:lang w:val="en-GB"/>
        </w:rPr>
      </w:pPr>
      <w:r w:rsidRPr="00C07BDF">
        <w:rPr>
          <w:rFonts w:ascii="Aptos" w:hAnsi="Aptos"/>
          <w:lang w:val="en-GB"/>
        </w:rPr>
        <w:t xml:space="preserve">Taylor, S. &amp; Emir, A. (2022) </w:t>
      </w:r>
      <w:r w:rsidRPr="00C07BDF">
        <w:rPr>
          <w:rFonts w:ascii="Aptos" w:hAnsi="Aptos"/>
          <w:i/>
          <w:iCs/>
          <w:lang w:val="en-GB"/>
        </w:rPr>
        <w:t>Employment Law: An Introduction</w:t>
      </w:r>
      <w:r w:rsidRPr="00C07BDF">
        <w:rPr>
          <w:rFonts w:ascii="Aptos" w:hAnsi="Aptos"/>
          <w:lang w:val="en-GB"/>
        </w:rPr>
        <w:t xml:space="preserve">. 6th </w:t>
      </w:r>
      <w:proofErr w:type="spellStart"/>
      <w:r w:rsidRPr="00C07BDF">
        <w:rPr>
          <w:rFonts w:ascii="Aptos" w:hAnsi="Aptos"/>
          <w:lang w:val="en-GB"/>
        </w:rPr>
        <w:t>edn</w:t>
      </w:r>
      <w:proofErr w:type="spellEnd"/>
      <w:r w:rsidRPr="00C07BDF">
        <w:rPr>
          <w:rFonts w:ascii="Aptos" w:hAnsi="Aptos"/>
          <w:lang w:val="en-GB"/>
        </w:rPr>
        <w:t>. Oxford: Oxford University Press.</w:t>
      </w:r>
    </w:p>
    <w:p w14:paraId="0D5C3DA2" w14:textId="77777777" w:rsidR="00C07BDF" w:rsidRPr="00C07BDF" w:rsidRDefault="00C07BDF" w:rsidP="00C07BDF">
      <w:pPr>
        <w:rPr>
          <w:rFonts w:ascii="Aptos" w:hAnsi="Aptos"/>
          <w:lang w:val="en-GB"/>
        </w:rPr>
      </w:pPr>
    </w:p>
    <w:p w14:paraId="7BEEE23F" w14:textId="77777777" w:rsidR="00C07BDF" w:rsidRDefault="00C07BDF" w:rsidP="00C07BDF">
      <w:pPr>
        <w:rPr>
          <w:rFonts w:ascii="Aptos" w:hAnsi="Aptos"/>
          <w:lang w:val="en-GB"/>
        </w:rPr>
      </w:pPr>
      <w:r w:rsidRPr="00C07BDF">
        <w:rPr>
          <w:rFonts w:ascii="Aptos" w:hAnsi="Aptos"/>
          <w:lang w:val="en-GB"/>
        </w:rPr>
        <w:t xml:space="preserve">TUC (2020) </w:t>
      </w:r>
      <w:r w:rsidRPr="00C07BDF">
        <w:rPr>
          <w:rFonts w:ascii="Aptos" w:hAnsi="Aptos"/>
          <w:i/>
          <w:iCs/>
          <w:lang w:val="en-GB"/>
        </w:rPr>
        <w:t>Voice and Value: The role of collective bargaining in building good work</w:t>
      </w:r>
      <w:r w:rsidRPr="00C07BDF">
        <w:rPr>
          <w:rFonts w:ascii="Aptos" w:hAnsi="Aptos"/>
          <w:lang w:val="en-GB"/>
        </w:rPr>
        <w:t>. Trades Union Congress.</w:t>
      </w:r>
    </w:p>
    <w:p w14:paraId="0C3BF4A9" w14:textId="77777777" w:rsidR="00C07BDF" w:rsidRPr="00C07BDF" w:rsidRDefault="00C07BDF" w:rsidP="00C07BDF">
      <w:pPr>
        <w:rPr>
          <w:rFonts w:ascii="Aptos" w:hAnsi="Aptos"/>
          <w:lang w:val="en-GB"/>
        </w:rPr>
      </w:pPr>
    </w:p>
    <w:p w14:paraId="166A883F" w14:textId="77777777" w:rsidR="00C07BDF" w:rsidRDefault="00C07BDF" w:rsidP="00C07BDF">
      <w:pPr>
        <w:rPr>
          <w:rFonts w:ascii="Aptos" w:hAnsi="Aptos"/>
          <w:lang w:val="en-GB"/>
        </w:rPr>
      </w:pPr>
      <w:r w:rsidRPr="00C07BDF">
        <w:rPr>
          <w:rFonts w:ascii="Aptos" w:hAnsi="Aptos"/>
          <w:lang w:val="en-GB"/>
        </w:rPr>
        <w:t xml:space="preserve">TUC (2023) </w:t>
      </w:r>
      <w:r w:rsidRPr="00C07BDF">
        <w:rPr>
          <w:rFonts w:ascii="Aptos" w:hAnsi="Aptos"/>
          <w:i/>
          <w:iCs/>
          <w:lang w:val="en-GB"/>
        </w:rPr>
        <w:t>Living on the Edge: Pay, Workload and Industrial Action in the Public Sector</w:t>
      </w:r>
      <w:r w:rsidRPr="00C07BDF">
        <w:rPr>
          <w:rFonts w:ascii="Aptos" w:hAnsi="Aptos"/>
          <w:lang w:val="en-GB"/>
        </w:rPr>
        <w:t>. London: Trades Union Congress.</w:t>
      </w:r>
    </w:p>
    <w:p w14:paraId="06108A96" w14:textId="77777777" w:rsidR="00C07BDF" w:rsidRPr="00C07BDF" w:rsidRDefault="00C07BDF" w:rsidP="00C07BDF">
      <w:pPr>
        <w:rPr>
          <w:rFonts w:ascii="Aptos" w:hAnsi="Aptos"/>
          <w:lang w:val="en-GB"/>
        </w:rPr>
      </w:pPr>
    </w:p>
    <w:p w14:paraId="0FF98805" w14:textId="77777777" w:rsidR="00C07BDF" w:rsidRDefault="00C07BDF" w:rsidP="00C07BDF">
      <w:pPr>
        <w:rPr>
          <w:rFonts w:ascii="Aptos" w:hAnsi="Aptos"/>
          <w:lang w:val="en-GB"/>
        </w:rPr>
      </w:pPr>
      <w:r w:rsidRPr="00C07BDF">
        <w:rPr>
          <w:rFonts w:ascii="Aptos" w:hAnsi="Aptos"/>
          <w:lang w:val="en-GB"/>
        </w:rPr>
        <w:t>Working Time Regulations 1998, SI 1998/1833. London: HMSO.</w:t>
      </w:r>
    </w:p>
    <w:p w14:paraId="1DCDB70B" w14:textId="77777777" w:rsidR="00C07BDF" w:rsidRPr="00C07BDF" w:rsidRDefault="00C07BDF" w:rsidP="00C07BDF">
      <w:pPr>
        <w:rPr>
          <w:rFonts w:ascii="Aptos" w:hAnsi="Aptos"/>
          <w:lang w:val="en-GB"/>
        </w:rPr>
      </w:pPr>
    </w:p>
    <w:p w14:paraId="72E3E4F5" w14:textId="77777777" w:rsidR="00C07BDF" w:rsidRPr="00C07BDF" w:rsidRDefault="00C07BDF" w:rsidP="00C07BDF">
      <w:pPr>
        <w:rPr>
          <w:rFonts w:ascii="Aptos" w:hAnsi="Aptos"/>
          <w:lang w:val="en-GB"/>
        </w:rPr>
      </w:pPr>
      <w:r w:rsidRPr="00C07BDF">
        <w:rPr>
          <w:rFonts w:ascii="Aptos" w:hAnsi="Aptos"/>
          <w:lang w:val="en-GB"/>
        </w:rPr>
        <w:t xml:space="preserve">Wilkinson, A., Donaghey, J., Dundon, T. &amp; Freeman, R. (2020) </w:t>
      </w:r>
      <w:r w:rsidRPr="00C07BDF">
        <w:rPr>
          <w:rFonts w:ascii="Aptos" w:hAnsi="Aptos"/>
          <w:i/>
          <w:iCs/>
          <w:lang w:val="en-GB"/>
        </w:rPr>
        <w:t>Handbook of Research on Employee Voice</w:t>
      </w:r>
      <w:r w:rsidRPr="00C07BDF">
        <w:rPr>
          <w:rFonts w:ascii="Aptos" w:hAnsi="Aptos"/>
          <w:lang w:val="en-GB"/>
        </w:rPr>
        <w:t>. Cheltenham: Edward Elgar.</w:t>
      </w:r>
    </w:p>
    <w:p w14:paraId="392C4870" w14:textId="77777777" w:rsidR="00C07BDF" w:rsidRPr="00C07BDF" w:rsidRDefault="00C07BDF" w:rsidP="003C332A">
      <w:pPr>
        <w:rPr>
          <w:lang w:val="en-GB"/>
        </w:rPr>
      </w:pPr>
    </w:p>
    <w:sectPr w:rsidR="00C07BDF" w:rsidRPr="00C07BDF">
      <w:headerReference w:type="default" r:id="rId7"/>
      <w:footerReference w:type="default" r:id="rId8"/>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934EF7" w14:textId="77777777" w:rsidR="00B01AA6" w:rsidRDefault="00B01AA6">
      <w:r>
        <w:separator/>
      </w:r>
    </w:p>
  </w:endnote>
  <w:endnote w:type="continuationSeparator" w:id="0">
    <w:p w14:paraId="77F908F8" w14:textId="77777777" w:rsidR="00B01AA6" w:rsidRDefault="00B01A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Neue">
    <w:altName w:val="Arial"/>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4F6C8" w14:textId="18A84123" w:rsidR="00A541A0" w:rsidRDefault="00B01AA6">
    <w:pPr>
      <w:pStyle w:val="Footer"/>
    </w:pPr>
    <w:r>
      <w:rPr>
        <w:noProof/>
      </w:rPr>
      <w:drawing>
        <wp:inline distT="0" distB="0" distL="0" distR="0" wp14:anchorId="0A739D3B" wp14:editId="1063966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52089C">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28024" w14:textId="77777777" w:rsidR="00B01AA6" w:rsidRDefault="00B01AA6">
      <w:r>
        <w:separator/>
      </w:r>
    </w:p>
  </w:footnote>
  <w:footnote w:type="continuationSeparator" w:id="0">
    <w:p w14:paraId="5CD062F5" w14:textId="77777777" w:rsidR="00B01AA6" w:rsidRDefault="00B01A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9687C" w14:textId="77777777" w:rsidR="00A541A0" w:rsidRDefault="00B01AA6">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B6279"/>
    <w:multiLevelType w:val="multilevel"/>
    <w:tmpl w:val="F61AC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25491"/>
    <w:multiLevelType w:val="hybridMultilevel"/>
    <w:tmpl w:val="27568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F68D1"/>
    <w:multiLevelType w:val="hybridMultilevel"/>
    <w:tmpl w:val="D136A424"/>
    <w:lvl w:ilvl="0" w:tplc="9984FDA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42AB97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CFAEA4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5CCE8A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D4E49F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59029A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4209F0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3FE472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E90F7F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1B486016"/>
    <w:multiLevelType w:val="hybridMultilevel"/>
    <w:tmpl w:val="B7F84CDC"/>
    <w:numStyleLink w:val="ImportedStyle5"/>
  </w:abstractNum>
  <w:abstractNum w:abstractNumId="4" w15:restartNumberingAfterBreak="0">
    <w:nsid w:val="1D271297"/>
    <w:multiLevelType w:val="hybridMultilevel"/>
    <w:tmpl w:val="AC54C3D4"/>
    <w:lvl w:ilvl="0" w:tplc="3B7EC5C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9A3A24A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B504FC4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EF6A7CBA">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4C503232">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FD2636AA">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84A663E0">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A26AC8C">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E0B8887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2015770B"/>
    <w:multiLevelType w:val="hybridMultilevel"/>
    <w:tmpl w:val="74509056"/>
    <w:styleLink w:val="ImportedStyle4"/>
    <w:lvl w:ilvl="0" w:tplc="AC8E5AE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7B031E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F9A0CD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46AB65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222ACC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B56996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D5AF11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268897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3A060B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2ADF5A79"/>
    <w:multiLevelType w:val="multilevel"/>
    <w:tmpl w:val="44D89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985168"/>
    <w:multiLevelType w:val="multilevel"/>
    <w:tmpl w:val="7534C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F54900"/>
    <w:multiLevelType w:val="multilevel"/>
    <w:tmpl w:val="9C0E4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B76364"/>
    <w:multiLevelType w:val="multilevel"/>
    <w:tmpl w:val="8ACE7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B819F3"/>
    <w:multiLevelType w:val="hybridMultilevel"/>
    <w:tmpl w:val="A45278CE"/>
    <w:numStyleLink w:val="ImportedStyle3"/>
  </w:abstractNum>
  <w:abstractNum w:abstractNumId="11" w15:restartNumberingAfterBreak="0">
    <w:nsid w:val="44430A25"/>
    <w:multiLevelType w:val="hybridMultilevel"/>
    <w:tmpl w:val="BD74BEA4"/>
    <w:lvl w:ilvl="0" w:tplc="46B4FC30">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F148CE2">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11C5DA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FCC48BA">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68C35E0">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D06EC8">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ED4B1A0">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6A4207C">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A9A7252">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2" w15:restartNumberingAfterBreak="0">
    <w:nsid w:val="45C54E86"/>
    <w:multiLevelType w:val="multilevel"/>
    <w:tmpl w:val="6ECE5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8FA532B"/>
    <w:multiLevelType w:val="hybridMultilevel"/>
    <w:tmpl w:val="B524D464"/>
    <w:lvl w:ilvl="0" w:tplc="9BDCEB9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B5E599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6A0D350">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230348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B0055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734C35C">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602E28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CA6B50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8A2E720">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4" w15:restartNumberingAfterBreak="0">
    <w:nsid w:val="556010BB"/>
    <w:multiLevelType w:val="hybridMultilevel"/>
    <w:tmpl w:val="1CE017B8"/>
    <w:styleLink w:val="ImportedStyle6"/>
    <w:lvl w:ilvl="0" w:tplc="4D96027E">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CAC090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87EB78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460CA1FE">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3EB07488">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5F6A062">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7E061692">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58DA2FD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44F4D170">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5" w15:restartNumberingAfterBreak="0">
    <w:nsid w:val="5BD71D1F"/>
    <w:multiLevelType w:val="hybridMultilevel"/>
    <w:tmpl w:val="A45278CE"/>
    <w:styleLink w:val="ImportedStyle3"/>
    <w:lvl w:ilvl="0" w:tplc="DA104DB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5F8BD8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7E527EF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2C6EF83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CD328B9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F0D230D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BED2299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7BB6848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046C0E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6" w15:restartNumberingAfterBreak="0">
    <w:nsid w:val="6916304E"/>
    <w:multiLevelType w:val="hybridMultilevel"/>
    <w:tmpl w:val="B7F84CDC"/>
    <w:styleLink w:val="ImportedStyle5"/>
    <w:lvl w:ilvl="0" w:tplc="16BCA40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A24C5A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22EF996">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A4AAA35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2BE11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F8E257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BAEC6D6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9613F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09C673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6DCE4358"/>
    <w:multiLevelType w:val="hybridMultilevel"/>
    <w:tmpl w:val="C0D2BA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EA23CB"/>
    <w:multiLevelType w:val="hybridMultilevel"/>
    <w:tmpl w:val="74509056"/>
    <w:numStyleLink w:val="ImportedStyle4"/>
  </w:abstractNum>
  <w:abstractNum w:abstractNumId="19" w15:restartNumberingAfterBreak="0">
    <w:nsid w:val="7E857564"/>
    <w:multiLevelType w:val="hybridMultilevel"/>
    <w:tmpl w:val="1CE017B8"/>
    <w:numStyleLink w:val="ImportedStyle6"/>
  </w:abstractNum>
  <w:num w:numId="1" w16cid:durableId="687760733">
    <w:abstractNumId w:val="2"/>
  </w:num>
  <w:num w:numId="2" w16cid:durableId="1231229750">
    <w:abstractNumId w:val="13"/>
  </w:num>
  <w:num w:numId="3" w16cid:durableId="1765956151">
    <w:abstractNumId w:val="15"/>
  </w:num>
  <w:num w:numId="4" w16cid:durableId="1606694963">
    <w:abstractNumId w:val="10"/>
  </w:num>
  <w:num w:numId="5" w16cid:durableId="634794603">
    <w:abstractNumId w:val="10"/>
    <w:lvlOverride w:ilvl="0">
      <w:lvl w:ilvl="0" w:tplc="117638F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C016901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1D20C9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3000D80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555E862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DD0830D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053E69B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0B807EB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9AA2C8B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2147358674">
    <w:abstractNumId w:val="5"/>
  </w:num>
  <w:num w:numId="7" w16cid:durableId="29377472">
    <w:abstractNumId w:val="18"/>
  </w:num>
  <w:num w:numId="8" w16cid:durableId="151796018">
    <w:abstractNumId w:val="16"/>
  </w:num>
  <w:num w:numId="9" w16cid:durableId="1153595812">
    <w:abstractNumId w:val="3"/>
  </w:num>
  <w:num w:numId="10" w16cid:durableId="117069099">
    <w:abstractNumId w:val="14"/>
  </w:num>
  <w:num w:numId="11" w16cid:durableId="993144593">
    <w:abstractNumId w:val="19"/>
  </w:num>
  <w:num w:numId="12" w16cid:durableId="310253038">
    <w:abstractNumId w:val="19"/>
    <w:lvlOverride w:ilvl="0">
      <w:lvl w:ilvl="0" w:tplc="6108CD8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E90E3C4C">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BD505F04">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7F568BBC">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14EE5F30">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1ACA033E">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A150F320">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B20025CE">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A35A6624">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660736463">
    <w:abstractNumId w:val="11"/>
  </w:num>
  <w:num w:numId="14" w16cid:durableId="2022470924">
    <w:abstractNumId w:val="4"/>
  </w:num>
  <w:num w:numId="15" w16cid:durableId="1280145277">
    <w:abstractNumId w:val="4"/>
    <w:lvlOverride w:ilvl="0">
      <w:lvl w:ilvl="0" w:tplc="3B7EC5C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9A3A24A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B504FC4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EF6A7CBA">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4C503232">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FD2636A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84A663E0">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A26AC8C">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E0B8887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6" w16cid:durableId="1510292288">
    <w:abstractNumId w:val="7"/>
  </w:num>
  <w:num w:numId="17" w16cid:durableId="809635246">
    <w:abstractNumId w:val="12"/>
  </w:num>
  <w:num w:numId="18" w16cid:durableId="122045459">
    <w:abstractNumId w:val="17"/>
  </w:num>
  <w:num w:numId="19" w16cid:durableId="1359694881">
    <w:abstractNumId w:val="9"/>
  </w:num>
  <w:num w:numId="20" w16cid:durableId="889196984">
    <w:abstractNumId w:val="6"/>
  </w:num>
  <w:num w:numId="21" w16cid:durableId="519123934">
    <w:abstractNumId w:val="1"/>
  </w:num>
  <w:num w:numId="22" w16cid:durableId="1492797558">
    <w:abstractNumId w:val="8"/>
  </w:num>
  <w:num w:numId="23" w16cid:durableId="1264145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1A0"/>
    <w:rsid w:val="000B68A3"/>
    <w:rsid w:val="00140097"/>
    <w:rsid w:val="001474CC"/>
    <w:rsid w:val="00191D89"/>
    <w:rsid w:val="001C62AC"/>
    <w:rsid w:val="00251350"/>
    <w:rsid w:val="002B018A"/>
    <w:rsid w:val="002E4EA9"/>
    <w:rsid w:val="002E785C"/>
    <w:rsid w:val="003C332A"/>
    <w:rsid w:val="00421E4D"/>
    <w:rsid w:val="00464861"/>
    <w:rsid w:val="004C4F78"/>
    <w:rsid w:val="0052089C"/>
    <w:rsid w:val="00524D30"/>
    <w:rsid w:val="00566DD6"/>
    <w:rsid w:val="005D7E88"/>
    <w:rsid w:val="00625B76"/>
    <w:rsid w:val="00691456"/>
    <w:rsid w:val="00693119"/>
    <w:rsid w:val="006E43DF"/>
    <w:rsid w:val="007D0BE3"/>
    <w:rsid w:val="008C2355"/>
    <w:rsid w:val="008D7C4E"/>
    <w:rsid w:val="00961BF2"/>
    <w:rsid w:val="00A541A0"/>
    <w:rsid w:val="00AB54F9"/>
    <w:rsid w:val="00B01AA6"/>
    <w:rsid w:val="00B03603"/>
    <w:rsid w:val="00B30BD9"/>
    <w:rsid w:val="00B66A8E"/>
    <w:rsid w:val="00C07BDF"/>
    <w:rsid w:val="00C260C9"/>
    <w:rsid w:val="00C91368"/>
    <w:rsid w:val="00D170E6"/>
    <w:rsid w:val="00D40DCD"/>
    <w:rsid w:val="00D9201C"/>
    <w:rsid w:val="00DA6179"/>
    <w:rsid w:val="00DB71E3"/>
    <w:rsid w:val="00DF7823"/>
    <w:rsid w:val="00E97A5A"/>
    <w:rsid w:val="00F5685F"/>
    <w:rsid w:val="00F678EB"/>
    <w:rsid w:val="00F800B0"/>
    <w:rsid w:val="00FD2A43"/>
    <w:rsid w:val="00FE4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2014B"/>
  <w15:docId w15:val="{66F02683-4F73-46E8-BE2D-AC666AF52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paragraph" w:styleId="Heading3">
    <w:name w:val="heading 3"/>
    <w:basedOn w:val="Normal"/>
    <w:next w:val="Normal"/>
    <w:link w:val="Heading3Char"/>
    <w:uiPriority w:val="9"/>
    <w:semiHidden/>
    <w:unhideWhenUsed/>
    <w:qFormat/>
    <w:rsid w:val="00D170E6"/>
    <w:pPr>
      <w:keepNext/>
      <w:keepLines/>
      <w:spacing w:before="40"/>
      <w:outlineLvl w:val="2"/>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 w:type="character" w:customStyle="1" w:styleId="Heading3Char">
    <w:name w:val="Heading 3 Char"/>
    <w:basedOn w:val="DefaultParagraphFont"/>
    <w:link w:val="Heading3"/>
    <w:uiPriority w:val="9"/>
    <w:semiHidden/>
    <w:rsid w:val="00D170E6"/>
    <w:rPr>
      <w:rFonts w:asciiTheme="majorHAnsi" w:eastAsiaTheme="majorEastAsia" w:hAnsiTheme="majorHAnsi" w:cstheme="majorBidi"/>
      <w:color w:val="28062E" w:themeColor="accent1" w:themeShade="7F"/>
      <w:sz w:val="24"/>
      <w:szCs w:val="24"/>
      <w:lang w:val="en-US" w:eastAsia="en-US"/>
    </w:rPr>
  </w:style>
  <w:style w:type="character" w:styleId="UnresolvedMention">
    <w:name w:val="Unresolved Mention"/>
    <w:basedOn w:val="DefaultParagraphFont"/>
    <w:uiPriority w:val="99"/>
    <w:semiHidden/>
    <w:unhideWhenUsed/>
    <w:rsid w:val="00D170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2534">
      <w:bodyDiv w:val="1"/>
      <w:marLeft w:val="0"/>
      <w:marRight w:val="0"/>
      <w:marTop w:val="0"/>
      <w:marBottom w:val="0"/>
      <w:divBdr>
        <w:top w:val="none" w:sz="0" w:space="0" w:color="auto"/>
        <w:left w:val="none" w:sz="0" w:space="0" w:color="auto"/>
        <w:bottom w:val="none" w:sz="0" w:space="0" w:color="auto"/>
        <w:right w:val="none" w:sz="0" w:space="0" w:color="auto"/>
      </w:divBdr>
    </w:div>
    <w:div w:id="38361771">
      <w:bodyDiv w:val="1"/>
      <w:marLeft w:val="0"/>
      <w:marRight w:val="0"/>
      <w:marTop w:val="0"/>
      <w:marBottom w:val="0"/>
      <w:divBdr>
        <w:top w:val="none" w:sz="0" w:space="0" w:color="auto"/>
        <w:left w:val="none" w:sz="0" w:space="0" w:color="auto"/>
        <w:bottom w:val="none" w:sz="0" w:space="0" w:color="auto"/>
        <w:right w:val="none" w:sz="0" w:space="0" w:color="auto"/>
      </w:divBdr>
    </w:div>
    <w:div w:id="107822672">
      <w:bodyDiv w:val="1"/>
      <w:marLeft w:val="0"/>
      <w:marRight w:val="0"/>
      <w:marTop w:val="0"/>
      <w:marBottom w:val="0"/>
      <w:divBdr>
        <w:top w:val="none" w:sz="0" w:space="0" w:color="auto"/>
        <w:left w:val="none" w:sz="0" w:space="0" w:color="auto"/>
        <w:bottom w:val="none" w:sz="0" w:space="0" w:color="auto"/>
        <w:right w:val="none" w:sz="0" w:space="0" w:color="auto"/>
      </w:divBdr>
    </w:div>
    <w:div w:id="154534106">
      <w:bodyDiv w:val="1"/>
      <w:marLeft w:val="0"/>
      <w:marRight w:val="0"/>
      <w:marTop w:val="0"/>
      <w:marBottom w:val="0"/>
      <w:divBdr>
        <w:top w:val="none" w:sz="0" w:space="0" w:color="auto"/>
        <w:left w:val="none" w:sz="0" w:space="0" w:color="auto"/>
        <w:bottom w:val="none" w:sz="0" w:space="0" w:color="auto"/>
        <w:right w:val="none" w:sz="0" w:space="0" w:color="auto"/>
      </w:divBdr>
    </w:div>
    <w:div w:id="227427748">
      <w:bodyDiv w:val="1"/>
      <w:marLeft w:val="0"/>
      <w:marRight w:val="0"/>
      <w:marTop w:val="0"/>
      <w:marBottom w:val="0"/>
      <w:divBdr>
        <w:top w:val="none" w:sz="0" w:space="0" w:color="auto"/>
        <w:left w:val="none" w:sz="0" w:space="0" w:color="auto"/>
        <w:bottom w:val="none" w:sz="0" w:space="0" w:color="auto"/>
        <w:right w:val="none" w:sz="0" w:space="0" w:color="auto"/>
      </w:divBdr>
    </w:div>
    <w:div w:id="374619047">
      <w:bodyDiv w:val="1"/>
      <w:marLeft w:val="0"/>
      <w:marRight w:val="0"/>
      <w:marTop w:val="0"/>
      <w:marBottom w:val="0"/>
      <w:divBdr>
        <w:top w:val="none" w:sz="0" w:space="0" w:color="auto"/>
        <w:left w:val="none" w:sz="0" w:space="0" w:color="auto"/>
        <w:bottom w:val="none" w:sz="0" w:space="0" w:color="auto"/>
        <w:right w:val="none" w:sz="0" w:space="0" w:color="auto"/>
      </w:divBdr>
    </w:div>
    <w:div w:id="566571087">
      <w:bodyDiv w:val="1"/>
      <w:marLeft w:val="0"/>
      <w:marRight w:val="0"/>
      <w:marTop w:val="0"/>
      <w:marBottom w:val="0"/>
      <w:divBdr>
        <w:top w:val="none" w:sz="0" w:space="0" w:color="auto"/>
        <w:left w:val="none" w:sz="0" w:space="0" w:color="auto"/>
        <w:bottom w:val="none" w:sz="0" w:space="0" w:color="auto"/>
        <w:right w:val="none" w:sz="0" w:space="0" w:color="auto"/>
      </w:divBdr>
    </w:div>
    <w:div w:id="586156617">
      <w:bodyDiv w:val="1"/>
      <w:marLeft w:val="0"/>
      <w:marRight w:val="0"/>
      <w:marTop w:val="0"/>
      <w:marBottom w:val="0"/>
      <w:divBdr>
        <w:top w:val="none" w:sz="0" w:space="0" w:color="auto"/>
        <w:left w:val="none" w:sz="0" w:space="0" w:color="auto"/>
        <w:bottom w:val="none" w:sz="0" w:space="0" w:color="auto"/>
        <w:right w:val="none" w:sz="0" w:space="0" w:color="auto"/>
      </w:divBdr>
    </w:div>
    <w:div w:id="684401353">
      <w:bodyDiv w:val="1"/>
      <w:marLeft w:val="0"/>
      <w:marRight w:val="0"/>
      <w:marTop w:val="0"/>
      <w:marBottom w:val="0"/>
      <w:divBdr>
        <w:top w:val="none" w:sz="0" w:space="0" w:color="auto"/>
        <w:left w:val="none" w:sz="0" w:space="0" w:color="auto"/>
        <w:bottom w:val="none" w:sz="0" w:space="0" w:color="auto"/>
        <w:right w:val="none" w:sz="0" w:space="0" w:color="auto"/>
      </w:divBdr>
    </w:div>
    <w:div w:id="717975409">
      <w:bodyDiv w:val="1"/>
      <w:marLeft w:val="0"/>
      <w:marRight w:val="0"/>
      <w:marTop w:val="0"/>
      <w:marBottom w:val="0"/>
      <w:divBdr>
        <w:top w:val="none" w:sz="0" w:space="0" w:color="auto"/>
        <w:left w:val="none" w:sz="0" w:space="0" w:color="auto"/>
        <w:bottom w:val="none" w:sz="0" w:space="0" w:color="auto"/>
        <w:right w:val="none" w:sz="0" w:space="0" w:color="auto"/>
      </w:divBdr>
    </w:div>
    <w:div w:id="872572179">
      <w:bodyDiv w:val="1"/>
      <w:marLeft w:val="0"/>
      <w:marRight w:val="0"/>
      <w:marTop w:val="0"/>
      <w:marBottom w:val="0"/>
      <w:divBdr>
        <w:top w:val="none" w:sz="0" w:space="0" w:color="auto"/>
        <w:left w:val="none" w:sz="0" w:space="0" w:color="auto"/>
        <w:bottom w:val="none" w:sz="0" w:space="0" w:color="auto"/>
        <w:right w:val="none" w:sz="0" w:space="0" w:color="auto"/>
      </w:divBdr>
    </w:div>
    <w:div w:id="986596044">
      <w:bodyDiv w:val="1"/>
      <w:marLeft w:val="0"/>
      <w:marRight w:val="0"/>
      <w:marTop w:val="0"/>
      <w:marBottom w:val="0"/>
      <w:divBdr>
        <w:top w:val="none" w:sz="0" w:space="0" w:color="auto"/>
        <w:left w:val="none" w:sz="0" w:space="0" w:color="auto"/>
        <w:bottom w:val="none" w:sz="0" w:space="0" w:color="auto"/>
        <w:right w:val="none" w:sz="0" w:space="0" w:color="auto"/>
      </w:divBdr>
    </w:div>
    <w:div w:id="1208641952">
      <w:bodyDiv w:val="1"/>
      <w:marLeft w:val="0"/>
      <w:marRight w:val="0"/>
      <w:marTop w:val="0"/>
      <w:marBottom w:val="0"/>
      <w:divBdr>
        <w:top w:val="none" w:sz="0" w:space="0" w:color="auto"/>
        <w:left w:val="none" w:sz="0" w:space="0" w:color="auto"/>
        <w:bottom w:val="none" w:sz="0" w:space="0" w:color="auto"/>
        <w:right w:val="none" w:sz="0" w:space="0" w:color="auto"/>
      </w:divBdr>
    </w:div>
    <w:div w:id="1237208621">
      <w:bodyDiv w:val="1"/>
      <w:marLeft w:val="0"/>
      <w:marRight w:val="0"/>
      <w:marTop w:val="0"/>
      <w:marBottom w:val="0"/>
      <w:divBdr>
        <w:top w:val="none" w:sz="0" w:space="0" w:color="auto"/>
        <w:left w:val="none" w:sz="0" w:space="0" w:color="auto"/>
        <w:bottom w:val="none" w:sz="0" w:space="0" w:color="auto"/>
        <w:right w:val="none" w:sz="0" w:space="0" w:color="auto"/>
      </w:divBdr>
    </w:div>
    <w:div w:id="1404109255">
      <w:bodyDiv w:val="1"/>
      <w:marLeft w:val="0"/>
      <w:marRight w:val="0"/>
      <w:marTop w:val="0"/>
      <w:marBottom w:val="0"/>
      <w:divBdr>
        <w:top w:val="none" w:sz="0" w:space="0" w:color="auto"/>
        <w:left w:val="none" w:sz="0" w:space="0" w:color="auto"/>
        <w:bottom w:val="none" w:sz="0" w:space="0" w:color="auto"/>
        <w:right w:val="none" w:sz="0" w:space="0" w:color="auto"/>
      </w:divBdr>
    </w:div>
    <w:div w:id="1436244860">
      <w:bodyDiv w:val="1"/>
      <w:marLeft w:val="0"/>
      <w:marRight w:val="0"/>
      <w:marTop w:val="0"/>
      <w:marBottom w:val="0"/>
      <w:divBdr>
        <w:top w:val="none" w:sz="0" w:space="0" w:color="auto"/>
        <w:left w:val="none" w:sz="0" w:space="0" w:color="auto"/>
        <w:bottom w:val="none" w:sz="0" w:space="0" w:color="auto"/>
        <w:right w:val="none" w:sz="0" w:space="0" w:color="auto"/>
      </w:divBdr>
    </w:div>
    <w:div w:id="1456562194">
      <w:bodyDiv w:val="1"/>
      <w:marLeft w:val="0"/>
      <w:marRight w:val="0"/>
      <w:marTop w:val="0"/>
      <w:marBottom w:val="0"/>
      <w:divBdr>
        <w:top w:val="none" w:sz="0" w:space="0" w:color="auto"/>
        <w:left w:val="none" w:sz="0" w:space="0" w:color="auto"/>
        <w:bottom w:val="none" w:sz="0" w:space="0" w:color="auto"/>
        <w:right w:val="none" w:sz="0" w:space="0" w:color="auto"/>
      </w:divBdr>
    </w:div>
    <w:div w:id="1511337225">
      <w:bodyDiv w:val="1"/>
      <w:marLeft w:val="0"/>
      <w:marRight w:val="0"/>
      <w:marTop w:val="0"/>
      <w:marBottom w:val="0"/>
      <w:divBdr>
        <w:top w:val="none" w:sz="0" w:space="0" w:color="auto"/>
        <w:left w:val="none" w:sz="0" w:space="0" w:color="auto"/>
        <w:bottom w:val="none" w:sz="0" w:space="0" w:color="auto"/>
        <w:right w:val="none" w:sz="0" w:space="0" w:color="auto"/>
      </w:divBdr>
    </w:div>
    <w:div w:id="1551772043">
      <w:bodyDiv w:val="1"/>
      <w:marLeft w:val="0"/>
      <w:marRight w:val="0"/>
      <w:marTop w:val="0"/>
      <w:marBottom w:val="0"/>
      <w:divBdr>
        <w:top w:val="none" w:sz="0" w:space="0" w:color="auto"/>
        <w:left w:val="none" w:sz="0" w:space="0" w:color="auto"/>
        <w:bottom w:val="none" w:sz="0" w:space="0" w:color="auto"/>
        <w:right w:val="none" w:sz="0" w:space="0" w:color="auto"/>
      </w:divBdr>
    </w:div>
    <w:div w:id="1691377317">
      <w:bodyDiv w:val="1"/>
      <w:marLeft w:val="0"/>
      <w:marRight w:val="0"/>
      <w:marTop w:val="0"/>
      <w:marBottom w:val="0"/>
      <w:divBdr>
        <w:top w:val="none" w:sz="0" w:space="0" w:color="auto"/>
        <w:left w:val="none" w:sz="0" w:space="0" w:color="auto"/>
        <w:bottom w:val="none" w:sz="0" w:space="0" w:color="auto"/>
        <w:right w:val="none" w:sz="0" w:space="0" w:color="auto"/>
      </w:divBdr>
    </w:div>
    <w:div w:id="1732851795">
      <w:bodyDiv w:val="1"/>
      <w:marLeft w:val="0"/>
      <w:marRight w:val="0"/>
      <w:marTop w:val="0"/>
      <w:marBottom w:val="0"/>
      <w:divBdr>
        <w:top w:val="none" w:sz="0" w:space="0" w:color="auto"/>
        <w:left w:val="none" w:sz="0" w:space="0" w:color="auto"/>
        <w:bottom w:val="none" w:sz="0" w:space="0" w:color="auto"/>
        <w:right w:val="none" w:sz="0" w:space="0" w:color="auto"/>
      </w:divBdr>
    </w:div>
    <w:div w:id="1761633795">
      <w:bodyDiv w:val="1"/>
      <w:marLeft w:val="0"/>
      <w:marRight w:val="0"/>
      <w:marTop w:val="0"/>
      <w:marBottom w:val="0"/>
      <w:divBdr>
        <w:top w:val="none" w:sz="0" w:space="0" w:color="auto"/>
        <w:left w:val="none" w:sz="0" w:space="0" w:color="auto"/>
        <w:bottom w:val="none" w:sz="0" w:space="0" w:color="auto"/>
        <w:right w:val="none" w:sz="0" w:space="0" w:color="auto"/>
      </w:divBdr>
    </w:div>
    <w:div w:id="1822846728">
      <w:bodyDiv w:val="1"/>
      <w:marLeft w:val="0"/>
      <w:marRight w:val="0"/>
      <w:marTop w:val="0"/>
      <w:marBottom w:val="0"/>
      <w:divBdr>
        <w:top w:val="none" w:sz="0" w:space="0" w:color="auto"/>
        <w:left w:val="none" w:sz="0" w:space="0" w:color="auto"/>
        <w:bottom w:val="none" w:sz="0" w:space="0" w:color="auto"/>
        <w:right w:val="none" w:sz="0" w:space="0" w:color="auto"/>
      </w:divBdr>
    </w:div>
    <w:div w:id="1878350648">
      <w:bodyDiv w:val="1"/>
      <w:marLeft w:val="0"/>
      <w:marRight w:val="0"/>
      <w:marTop w:val="0"/>
      <w:marBottom w:val="0"/>
      <w:divBdr>
        <w:top w:val="none" w:sz="0" w:space="0" w:color="auto"/>
        <w:left w:val="none" w:sz="0" w:space="0" w:color="auto"/>
        <w:bottom w:val="none" w:sz="0" w:space="0" w:color="auto"/>
        <w:right w:val="none" w:sz="0" w:space="0" w:color="auto"/>
      </w:divBdr>
    </w:div>
    <w:div w:id="1887637126">
      <w:bodyDiv w:val="1"/>
      <w:marLeft w:val="0"/>
      <w:marRight w:val="0"/>
      <w:marTop w:val="0"/>
      <w:marBottom w:val="0"/>
      <w:divBdr>
        <w:top w:val="none" w:sz="0" w:space="0" w:color="auto"/>
        <w:left w:val="none" w:sz="0" w:space="0" w:color="auto"/>
        <w:bottom w:val="none" w:sz="0" w:space="0" w:color="auto"/>
        <w:right w:val="none" w:sz="0" w:space="0" w:color="auto"/>
      </w:divBdr>
    </w:div>
    <w:div w:id="1915578627">
      <w:bodyDiv w:val="1"/>
      <w:marLeft w:val="0"/>
      <w:marRight w:val="0"/>
      <w:marTop w:val="0"/>
      <w:marBottom w:val="0"/>
      <w:divBdr>
        <w:top w:val="none" w:sz="0" w:space="0" w:color="auto"/>
        <w:left w:val="none" w:sz="0" w:space="0" w:color="auto"/>
        <w:bottom w:val="none" w:sz="0" w:space="0" w:color="auto"/>
        <w:right w:val="none" w:sz="0" w:space="0" w:color="auto"/>
      </w:divBdr>
    </w:div>
    <w:div w:id="1960791351">
      <w:bodyDiv w:val="1"/>
      <w:marLeft w:val="0"/>
      <w:marRight w:val="0"/>
      <w:marTop w:val="0"/>
      <w:marBottom w:val="0"/>
      <w:divBdr>
        <w:top w:val="none" w:sz="0" w:space="0" w:color="auto"/>
        <w:left w:val="none" w:sz="0" w:space="0" w:color="auto"/>
        <w:bottom w:val="none" w:sz="0" w:space="0" w:color="auto"/>
        <w:right w:val="none" w:sz="0" w:space="0" w:color="auto"/>
      </w:divBdr>
    </w:div>
    <w:div w:id="21119686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Metadata/LabelInfo.xml><?xml version="1.0" encoding="utf-8"?>
<clbl:labelList xmlns:clbl="http://schemas.microsoft.com/office/2020/mipLabelMetadata">
  <clbl:label id="{ddd66cce-ffe1-4029-967c-5e15ef73127f}" enabled="0" method="" siteId="{ddd66cce-ffe1-4029-967c-5e15ef73127f}" removed="1"/>
</clbl:labelList>
</file>

<file path=docProps/app.xml><?xml version="1.0" encoding="utf-8"?>
<Properties xmlns="http://schemas.openxmlformats.org/officeDocument/2006/extended-properties" xmlns:vt="http://schemas.openxmlformats.org/officeDocument/2006/docPropsVTypes">
  <Template>Normal</Template>
  <TotalTime>73</TotalTime>
  <Pages>11</Pages>
  <Words>4820</Words>
  <Characters>27478</Characters>
  <Application>Microsoft Office Word</Application>
  <DocSecurity>0</DocSecurity>
  <Lines>228</Lines>
  <Paragraphs>64</Paragraphs>
  <ScaleCrop>false</ScaleCrop>
  <Company/>
  <LinksUpToDate>false</LinksUpToDate>
  <CharactersWithSpaces>32234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Kelsea Peterson</cp:lastModifiedBy>
  <cp:revision>45</cp:revision>
  <dcterms:created xsi:type="dcterms:W3CDTF">2025-08-04T18:27:00Z</dcterms:created>
  <dcterms:modified xsi:type="dcterms:W3CDTF">2025-08-04T19:39:00Z</dcterms:modified>
</cp:coreProperties>
</file>