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jc w:val="both"/>
        <w:rPr>
          <w:rFonts w:ascii="Times New Roman"/>
          <w:b w:val="0"/>
          <w:bCs w:val="0"/>
          <w:sz w:val="28"/>
          <w:szCs w:val="28"/>
        </w:rPr>
      </w:pPr>
    </w:p>
    <w:p>
      <w:pPr>
        <w:pStyle w:val="Title"/>
        <w:jc w:val="both"/>
        <w:rPr>
          <w:rFonts w:ascii="Times New Roman" w:cs="Times New Roman" w:hAnsi="Times New Roman" w:eastAsia="Times New Roman"/>
          <w:b w:val="0"/>
          <w:bCs w:val="0"/>
          <w:sz w:val="22"/>
          <w:szCs w:val="22"/>
        </w:rPr>
      </w:pPr>
      <w:r>
        <w:rPr>
          <w:rFonts w:ascii="Times New Roman"/>
          <w:b w:val="0"/>
          <w:bCs w:val="0"/>
          <w:sz w:val="22"/>
          <w:szCs w:val="22"/>
          <w:rtl w:val="0"/>
          <w:lang w:val="en-US"/>
        </w:rPr>
        <w:t>Louix Farthing</w:t>
      </w:r>
    </w:p>
    <w:p>
      <w:pPr>
        <w:pStyle w:val="Body 2"/>
        <w:jc w:val="both"/>
        <w:rPr>
          <w:rFonts w:ascii="Times New Roman" w:cs="Times New Roman" w:hAnsi="Times New Roman" w:eastAsia="Times New Roman"/>
        </w:rPr>
      </w:pPr>
      <w:r>
        <w:rPr>
          <w:rFonts w:ascii="Times New Roman"/>
          <w:rtl w:val="0"/>
          <w:lang w:val="en-US"/>
        </w:rPr>
        <w:t>1401504</w:t>
      </w:r>
    </w:p>
    <w:p>
      <w:pPr>
        <w:pStyle w:val="Title"/>
        <w:jc w:val="both"/>
        <w:rPr>
          <w:rFonts w:ascii="Times New Roman" w:cs="Times New Roman" w:hAnsi="Times New Roman" w:eastAsia="Times New Roman"/>
          <w:b w:val="0"/>
          <w:bCs w:val="0"/>
          <w:sz w:val="24"/>
          <w:szCs w:val="24"/>
        </w:rPr>
      </w:pPr>
      <w:r>
        <w:rPr>
          <w:rFonts w:ascii="Times New Roman"/>
          <w:b w:val="0"/>
          <w:bCs w:val="0"/>
          <w:sz w:val="24"/>
          <w:szCs w:val="24"/>
          <w:rtl w:val="0"/>
          <w:lang w:val="en-US"/>
        </w:rPr>
        <w:t>Dr Kyle Erickson</w:t>
      </w:r>
    </w:p>
    <w:p>
      <w:pPr>
        <w:pStyle w:val="Title"/>
        <w:jc w:val="both"/>
        <w:rPr>
          <w:rFonts w:ascii="Times New Roman" w:cs="Times New Roman" w:hAnsi="Times New Roman" w:eastAsia="Times New Roman"/>
          <w:b w:val="0"/>
          <w:bCs w:val="0"/>
          <w:sz w:val="28"/>
          <w:szCs w:val="28"/>
        </w:rPr>
      </w:pPr>
    </w:p>
    <w:p>
      <w:pPr>
        <w:pStyle w:val="Title"/>
        <w:jc w:val="both"/>
        <w:rPr>
          <w:rFonts w:ascii="Times New Roman" w:cs="Times New Roman" w:hAnsi="Times New Roman" w:eastAsia="Times New Roman"/>
          <w:b w:val="0"/>
          <w:bCs w:val="0"/>
          <w:sz w:val="28"/>
          <w:szCs w:val="28"/>
        </w:rPr>
      </w:pPr>
      <w:r>
        <w:rPr>
          <w:rFonts w:ascii="Times New Roman"/>
          <w:b w:val="0"/>
          <w:bCs w:val="0"/>
          <w:sz w:val="28"/>
          <w:szCs w:val="28"/>
          <w:rtl w:val="0"/>
          <w:lang w:val="en-US"/>
        </w:rPr>
        <w:t>The Roman Frontier Systems: an evaluation of the function and social impacts of territorial occupation in the First and Second centuries AD</w:t>
      </w:r>
    </w:p>
    <w:p>
      <w:pPr>
        <w:pStyle w:val="Subject"/>
        <w:jc w:val="both"/>
        <w:rPr>
          <w:rFonts w:ascii="Times New Roman" w:cs="Times New Roman" w:hAnsi="Times New Roman" w:eastAsia="Times New Roman"/>
        </w:rPr>
      </w:pPr>
      <w:r>
        <w:rPr>
          <w:rFonts w:ascii="Times New Roman"/>
          <w:rtl w:val="0"/>
          <w:lang w:val="en-US"/>
        </w:rPr>
        <w:t xml:space="preserve">Abstract: </w:t>
      </w:r>
    </w:p>
    <w:p>
      <w:pPr>
        <w:pStyle w:val="Body"/>
        <w:jc w:val="both"/>
        <w:rPr>
          <w:rFonts w:ascii="Times New Roman" w:cs="Times New Roman" w:hAnsi="Times New Roman" w:eastAsia="Times New Roman"/>
        </w:rPr>
      </w:pPr>
      <w:r>
        <w:rPr>
          <w:rFonts w:ascii="Times New Roman"/>
          <w:rtl w:val="0"/>
          <w:lang w:val="en-US"/>
        </w:rPr>
        <w:t>The purpose of this dissertation is two-fold. Firstly, it will critically asses the fundamental functions which the Roman frontier network fulfilled; and secondly, the social impacts which are a result of extensive territorial occupation. There will be a particular focus on the Rhine-Danube Limes and Hadrian</w:t>
      </w:r>
      <w:r>
        <w:rPr>
          <w:rFonts w:hAnsi="Times New Roman" w:hint="default"/>
          <w:rtl w:val="0"/>
          <w:lang w:val="en-US"/>
        </w:rPr>
        <w:t>’</w:t>
      </w:r>
      <w:r>
        <w:rPr>
          <w:rFonts w:ascii="Times New Roman"/>
          <w:rtl w:val="0"/>
          <w:lang w:val="en-US"/>
        </w:rPr>
        <w:t>s Wall during the First and Second centuries AD. This thesis will attempt to not only determine the motives which resulted in a shift from the system of border defence seen under the late republic and the Julio-Claudian</w:t>
      </w:r>
      <w:r>
        <w:rPr>
          <w:rFonts w:hAnsi="Times New Roman" w:hint="default"/>
          <w:rtl w:val="0"/>
          <w:lang w:val="en-US"/>
        </w:rPr>
        <w:t>’</w:t>
      </w:r>
      <w:r>
        <w:rPr>
          <w:rFonts w:ascii="Times New Roman"/>
          <w:rtl w:val="0"/>
          <w:lang w:val="en-US"/>
        </w:rPr>
        <w:t>s, to the clearly visible and demarcated system of their successors; but it will also examine their day to day function and what was, ultimately, their intended use. Furthermore it will offer an evaluation of the repercussions which the existence of these defensive implementations had on local communities. This will be with a focus</w:t>
      </w:r>
      <w:r>
        <w:rPr>
          <w:rFonts w:ascii="Times New Roman"/>
          <w:rtl w:val="0"/>
          <w:lang w:val="en-US"/>
        </w:rPr>
        <w:t xml:space="preserve"> on the impacts of frontier construction, maintenance and supply over extended periods of time</w:t>
      </w:r>
      <w:r>
        <w:rPr>
          <w:rFonts w:ascii="Times New Roman"/>
          <w:rtl w:val="0"/>
          <w:lang w:val="en-US"/>
        </w:rPr>
        <w:t>, both in their early stages and in their later ones. This investigation will be conducted using an inter-disciplinary approach with a focus on archaeology and literary source material.</w:t>
      </w:r>
    </w:p>
    <w:p>
      <w:pPr>
        <w:pStyle w:val="Subject"/>
        <w:jc w:val="both"/>
        <w:rPr>
          <w:rFonts w:ascii="Times New Roman" w:cs="Times New Roman" w:hAnsi="Times New Roman" w:eastAsia="Times New Roman"/>
        </w:rPr>
      </w:pPr>
      <w:r>
        <w:rPr>
          <w:rFonts w:ascii="Times New Roman"/>
          <w:rtl w:val="0"/>
          <w:lang w:val="en-US"/>
        </w:rPr>
        <w:t>Introduction:</w:t>
      </w:r>
    </w:p>
    <w:p>
      <w:pPr>
        <w:pStyle w:val="Body"/>
        <w:jc w:val="both"/>
        <w:rPr>
          <w:rFonts w:ascii="Times New Roman" w:cs="Times New Roman" w:hAnsi="Times New Roman" w:eastAsia="Times New Roman"/>
        </w:rPr>
      </w:pPr>
    </w:p>
    <w:p>
      <w:pPr>
        <w:pStyle w:val="Body"/>
        <w:numPr>
          <w:ilvl w:val="0"/>
          <w:numId w:val="2"/>
        </w:numPr>
        <w:ind w:left="196"/>
        <w:jc w:val="both"/>
        <w:rPr>
          <w:rFonts w:ascii="Times New Roman" w:cs="Times New Roman" w:hAnsi="Times New Roman" w:eastAsia="Times New Roman"/>
          <w:position w:val="-2"/>
          <w:sz w:val="24"/>
          <w:szCs w:val="24"/>
        </w:rPr>
      </w:pPr>
      <w:r>
        <w:rPr>
          <w:rFonts w:ascii="Times New Roman"/>
          <w:rtl w:val="0"/>
          <w:lang w:val="en-US"/>
        </w:rPr>
        <w:t xml:space="preserve"> Address the issues that surround the study of Roman frontiers, i.e. the substantial lack of evidence available for the Rhine-Danube Frontier zone and how we may work around this with complementary evidence from Hadrian</w:t>
      </w:r>
      <w:r>
        <w:rPr>
          <w:rFonts w:hAnsi="Times New Roman" w:hint="default"/>
          <w:rtl w:val="0"/>
          <w:lang w:val="en-US"/>
        </w:rPr>
        <w:t>’</w:t>
      </w:r>
      <w:r>
        <w:rPr>
          <w:rFonts w:ascii="Times New Roman"/>
          <w:rtl w:val="0"/>
          <w:lang w:val="en-US"/>
        </w:rPr>
        <w:t xml:space="preserve">s Wall. </w:t>
      </w:r>
    </w:p>
    <w:p>
      <w:pPr>
        <w:pStyle w:val="Body"/>
        <w:numPr>
          <w:ilvl w:val="0"/>
          <w:numId w:val="3"/>
        </w:numPr>
        <w:ind w:left="196"/>
        <w:jc w:val="both"/>
        <w:rPr>
          <w:rFonts w:ascii="Times New Roman" w:cs="Times New Roman" w:hAnsi="Times New Roman" w:eastAsia="Times New Roman"/>
          <w:position w:val="-2"/>
          <w:sz w:val="24"/>
          <w:szCs w:val="24"/>
        </w:rPr>
      </w:pPr>
      <w:r>
        <w:rPr>
          <w:rFonts w:ascii="Times New Roman"/>
          <w:rtl w:val="0"/>
          <w:lang w:val="en-US"/>
        </w:rPr>
        <w:t>Underline the notion that in order to critically asses the functions and impacts a frontier has, it is first important to understand the nature of imperialism, and its several forms. Furthermore identify the context in which the investigation will approach imperialism using one of the several forms presented  (</w:t>
      </w:r>
      <w:r>
        <w:rPr>
          <w:rFonts w:ascii="Times New Roman"/>
          <w:i w:val="1"/>
          <w:iCs w:val="1"/>
          <w:rtl w:val="0"/>
          <w:lang w:val="en-US"/>
        </w:rPr>
        <w:t>Champion 2004: 3</w:t>
      </w:r>
      <w:r>
        <w:rPr>
          <w:rFonts w:ascii="Times New Roman"/>
          <w:rtl w:val="0"/>
          <w:lang w:val="en-US"/>
        </w:rPr>
        <w:t>)</w:t>
      </w:r>
    </w:p>
    <w:p>
      <w:pPr>
        <w:pStyle w:val="Body"/>
        <w:numPr>
          <w:ilvl w:val="0"/>
          <w:numId w:val="4"/>
        </w:numPr>
        <w:ind w:left="196"/>
        <w:jc w:val="both"/>
        <w:rPr>
          <w:rFonts w:ascii="Times New Roman" w:cs="Times New Roman" w:hAnsi="Times New Roman" w:eastAsia="Times New Roman"/>
          <w:position w:val="-2"/>
          <w:sz w:val="24"/>
          <w:szCs w:val="24"/>
        </w:rPr>
      </w:pPr>
      <w:r>
        <w:rPr>
          <w:rFonts w:ascii="Times New Roman"/>
          <w:rtl w:val="0"/>
          <w:lang w:val="en-US"/>
        </w:rPr>
        <w:t>Introduce Luttwack</w:t>
      </w:r>
      <w:r>
        <w:rPr>
          <w:rFonts w:hAnsi="Times New Roman" w:hint="default"/>
          <w:rtl w:val="0"/>
          <w:lang w:val="en-US"/>
        </w:rPr>
        <w:t>’</w:t>
      </w:r>
      <w:r>
        <w:rPr>
          <w:rFonts w:ascii="Times New Roman"/>
          <w:rtl w:val="0"/>
          <w:lang w:val="en-US"/>
        </w:rPr>
        <w:t xml:space="preserve">s assessment that the study of Roman frontiers may be separated into several distinct periods; the Julio-Claudian, the Flavian, and Severan dynasties and also that of the 3rd century AD and the emergence of </w:t>
      </w:r>
      <w:r>
        <w:rPr>
          <w:rFonts w:hAnsi="Times New Roman" w:hint="default"/>
          <w:rtl w:val="0"/>
          <w:lang w:val="en-US"/>
        </w:rPr>
        <w:t>‘</w:t>
      </w:r>
      <w:r>
        <w:rPr>
          <w:rFonts w:ascii="Times New Roman"/>
          <w:rtl w:val="0"/>
          <w:lang w:val="en-US"/>
        </w:rPr>
        <w:t>Defence in Depth</w:t>
      </w:r>
      <w:r>
        <w:rPr>
          <w:rFonts w:hAnsi="Times New Roman" w:hint="default"/>
          <w:rtl w:val="0"/>
          <w:lang w:val="en-US"/>
        </w:rPr>
        <w:t xml:space="preserve">’ </w:t>
      </w:r>
      <w:r>
        <w:rPr>
          <w:rFonts w:ascii="Times New Roman"/>
          <w:rtl w:val="0"/>
          <w:lang w:val="en-US"/>
        </w:rPr>
        <w:t>(</w:t>
      </w:r>
      <w:r>
        <w:rPr>
          <w:rFonts w:ascii="Times New Roman"/>
          <w:i w:val="1"/>
          <w:iCs w:val="1"/>
          <w:rtl w:val="0"/>
          <w:lang w:val="en-US"/>
        </w:rPr>
        <w:t>Luttwak 1976</w:t>
      </w:r>
      <w:r>
        <w:rPr>
          <w:rFonts w:ascii="Times New Roman"/>
          <w:rtl w:val="0"/>
          <w:lang w:val="en-US"/>
        </w:rPr>
        <w:t xml:space="preserve">) </w:t>
      </w:r>
    </w:p>
    <w:p>
      <w:pPr>
        <w:pStyle w:val="Body"/>
        <w:jc w:val="both"/>
        <w:rPr>
          <w:rFonts w:ascii="Times New Roman" w:cs="Times New Roman" w:hAnsi="Times New Roman" w:eastAsia="Times New Roman"/>
        </w:rPr>
      </w:pPr>
    </w:p>
    <w:p>
      <w:pPr>
        <w:pStyle w:val="Subject"/>
        <w:jc w:val="both"/>
        <w:rPr>
          <w:rFonts w:ascii="Times New Roman" w:cs="Times New Roman" w:hAnsi="Times New Roman" w:eastAsia="Times New Roman"/>
        </w:rPr>
      </w:pPr>
      <w:r>
        <w:rPr>
          <w:rFonts w:ascii="Times New Roman"/>
          <w:rtl w:val="0"/>
          <w:lang w:val="en-US"/>
        </w:rPr>
        <w:t>Section One: Understanding Frontiers</w:t>
      </w:r>
    </w:p>
    <w:p>
      <w:pPr>
        <w:pStyle w:val="Body"/>
        <w:jc w:val="both"/>
        <w:rPr>
          <w:rFonts w:ascii="Times New Roman" w:cs="Times New Roman" w:hAnsi="Times New Roman" w:eastAsia="Times New Roman"/>
        </w:rPr>
      </w:pPr>
    </w:p>
    <w:p>
      <w:pPr>
        <w:pStyle w:val="Body"/>
        <w:numPr>
          <w:ilvl w:val="0"/>
          <w:numId w:val="5"/>
        </w:numPr>
        <w:ind w:left="196"/>
        <w:jc w:val="both"/>
        <w:rPr>
          <w:rFonts w:ascii="Times New Roman" w:cs="Times New Roman" w:hAnsi="Times New Roman" w:eastAsia="Times New Roman"/>
          <w:position w:val="-2"/>
          <w:sz w:val="24"/>
          <w:szCs w:val="24"/>
        </w:rPr>
      </w:pPr>
      <w:r>
        <w:rPr>
          <w:rFonts w:ascii="Times New Roman"/>
          <w:rtl w:val="0"/>
          <w:lang w:val="en-US"/>
        </w:rPr>
        <w:t xml:space="preserve">Expand on the discussion regarding imperialism, and how when examined closely we may observe that due to the wider political environment of the ancient world, the notions of a </w:t>
      </w:r>
      <w:r>
        <w:rPr>
          <w:rFonts w:hAnsi="Times New Roman" w:hint="default"/>
          <w:rtl w:val="0"/>
          <w:lang w:val="en-US"/>
        </w:rPr>
        <w:t>“</w:t>
      </w:r>
      <w:r>
        <w:rPr>
          <w:rFonts w:ascii="Times New Roman"/>
          <w:rtl w:val="0"/>
          <w:lang w:val="en-US"/>
        </w:rPr>
        <w:t>self help state</w:t>
      </w:r>
      <w:r>
        <w:rPr>
          <w:rFonts w:hAnsi="Times New Roman" w:hint="default"/>
          <w:rtl w:val="0"/>
          <w:lang w:val="en-US"/>
        </w:rPr>
        <w:t xml:space="preserve">” </w:t>
      </w:r>
      <w:r>
        <w:rPr>
          <w:rFonts w:ascii="Times New Roman"/>
          <w:rtl w:val="0"/>
          <w:lang w:val="en-US"/>
        </w:rPr>
        <w:t>inadvertently result in what we classify as an empire (</w:t>
      </w:r>
      <w:r>
        <w:rPr>
          <w:rFonts w:ascii="Times New Roman"/>
          <w:i w:val="1"/>
          <w:iCs w:val="1"/>
          <w:rtl w:val="0"/>
          <w:lang w:val="en-US"/>
        </w:rPr>
        <w:t>Champion 2004:5</w:t>
      </w:r>
      <w:r>
        <w:rPr>
          <w:rFonts w:ascii="Times New Roman"/>
          <w:rtl w:val="0"/>
          <w:lang w:val="en-US"/>
        </w:rPr>
        <w:t xml:space="preserve">) </w:t>
      </w:r>
    </w:p>
    <w:p>
      <w:pPr>
        <w:pStyle w:val="Body"/>
        <w:numPr>
          <w:ilvl w:val="0"/>
          <w:numId w:val="6"/>
        </w:numPr>
        <w:ind w:left="196"/>
        <w:jc w:val="both"/>
        <w:rPr>
          <w:rFonts w:ascii="Times New Roman" w:cs="Times New Roman" w:hAnsi="Times New Roman" w:eastAsia="Times New Roman"/>
          <w:position w:val="-2"/>
          <w:sz w:val="24"/>
          <w:szCs w:val="24"/>
        </w:rPr>
      </w:pPr>
      <w:r>
        <w:rPr>
          <w:rFonts w:ascii="Times New Roman"/>
          <w:rtl w:val="0"/>
          <w:lang w:val="en-US"/>
        </w:rPr>
        <w:t>The Julio Claudian system of defence was more or less that of the republic, however now under the guise of imperialism (</w:t>
      </w:r>
      <w:r>
        <w:rPr>
          <w:rFonts w:ascii="Times New Roman"/>
          <w:i w:val="1"/>
          <w:iCs w:val="1"/>
          <w:rtl w:val="0"/>
          <w:lang w:val="en-US"/>
        </w:rPr>
        <w:t>Luttwak 1976:7</w:t>
      </w:r>
      <w:r>
        <w:rPr>
          <w:rFonts w:ascii="Times New Roman"/>
          <w:rtl w:val="0"/>
          <w:lang w:val="en-US"/>
        </w:rPr>
        <w:t>) - Consider Augustus</w:t>
      </w:r>
      <w:r>
        <w:rPr>
          <w:rFonts w:hAnsi="Times New Roman" w:hint="default"/>
          <w:rtl w:val="0"/>
          <w:lang w:val="en-US"/>
        </w:rPr>
        <w:t xml:space="preserve">’ </w:t>
      </w:r>
      <w:r>
        <w:rPr>
          <w:rFonts w:ascii="Times New Roman"/>
          <w:rtl w:val="0"/>
          <w:lang w:val="en-US"/>
        </w:rPr>
        <w:t>advice to Tiberius after the loss of 3 legions in AD (</w:t>
      </w:r>
      <w:r>
        <w:rPr>
          <w:rFonts w:ascii="Times New Roman"/>
          <w:i w:val="1"/>
          <w:iCs w:val="1"/>
          <w:rtl w:val="0"/>
          <w:lang w:val="en-US"/>
        </w:rPr>
        <w:t>Breeze and Dobson 1976:10</w:t>
      </w:r>
      <w:r>
        <w:rPr>
          <w:rFonts w:ascii="Times New Roman"/>
          <w:rtl w:val="0"/>
          <w:lang w:val="en-US"/>
        </w:rPr>
        <w:t xml:space="preserve">) and how this relates to the issues of client based defence- Further, consider the issues regarding internal security at the time the first forts along the Rhine were constructed.   </w:t>
      </w:r>
    </w:p>
    <w:p>
      <w:pPr>
        <w:pStyle w:val="Body"/>
        <w:numPr>
          <w:ilvl w:val="0"/>
          <w:numId w:val="7"/>
        </w:numPr>
        <w:ind w:left="196"/>
        <w:jc w:val="both"/>
        <w:rPr>
          <w:rFonts w:ascii="Times New Roman" w:cs="Times New Roman" w:hAnsi="Times New Roman" w:eastAsia="Times New Roman"/>
          <w:position w:val="-2"/>
          <w:sz w:val="24"/>
          <w:szCs w:val="24"/>
        </w:rPr>
      </w:pPr>
      <w:r>
        <w:rPr>
          <w:rFonts w:ascii="Times New Roman"/>
          <w:rtl w:val="0"/>
          <w:lang w:val="en-US"/>
        </w:rPr>
        <w:t xml:space="preserve">Argue that as with the organic growth of empire discussed by Champion, in this case, the growth of frontiers or </w:t>
      </w:r>
      <w:r>
        <w:rPr>
          <w:rFonts w:hAnsi="Times New Roman" w:hint="default"/>
          <w:rtl w:val="0"/>
          <w:lang w:val="en-US"/>
        </w:rPr>
        <w:t>“</w:t>
      </w:r>
      <w:r>
        <w:rPr>
          <w:rFonts w:ascii="Times New Roman"/>
          <w:rtl w:val="0"/>
          <w:lang w:val="en-US"/>
        </w:rPr>
        <w:t>limes</w:t>
      </w:r>
      <w:r>
        <w:rPr>
          <w:rFonts w:hAnsi="Times New Roman" w:hint="default"/>
          <w:rtl w:val="0"/>
          <w:lang w:val="en-US"/>
        </w:rPr>
        <w:t xml:space="preserve">” </w:t>
      </w:r>
      <w:r>
        <w:rPr>
          <w:rFonts w:ascii="Times New Roman"/>
          <w:rtl w:val="0"/>
          <w:lang w:val="en-US"/>
        </w:rPr>
        <w:t xml:space="preserve">must also be treated as an organic occurrence. Furthermore, that at one stage in the development of the Roman empire the occurrence of frontiers was a logical progression, and that the developments under the Flavian and Severan dynasts may be considered as the first </w:t>
      </w:r>
      <w:r>
        <w:rPr>
          <w:rFonts w:hAnsi="Times New Roman" w:hint="default"/>
          <w:rtl w:val="0"/>
          <w:lang w:val="en-US"/>
        </w:rPr>
        <w:t>‘</w:t>
      </w:r>
      <w:r>
        <w:rPr>
          <w:rFonts w:ascii="Times New Roman"/>
          <w:rtl w:val="0"/>
          <w:lang w:val="en-US"/>
        </w:rPr>
        <w:t>scientific frontier</w:t>
      </w:r>
      <w:r>
        <w:rPr>
          <w:rFonts w:hAnsi="Times New Roman" w:hint="default"/>
          <w:rtl w:val="0"/>
          <w:lang w:val="en-US"/>
        </w:rPr>
        <w:t>’</w:t>
      </w:r>
      <w:r>
        <w:rPr>
          <w:rFonts w:ascii="Times New Roman"/>
          <w:rtl w:val="0"/>
          <w:lang w:val="en-US"/>
        </w:rPr>
        <w:t>. (</w:t>
      </w:r>
      <w:r>
        <w:rPr>
          <w:rFonts w:ascii="Times New Roman"/>
          <w:i w:val="1"/>
          <w:iCs w:val="1"/>
          <w:rtl w:val="0"/>
          <w:lang w:val="en-US"/>
        </w:rPr>
        <w:t>Luttwak 1976:55</w:t>
      </w:r>
      <w:r>
        <w:rPr>
          <w:rFonts w:ascii="Times New Roman"/>
          <w:rtl w:val="0"/>
          <w:lang w:val="en-US"/>
        </w:rPr>
        <w:t>)</w:t>
      </w:r>
    </w:p>
    <w:p>
      <w:pPr>
        <w:pStyle w:val="Body"/>
        <w:numPr>
          <w:ilvl w:val="0"/>
          <w:numId w:val="8"/>
        </w:numPr>
        <w:ind w:left="196"/>
        <w:jc w:val="both"/>
        <w:rPr>
          <w:rFonts w:ascii="Times New Roman" w:cs="Times New Roman" w:hAnsi="Times New Roman" w:eastAsia="Times New Roman"/>
          <w:position w:val="-2"/>
          <w:sz w:val="24"/>
          <w:szCs w:val="24"/>
        </w:rPr>
      </w:pPr>
      <w:r>
        <w:rPr>
          <w:rFonts w:ascii="Times New Roman"/>
          <w:rtl w:val="0"/>
          <w:lang w:val="en-US"/>
        </w:rPr>
        <w:t xml:space="preserve">This development may stem from the early imperial disposition to emulate the golden age of Rome under the republic; with Champion noting that </w:t>
      </w:r>
      <w:r>
        <w:rPr>
          <w:rFonts w:hAnsi="Times New Roman" w:hint="default"/>
          <w:rtl w:val="0"/>
          <w:lang w:val="en-US"/>
        </w:rPr>
        <w:t>“</w:t>
      </w:r>
      <w:r>
        <w:rPr>
          <w:rFonts w:ascii="Times New Roman"/>
          <w:rtl w:val="0"/>
          <w:lang w:val="en-US"/>
        </w:rPr>
        <w:t>the greatest of the Roman generals were noted for their extreme caution</w:t>
      </w:r>
      <w:r>
        <w:rPr>
          <w:rFonts w:hAnsi="Times New Roman" w:hint="default"/>
          <w:rtl w:val="0"/>
          <w:lang w:val="en-US"/>
        </w:rPr>
        <w:t xml:space="preserve">” </w:t>
      </w:r>
      <w:r>
        <w:rPr>
          <w:rFonts w:ascii="Times New Roman"/>
          <w:rtl w:val="0"/>
          <w:lang w:val="en-US"/>
        </w:rPr>
        <w:t>(</w:t>
      </w:r>
      <w:r>
        <w:rPr>
          <w:rFonts w:ascii="Times New Roman"/>
          <w:i w:val="1"/>
          <w:iCs w:val="1"/>
          <w:rtl w:val="0"/>
          <w:lang w:val="en-US"/>
        </w:rPr>
        <w:t>Champion 2004:280</w:t>
      </w:r>
      <w:r>
        <w:rPr>
          <w:rFonts w:ascii="Times New Roman"/>
          <w:rtl w:val="0"/>
          <w:lang w:val="en-US"/>
        </w:rPr>
        <w:t xml:space="preserve">). Thus could it be argued that frontiers are the greatest exercise in caution? </w:t>
      </w:r>
    </w:p>
    <w:p>
      <w:pPr>
        <w:pStyle w:val="Body"/>
        <w:numPr>
          <w:ilvl w:val="0"/>
          <w:numId w:val="9"/>
        </w:numPr>
        <w:ind w:left="196"/>
        <w:jc w:val="both"/>
        <w:rPr>
          <w:rFonts w:ascii="Times New Roman" w:cs="Times New Roman" w:hAnsi="Times New Roman" w:eastAsia="Times New Roman"/>
          <w:position w:val="-2"/>
          <w:sz w:val="24"/>
          <w:szCs w:val="24"/>
        </w:rPr>
      </w:pPr>
      <w:r>
        <w:rPr>
          <w:rFonts w:ascii="Times New Roman"/>
          <w:rtl w:val="0"/>
          <w:lang w:val="en-US"/>
        </w:rPr>
        <w:t xml:space="preserve">For complementary discussion, examine the notion of the so called </w:t>
      </w:r>
      <w:r>
        <w:rPr>
          <w:rFonts w:hAnsi="Times New Roman" w:hint="default"/>
          <w:rtl w:val="0"/>
          <w:lang w:val="en-US"/>
        </w:rPr>
        <w:t>‘</w:t>
      </w:r>
      <w:r>
        <w:rPr>
          <w:rFonts w:ascii="Times New Roman"/>
          <w:rtl w:val="0"/>
          <w:lang w:val="en-US"/>
        </w:rPr>
        <w:t>neutral zones</w:t>
      </w:r>
      <w:r>
        <w:rPr>
          <w:rFonts w:hAnsi="Times New Roman" w:hint="default"/>
          <w:rtl w:val="0"/>
          <w:lang w:val="en-US"/>
        </w:rPr>
        <w:t xml:space="preserve">’ </w:t>
      </w:r>
      <w:r>
        <w:rPr>
          <w:rFonts w:ascii="Times New Roman"/>
          <w:rtl w:val="0"/>
          <w:lang w:val="en-US"/>
        </w:rPr>
        <w:t>(</w:t>
      </w:r>
      <w:r>
        <w:rPr>
          <w:rFonts w:ascii="Times New Roman"/>
          <w:i w:val="1"/>
          <w:iCs w:val="1"/>
          <w:rtl w:val="0"/>
        </w:rPr>
        <w:t>Tac. Ann. 13.54.1</w:t>
      </w:r>
      <w:r>
        <w:rPr>
          <w:rFonts w:ascii="Times New Roman"/>
          <w:rtl w:val="0"/>
        </w:rPr>
        <w:t xml:space="preserve">) </w:t>
      </w:r>
      <w:r>
        <w:rPr>
          <w:rFonts w:ascii="Times New Roman"/>
          <w:rtl w:val="0"/>
          <w:lang w:val="en-US"/>
        </w:rPr>
        <w:t xml:space="preserve"> in between frontier regions and their possible uses </w:t>
      </w:r>
      <w:r>
        <w:rPr>
          <w:rFonts w:ascii="Times New Roman"/>
          <w:rtl w:val="0"/>
        </w:rPr>
        <w:t>(</w:t>
      </w:r>
      <w:r>
        <w:rPr>
          <w:rFonts w:ascii="Times New Roman"/>
          <w:i w:val="1"/>
          <w:iCs w:val="1"/>
          <w:rtl w:val="0"/>
        </w:rPr>
        <w:t>Potter 1992</w:t>
      </w:r>
      <w:r>
        <w:rPr>
          <w:rFonts w:ascii="Times New Roman"/>
          <w:i w:val="1"/>
          <w:iCs w:val="1"/>
          <w:rtl w:val="0"/>
          <w:lang w:val="en-US"/>
        </w:rPr>
        <w:t>:272</w:t>
      </w:r>
      <w:r>
        <w:rPr>
          <w:rFonts w:ascii="Times New Roman"/>
          <w:rtl w:val="0"/>
        </w:rPr>
        <w:t>)</w:t>
      </w:r>
      <w:r>
        <w:rPr>
          <w:rFonts w:ascii="Times New Roman"/>
          <w:rtl w:val="0"/>
          <w:lang w:val="en-US"/>
        </w:rPr>
        <w:t xml:space="preserve">. This includes that of resource acquisition; drawing from research into the extent which the Rhine delta could sustain the local populous. </w:t>
      </w:r>
    </w:p>
    <w:p>
      <w:pPr>
        <w:pStyle w:val="Body"/>
        <w:jc w:val="both"/>
        <w:rPr>
          <w:rFonts w:ascii="Times New Roman" w:cs="Times New Roman" w:hAnsi="Times New Roman" w:eastAsia="Times New Roman"/>
        </w:rPr>
      </w:pPr>
    </w:p>
    <w:p>
      <w:pPr>
        <w:pStyle w:val="Subject"/>
        <w:jc w:val="both"/>
        <w:rPr>
          <w:rFonts w:ascii="Times New Roman" w:cs="Times New Roman" w:hAnsi="Times New Roman" w:eastAsia="Times New Roman"/>
        </w:rPr>
      </w:pPr>
      <w:r>
        <w:rPr>
          <w:rFonts w:ascii="Times New Roman"/>
          <w:rtl w:val="0"/>
          <w:lang w:val="en-US"/>
        </w:rPr>
        <w:t xml:space="preserve">Section Two: Occupational effects on local communities </w:t>
      </w:r>
    </w:p>
    <w:p>
      <w:pPr>
        <w:pStyle w:val="Body"/>
        <w:jc w:val="both"/>
        <w:rPr>
          <w:rFonts w:ascii="Times New Roman" w:cs="Times New Roman" w:hAnsi="Times New Roman" w:eastAsia="Times New Roman"/>
        </w:rPr>
      </w:pPr>
    </w:p>
    <w:p>
      <w:pPr>
        <w:pStyle w:val="Body"/>
        <w:numPr>
          <w:ilvl w:val="1"/>
          <w:numId w:val="10"/>
        </w:numPr>
        <w:ind w:left="376"/>
        <w:jc w:val="both"/>
        <w:rPr>
          <w:rFonts w:ascii="Times New Roman" w:cs="Times New Roman" w:hAnsi="Times New Roman" w:eastAsia="Times New Roman"/>
          <w:position w:val="-2"/>
          <w:sz w:val="24"/>
          <w:szCs w:val="24"/>
        </w:rPr>
      </w:pPr>
      <w:r>
        <w:rPr>
          <w:rFonts w:ascii="Times New Roman"/>
          <w:rtl w:val="0"/>
          <w:lang w:val="en-US"/>
        </w:rPr>
        <w:t>Outline that this discussion will be focusing on the long term effects which frontiers have on a given region- focusing on the impact which building and maintaining forts has on local areas, including the logistics of troop supplies and the way in which the Roman army would acquire these resources. (</w:t>
      </w:r>
      <w:r>
        <w:rPr>
          <w:rFonts w:ascii="Times New Roman"/>
          <w:i w:val="1"/>
          <w:iCs w:val="1"/>
          <w:rtl w:val="0"/>
          <w:lang w:val="en-US"/>
        </w:rPr>
        <w:t>Vindolanda Tablets</w:t>
      </w:r>
      <w:r>
        <w:rPr>
          <w:rFonts w:ascii="Times New Roman"/>
          <w:rtl w:val="0"/>
          <w:lang w:val="en-US"/>
        </w:rPr>
        <w:t>)</w:t>
      </w:r>
    </w:p>
    <w:p>
      <w:pPr>
        <w:pStyle w:val="Body"/>
        <w:numPr>
          <w:ilvl w:val="1"/>
          <w:numId w:val="11"/>
        </w:numPr>
        <w:ind w:left="376"/>
        <w:jc w:val="both"/>
        <w:rPr>
          <w:rFonts w:ascii="Times New Roman" w:cs="Times New Roman" w:hAnsi="Times New Roman" w:eastAsia="Times New Roman"/>
          <w:position w:val="-2"/>
          <w:sz w:val="24"/>
          <w:szCs w:val="24"/>
        </w:rPr>
      </w:pPr>
      <w:r>
        <w:rPr>
          <w:rFonts w:ascii="Times New Roman"/>
          <w:rtl w:val="0"/>
          <w:lang w:val="en-US"/>
        </w:rPr>
        <w:t>Moreover, distinguish that key factors in assessing this impact will vary depending on the size, location and the time of construction of certain forts along both frontiers. (</w:t>
      </w:r>
      <w:r>
        <w:rPr>
          <w:rFonts w:ascii="Times New Roman"/>
          <w:i w:val="1"/>
          <w:iCs w:val="1"/>
          <w:rtl w:val="0"/>
          <w:lang w:val="en-US"/>
        </w:rPr>
        <w:t>Davidson. D.P 1989</w:t>
      </w:r>
      <w:r>
        <w:rPr>
          <w:rFonts w:ascii="Times New Roman"/>
          <w:rtl w:val="0"/>
          <w:lang w:val="en-US"/>
        </w:rPr>
        <w:t xml:space="preserve">) </w:t>
      </w:r>
    </w:p>
    <w:p>
      <w:pPr>
        <w:pStyle w:val="Body"/>
        <w:numPr>
          <w:ilvl w:val="1"/>
          <w:numId w:val="12"/>
        </w:numPr>
        <w:ind w:left="376"/>
        <w:jc w:val="both"/>
        <w:rPr>
          <w:rFonts w:ascii="Times New Roman" w:cs="Times New Roman" w:hAnsi="Times New Roman" w:eastAsia="Times New Roman"/>
          <w:position w:val="-2"/>
          <w:sz w:val="24"/>
          <w:szCs w:val="24"/>
        </w:rPr>
      </w:pPr>
      <w:r>
        <w:rPr>
          <w:rFonts w:ascii="Times New Roman"/>
          <w:rtl w:val="0"/>
          <w:lang w:val="en-US"/>
        </w:rPr>
        <w:t>Address the issues regarding the building, maintaining and supply of these frontiers: for example the inconsistencies that arise from cross examination of literary evidence and their scholarly interpretations - Compare Whittaker</w:t>
      </w:r>
      <w:r>
        <w:rPr>
          <w:rFonts w:hAnsi="Times New Roman" w:hint="default"/>
          <w:rtl w:val="0"/>
          <w:lang w:val="en-US"/>
        </w:rPr>
        <w:t>’</w:t>
      </w:r>
      <w:r>
        <w:rPr>
          <w:rFonts w:ascii="Times New Roman"/>
          <w:rtl w:val="0"/>
          <w:lang w:val="en-US"/>
        </w:rPr>
        <w:t>s assessment of the implausibility of the acquisition of materials being left to chance (</w:t>
      </w:r>
      <w:r>
        <w:rPr>
          <w:rFonts w:ascii="Times New Roman"/>
          <w:i w:val="1"/>
          <w:iCs w:val="1"/>
          <w:rtl w:val="0"/>
          <w:lang w:val="en-US"/>
        </w:rPr>
        <w:t>Whittaker 2004:61</w:t>
      </w:r>
      <w:r>
        <w:rPr>
          <w:rFonts w:ascii="Times New Roman"/>
          <w:rtl w:val="0"/>
          <w:lang w:val="en-US"/>
        </w:rPr>
        <w:t xml:space="preserve">) with Vindolanda Tablet 344 and 180 suggesting civilian involvement in the logistics of Army supply.  </w:t>
      </w:r>
    </w:p>
    <w:p>
      <w:pPr>
        <w:pStyle w:val="Body"/>
        <w:numPr>
          <w:ilvl w:val="1"/>
          <w:numId w:val="13"/>
        </w:numPr>
        <w:ind w:left="376"/>
        <w:jc w:val="both"/>
        <w:rPr>
          <w:rFonts w:ascii="Times New Roman" w:cs="Times New Roman" w:hAnsi="Times New Roman" w:eastAsia="Times New Roman"/>
          <w:position w:val="-2"/>
          <w:sz w:val="24"/>
          <w:szCs w:val="24"/>
        </w:rPr>
      </w:pPr>
      <w:r>
        <w:rPr>
          <w:rFonts w:ascii="Times New Roman"/>
          <w:rtl w:val="0"/>
          <w:lang w:val="en-US"/>
        </w:rPr>
        <w:t>Illuminating this argument with references from Cassius Dio (</w:t>
      </w:r>
      <w:r>
        <w:rPr>
          <w:rFonts w:ascii="Times New Roman"/>
          <w:i w:val="1"/>
          <w:iCs w:val="1"/>
          <w:rtl w:val="0"/>
          <w:lang w:val="en-US"/>
        </w:rPr>
        <w:t>Dio 69.12.2</w:t>
      </w:r>
      <w:r>
        <w:rPr>
          <w:rFonts w:ascii="Times New Roman"/>
          <w:rtl w:val="0"/>
          <w:lang w:val="en-US"/>
        </w:rPr>
        <w:t>) to the employment of local craftsmen to forge weaponry and equipment on behalf of the local garrison - note that using Dobson</w:t>
      </w:r>
      <w:r>
        <w:rPr>
          <w:rFonts w:hAnsi="Times New Roman" w:hint="default"/>
          <w:rtl w:val="0"/>
          <w:lang w:val="en-US"/>
        </w:rPr>
        <w:t>’</w:t>
      </w:r>
      <w:r>
        <w:rPr>
          <w:rFonts w:ascii="Times New Roman"/>
          <w:rtl w:val="0"/>
          <w:lang w:val="en-US"/>
        </w:rPr>
        <w:t>s assessment of the practicalities of troop allocation (</w:t>
      </w:r>
      <w:r>
        <w:rPr>
          <w:rFonts w:ascii="Times New Roman"/>
          <w:i w:val="1"/>
          <w:iCs w:val="1"/>
          <w:rtl w:val="0"/>
          <w:lang w:val="en-US"/>
        </w:rPr>
        <w:t>Breeze and Dobson 1976:9),</w:t>
      </w:r>
      <w:r>
        <w:rPr>
          <w:rFonts w:ascii="Times New Roman"/>
          <w:rtl w:val="0"/>
          <w:lang w:val="en-US"/>
        </w:rPr>
        <w:t xml:space="preserve"> it would certainly been advantageous to utilise the skill sets of local inhabitants to fulfil essential roles; vocations which otherwise would certainly detract from the available man power of a garrison.  </w:t>
      </w:r>
    </w:p>
    <w:p>
      <w:pPr>
        <w:pStyle w:val="Body"/>
        <w:numPr>
          <w:ilvl w:val="1"/>
          <w:numId w:val="14"/>
        </w:numPr>
        <w:ind w:left="376"/>
        <w:jc w:val="both"/>
        <w:rPr>
          <w:rFonts w:ascii="Times New Roman" w:cs="Times New Roman" w:hAnsi="Times New Roman" w:eastAsia="Times New Roman"/>
          <w:position w:val="-2"/>
          <w:sz w:val="24"/>
          <w:szCs w:val="24"/>
        </w:rPr>
      </w:pPr>
      <w:r>
        <w:rPr>
          <w:rFonts w:ascii="Times New Roman"/>
          <w:rtl w:val="0"/>
          <w:lang w:val="en-US"/>
        </w:rPr>
        <w:t xml:space="preserve">Highlight that we see the results of territorial occupation extending into the </w:t>
      </w:r>
      <w:r>
        <w:rPr>
          <w:rFonts w:hAnsi="Times New Roman" w:hint="default"/>
          <w:rtl w:val="0"/>
          <w:lang w:val="en-US"/>
        </w:rPr>
        <w:t>‘</w:t>
      </w:r>
      <w:r>
        <w:rPr>
          <w:rFonts w:ascii="Times New Roman"/>
          <w:rtl w:val="0"/>
          <w:lang w:val="en-US"/>
        </w:rPr>
        <w:t>neutral zones</w:t>
      </w:r>
      <w:r>
        <w:rPr>
          <w:rFonts w:hAnsi="Times New Roman" w:hint="default"/>
          <w:rtl w:val="0"/>
          <w:lang w:val="en-US"/>
        </w:rPr>
        <w:t xml:space="preserve">’  </w:t>
      </w:r>
      <w:r>
        <w:rPr>
          <w:rFonts w:ascii="Times New Roman"/>
          <w:rtl w:val="0"/>
          <w:lang w:val="en-US"/>
        </w:rPr>
        <w:t>when examining the extent of sustainability in the Rhine-Danube region and the mass deforestation of the upper Rhine (</w:t>
      </w:r>
      <w:r>
        <w:rPr>
          <w:rFonts w:ascii="Times New Roman"/>
          <w:i w:val="1"/>
          <w:iCs w:val="1"/>
          <w:rtl w:val="0"/>
          <w:lang w:val="en-US"/>
        </w:rPr>
        <w:t>Kooistra 2013:11</w:t>
      </w:r>
      <w:r>
        <w:rPr>
          <w:rFonts w:ascii="Times New Roman"/>
          <w:rtl w:val="0"/>
          <w:lang w:val="en-US"/>
        </w:rPr>
        <w:t xml:space="preserve">) </w:t>
      </w:r>
    </w:p>
    <w:p>
      <w:pPr>
        <w:pStyle w:val="Body"/>
        <w:numPr>
          <w:ilvl w:val="1"/>
          <w:numId w:val="15"/>
        </w:numPr>
        <w:ind w:left="376"/>
        <w:jc w:val="both"/>
        <w:rPr>
          <w:rFonts w:ascii="Times New Roman" w:cs="Times New Roman" w:hAnsi="Times New Roman" w:eastAsia="Times New Roman"/>
          <w:position w:val="-2"/>
          <w:sz w:val="24"/>
          <w:szCs w:val="24"/>
        </w:rPr>
      </w:pPr>
      <w:r>
        <w:rPr>
          <w:rFonts w:ascii="Times New Roman"/>
          <w:rtl w:val="0"/>
          <w:lang w:val="en-US"/>
        </w:rPr>
        <w:t>This deforestation thus became so severe that imports of timber from Britain became essential for maintaining the Rhine and Danubian Limes, thus disputing the claims by Whittaker of a fully thought out system of supply for border defence networks (</w:t>
      </w:r>
      <w:r>
        <w:rPr>
          <w:rFonts w:ascii="Times New Roman"/>
          <w:i w:val="1"/>
          <w:iCs w:val="1"/>
          <w:rtl w:val="0"/>
          <w:lang w:val="en-US"/>
        </w:rPr>
        <w:t>Whittaker 2004:61</w:t>
      </w:r>
      <w:r>
        <w:rPr>
          <w:rFonts w:ascii="Times New Roman"/>
          <w:rtl w:val="0"/>
          <w:lang w:val="en-US"/>
        </w:rPr>
        <w:t>)</w:t>
      </w:r>
    </w:p>
    <w:p>
      <w:pPr>
        <w:pStyle w:val="Body"/>
        <w:numPr>
          <w:ilvl w:val="1"/>
          <w:numId w:val="16"/>
        </w:numPr>
        <w:ind w:left="376"/>
        <w:jc w:val="both"/>
        <w:rPr>
          <w:rFonts w:ascii="Times New Roman" w:cs="Times New Roman" w:hAnsi="Times New Roman" w:eastAsia="Times New Roman"/>
          <w:position w:val="-2"/>
          <w:sz w:val="24"/>
          <w:szCs w:val="24"/>
        </w:rPr>
      </w:pPr>
      <w:r>
        <w:rPr>
          <w:rFonts w:ascii="Times New Roman"/>
          <w:rtl w:val="0"/>
          <w:lang w:val="en-US"/>
        </w:rPr>
        <w:t>Note that this discussion is only relevant when considering the phases for which fortifications are using materials; as only at several points fortifications along a given border defence network require provisions, which would not be regularly sourced (</w:t>
      </w:r>
      <w:r>
        <w:rPr>
          <w:rFonts w:ascii="Times New Roman"/>
          <w:i w:val="1"/>
          <w:iCs w:val="1"/>
          <w:rtl w:val="0"/>
          <w:lang w:val="en-US"/>
        </w:rPr>
        <w:t>Kooistra 2013:12</w:t>
      </w:r>
      <w:r>
        <w:rPr>
          <w:rFonts w:ascii="Times New Roman"/>
          <w:rtl w:val="0"/>
          <w:lang w:val="en-US"/>
        </w:rPr>
        <w:t xml:space="preserve">). For example, materials used for fortification expansions designed to house several legions or, to maintain the defective palisades and not for their usual need of firewood. </w:t>
      </w:r>
    </w:p>
    <w:p>
      <w:pPr>
        <w:pStyle w:val="Subject"/>
        <w:jc w:val="both"/>
        <w:rPr>
          <w:rFonts w:ascii="Times New Roman" w:cs="Times New Roman" w:hAnsi="Times New Roman" w:eastAsia="Times New Roman"/>
        </w:rPr>
      </w:pPr>
      <w:r>
        <w:rPr>
          <w:rFonts w:ascii="Times New Roman"/>
          <w:rtl w:val="0"/>
          <w:lang w:val="en-US"/>
        </w:rPr>
        <w:t xml:space="preserve">Conclusions: </w:t>
      </w:r>
    </w:p>
    <w:p>
      <w:pPr>
        <w:pStyle w:val="Body"/>
        <w:numPr>
          <w:ilvl w:val="0"/>
          <w:numId w:val="17"/>
        </w:numPr>
        <w:ind w:left="196"/>
        <w:jc w:val="both"/>
        <w:rPr>
          <w:rFonts w:ascii="Times New Roman" w:cs="Times New Roman" w:hAnsi="Times New Roman" w:eastAsia="Times New Roman"/>
          <w:position w:val="-2"/>
          <w:sz w:val="24"/>
          <w:szCs w:val="24"/>
        </w:rPr>
      </w:pPr>
      <w:r>
        <w:rPr>
          <w:rFonts w:ascii="Times New Roman"/>
          <w:rtl w:val="0"/>
          <w:lang w:val="en-US"/>
        </w:rPr>
        <w:t>To conclude, this section will summarise the main arguments which have been set forth in the preceding chapters of this thesis. This will include a summarisation of how we may interpret imperialism using champions model, how imperialism may be used to understand frontiers, and ultimately the political circumstances which led to the development of frontiers.</w:t>
      </w:r>
    </w:p>
    <w:p>
      <w:pPr>
        <w:pStyle w:val="Body"/>
        <w:numPr>
          <w:ilvl w:val="0"/>
          <w:numId w:val="18"/>
        </w:numPr>
        <w:ind w:left="196"/>
        <w:jc w:val="both"/>
        <w:rPr>
          <w:rFonts w:ascii="Times New Roman" w:cs="Times New Roman" w:hAnsi="Times New Roman" w:eastAsia="Times New Roman"/>
          <w:position w:val="-2"/>
          <w:sz w:val="24"/>
          <w:szCs w:val="24"/>
        </w:rPr>
      </w:pPr>
      <w:r>
        <w:rPr>
          <w:rFonts w:ascii="Times New Roman"/>
          <w:rtl w:val="0"/>
          <w:lang w:val="en-US"/>
        </w:rPr>
        <w:t xml:space="preserve">Furthermore, consider if indeed frontiers evolved organically or if they were a result of generations of trial and error in the context of border policy. </w:t>
      </w:r>
    </w:p>
    <w:p>
      <w:pPr>
        <w:pStyle w:val="Body"/>
        <w:numPr>
          <w:ilvl w:val="0"/>
          <w:numId w:val="19"/>
        </w:numPr>
        <w:ind w:left="196"/>
        <w:jc w:val="both"/>
        <w:rPr>
          <w:rFonts w:ascii="Times New Roman" w:cs="Times New Roman" w:hAnsi="Times New Roman" w:eastAsia="Times New Roman"/>
          <w:position w:val="-2"/>
          <w:sz w:val="24"/>
          <w:szCs w:val="24"/>
        </w:rPr>
      </w:pPr>
      <w:r>
        <w:rPr>
          <w:rFonts w:ascii="Times New Roman"/>
          <w:rtl w:val="0"/>
          <w:lang w:val="en-US"/>
        </w:rPr>
        <w:t xml:space="preserve">Discern wether or not a frontier region and its inhabitants would benefit from the existence of extensive fortifications, or military presence in the area became unsustainable- thus the abandonment of settlements in the later imperial stages. </w: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ject"/>
        <w:jc w:val="both"/>
        <w:rPr>
          <w:rFonts w:ascii="Times New Roman" w:cs="Times New Roman" w:hAnsi="Times New Roman" w:eastAsia="Times New Roman"/>
        </w:rPr>
      </w:pPr>
      <w:r>
        <w:rPr>
          <w:rFonts w:ascii="Times New Roman"/>
          <w:rtl w:val="0"/>
          <w:lang w:val="en-US"/>
        </w:rPr>
        <w:t xml:space="preserve">Bibliography: </w:t>
      </w:r>
    </w:p>
    <w:p>
      <w:pPr>
        <w:pStyle w:val="Body"/>
        <w:jc w:val="both"/>
        <w:rPr>
          <w:rFonts w:ascii="Times New Roman" w:cs="Times New Roman" w:hAnsi="Times New Roman" w:eastAsia="Times New Roman"/>
          <w:i w:val="1"/>
          <w:iCs w:val="1"/>
          <w:u w:val="single"/>
        </w:rPr>
      </w:pPr>
      <w:r>
        <w:rPr>
          <w:rFonts w:ascii="Times New Roman"/>
          <w:i w:val="1"/>
          <w:iCs w:val="1"/>
          <w:u w:val="single"/>
          <w:rtl w:val="0"/>
          <w:lang w:val="en-US"/>
        </w:rPr>
        <w:t xml:space="preserve">Ancient sources: </w:t>
      </w:r>
    </w:p>
    <w:p>
      <w:pPr>
        <w:pStyle w:val="Body"/>
        <w:jc w:val="both"/>
        <w:rPr>
          <w:rFonts w:ascii="Times New Roman" w:cs="Times New Roman" w:hAnsi="Times New Roman" w:eastAsia="Times New Roman"/>
        </w:rPr>
      </w:pPr>
      <w:r>
        <w:rPr>
          <w:rFonts w:ascii="Times New Roman"/>
          <w:rtl w:val="0"/>
          <w:lang w:val="en-US"/>
        </w:rPr>
        <w:t>Cassius Dio, Roman History</w:t>
      </w:r>
    </w:p>
    <w:p>
      <w:pPr>
        <w:pStyle w:val="Body"/>
        <w:jc w:val="both"/>
        <w:rPr>
          <w:rFonts w:ascii="Times New Roman" w:cs="Times New Roman" w:hAnsi="Times New Roman" w:eastAsia="Times New Roman"/>
        </w:rPr>
      </w:pPr>
      <w:r>
        <w:rPr>
          <w:rFonts w:ascii="Times New Roman"/>
          <w:rtl w:val="0"/>
          <w:lang w:val="en-US"/>
        </w:rPr>
        <w:t xml:space="preserve">Tacitus, Annals </w:t>
      </w:r>
    </w:p>
    <w:p>
      <w:pPr>
        <w:pStyle w:val="Body"/>
        <w:jc w:val="both"/>
        <w:rPr>
          <w:rFonts w:ascii="Times New Roman" w:cs="Times New Roman" w:hAnsi="Times New Roman" w:eastAsia="Times New Roman"/>
        </w:rPr>
      </w:pPr>
    </w:p>
    <w:p>
      <w:pPr>
        <w:pStyle w:val="Body"/>
        <w:jc w:val="both"/>
        <w:rPr>
          <w:rFonts w:ascii="Times New Roman" w:cs="Times New Roman" w:hAnsi="Times New Roman" w:eastAsia="Times New Roman"/>
          <w:i w:val="1"/>
          <w:iCs w:val="1"/>
          <w:u w:val="single"/>
        </w:rPr>
      </w:pPr>
      <w:r>
        <w:rPr>
          <w:rFonts w:ascii="Times New Roman"/>
          <w:i w:val="1"/>
          <w:iCs w:val="1"/>
          <w:u w:val="single"/>
          <w:rtl w:val="0"/>
          <w:lang w:val="en-US"/>
        </w:rPr>
        <w:t>Modern Scholarship:</w:t>
      </w:r>
    </w:p>
    <w:p>
      <w:pPr>
        <w:pStyle w:val="Body"/>
        <w:jc w:val="both"/>
        <w:rPr>
          <w:rFonts w:ascii="Times New Roman" w:cs="Times New Roman" w:hAnsi="Times New Roman" w:eastAsia="Times New Roman"/>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Adams. Colin E.P  </w:t>
      </w:r>
      <w:r>
        <w:rPr>
          <w:rFonts w:hAnsi="Times New Roman" w:hint="default"/>
          <w:sz w:val="22"/>
          <w:szCs w:val="22"/>
          <w:rtl w:val="0"/>
          <w:lang w:val="en-US"/>
        </w:rPr>
        <w:t>‘</w:t>
      </w:r>
      <w:r>
        <w:rPr>
          <w:rFonts w:ascii="Times New Roman"/>
          <w:sz w:val="22"/>
          <w:szCs w:val="22"/>
          <w:rtl w:val="0"/>
          <w:lang w:val="en-US"/>
        </w:rPr>
        <w:t xml:space="preserve">Supplying the Roman Army </w:t>
      </w:r>
      <w:r>
        <w:rPr>
          <w:rFonts w:hAnsi="Times New Roman" w:hint="default"/>
          <w:sz w:val="22"/>
          <w:szCs w:val="22"/>
          <w:rtl w:val="0"/>
          <w:lang w:val="en-US"/>
        </w:rPr>
        <w:t>‘</w:t>
      </w:r>
      <w:r>
        <w:rPr>
          <w:rFonts w:ascii="Times New Roman"/>
          <w:sz w:val="22"/>
          <w:szCs w:val="22"/>
          <w:rtl w:val="0"/>
          <w:lang w:val="en-US"/>
        </w:rPr>
        <w:t>q petr</w:t>
      </w:r>
      <w:r>
        <w:rPr>
          <w:rFonts w:hAnsi="Times New Roman" w:hint="default"/>
          <w:sz w:val="22"/>
          <w:szCs w:val="22"/>
          <w:rtl w:val="0"/>
          <w:lang w:val="fr-FR"/>
        </w:rPr>
        <w:t xml:space="preserve">’ </w:t>
      </w:r>
      <w:r>
        <w:rPr>
          <w:rFonts w:ascii="Times New Roman"/>
          <w:sz w:val="22"/>
          <w:szCs w:val="22"/>
          <w:rtl w:val="0"/>
          <w:lang w:val="en-US"/>
        </w:rPr>
        <w:t>245</w:t>
      </w:r>
      <w:r>
        <w:rPr>
          <w:rFonts w:hAnsi="Times New Roman" w:hint="default"/>
          <w:sz w:val="22"/>
          <w:szCs w:val="22"/>
          <w:rtl w:val="0"/>
          <w:lang w:val="en-US"/>
        </w:rPr>
        <w:t xml:space="preserve">’ </w:t>
      </w:r>
      <w:r>
        <w:rPr>
          <w:rFonts w:ascii="Times New Roman"/>
          <w:sz w:val="22"/>
          <w:szCs w:val="22"/>
          <w:rtl w:val="0"/>
          <w:lang w:val="de-DE"/>
        </w:rPr>
        <w:t>Zeitschrift f</w:t>
      </w:r>
      <w:r>
        <w:rPr>
          <w:rFonts w:hAnsi="Times New Roman" w:hint="default"/>
          <w:sz w:val="22"/>
          <w:szCs w:val="22"/>
          <w:rtl w:val="0"/>
          <w:lang w:val="en-US"/>
        </w:rPr>
        <w:t>ü</w:t>
      </w:r>
      <w:r>
        <w:rPr>
          <w:rFonts w:ascii="Times New Roman"/>
          <w:sz w:val="22"/>
          <w:szCs w:val="22"/>
          <w:rtl w:val="0"/>
          <w:lang w:val="de-DE"/>
        </w:rPr>
        <w:t>r Papyrologie und Epigraphik</w:t>
      </w:r>
      <w:r>
        <w:rPr>
          <w:rFonts w:ascii="Times New Roman"/>
          <w:sz w:val="22"/>
          <w:szCs w:val="22"/>
          <w:rtl w:val="0"/>
          <w:lang w:val="en-US"/>
        </w:rPr>
        <w:t xml:space="preserve"> Bd. 109 (1995), pp. 119-124</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Bowman. A.K </w:t>
      </w:r>
      <w:r>
        <w:rPr>
          <w:rFonts w:hAnsi="Times New Roman" w:hint="default"/>
          <w:sz w:val="22"/>
          <w:szCs w:val="22"/>
          <w:rtl w:val="0"/>
          <w:lang w:val="en-US"/>
        </w:rPr>
        <w:t>‘</w:t>
      </w:r>
      <w:r>
        <w:rPr>
          <w:rFonts w:ascii="Times New Roman"/>
          <w:sz w:val="22"/>
          <w:szCs w:val="22"/>
          <w:rtl w:val="0"/>
          <w:lang w:val="en-US"/>
        </w:rPr>
        <w:t>Life and letters on the Roman frontier</w:t>
      </w:r>
      <w:r>
        <w:rPr>
          <w:rFonts w:hAnsi="Times New Roman" w:hint="default"/>
          <w:sz w:val="22"/>
          <w:szCs w:val="22"/>
          <w:rtl w:val="0"/>
          <w:lang w:val="en-US"/>
        </w:rPr>
        <w:t xml:space="preserve">’ </w:t>
      </w:r>
      <w:r>
        <w:rPr>
          <w:rFonts w:ascii="Times New Roman"/>
          <w:sz w:val="22"/>
          <w:szCs w:val="22"/>
          <w:rtl w:val="0"/>
          <w:lang w:val="en-US"/>
        </w:rPr>
        <w:t>1994 British Museum Press</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Breeze. D.J and Dobson. B </w:t>
      </w:r>
      <w:r>
        <w:rPr>
          <w:rFonts w:hAnsi="Times New Roman" w:hint="default"/>
          <w:sz w:val="22"/>
          <w:szCs w:val="22"/>
          <w:rtl w:val="0"/>
          <w:lang w:val="en-US"/>
        </w:rPr>
        <w:t>‘</w:t>
      </w:r>
      <w:r>
        <w:rPr>
          <w:rFonts w:ascii="Times New Roman"/>
          <w:sz w:val="22"/>
          <w:szCs w:val="22"/>
          <w:rtl w:val="0"/>
          <w:lang w:val="en-US"/>
        </w:rPr>
        <w:t>Hadrian</w:t>
      </w:r>
      <w:r>
        <w:rPr>
          <w:rFonts w:hAnsi="Times New Roman" w:hint="default"/>
          <w:sz w:val="22"/>
          <w:szCs w:val="22"/>
          <w:rtl w:val="0"/>
          <w:lang w:val="en-US"/>
        </w:rPr>
        <w:t>’</w:t>
      </w:r>
      <w:r>
        <w:rPr>
          <w:rFonts w:ascii="Times New Roman"/>
          <w:sz w:val="22"/>
          <w:szCs w:val="22"/>
          <w:rtl w:val="0"/>
          <w:lang w:val="en-US"/>
        </w:rPr>
        <w:t>s Wall</w:t>
      </w:r>
      <w:r>
        <w:rPr>
          <w:rFonts w:hAnsi="Times New Roman" w:hint="default"/>
          <w:sz w:val="22"/>
          <w:szCs w:val="22"/>
          <w:rtl w:val="0"/>
          <w:lang w:val="en-US"/>
        </w:rPr>
        <w:t xml:space="preserve">’ </w:t>
      </w:r>
      <w:r>
        <w:rPr>
          <w:rFonts w:ascii="Times New Roman"/>
          <w:sz w:val="22"/>
          <w:szCs w:val="22"/>
          <w:rtl w:val="0"/>
          <w:lang w:val="en-US"/>
        </w:rPr>
        <w:t>1976 Allen Lane Publishing</w:t>
      </w:r>
    </w:p>
    <w:p>
      <w:pPr>
        <w:pStyle w:val="Body"/>
        <w:jc w:val="both"/>
        <w:rPr>
          <w:rFonts w:ascii="Times New Roman" w:cs="Times New Roman" w:hAnsi="Times New Roman" w:eastAsia="Times New Roman"/>
          <w:sz w:val="22"/>
          <w:szCs w:val="22"/>
          <w:rtl w:val="0"/>
        </w:rPr>
      </w:pPr>
      <w:r>
        <w:rPr>
          <w:rFonts w:ascii="Times New Roman"/>
          <w:sz w:val="22"/>
          <w:szCs w:val="22"/>
          <w:rtl w:val="0"/>
          <w:lang w:val="en-US"/>
        </w:rPr>
        <w:t xml:space="preserve">Champion.C.B </w:t>
      </w:r>
      <w:r>
        <w:rPr>
          <w:rFonts w:hAnsi="Times New Roman" w:hint="default"/>
          <w:sz w:val="22"/>
          <w:szCs w:val="22"/>
          <w:rtl w:val="0"/>
          <w:lang w:val="en-US"/>
        </w:rPr>
        <w:t>‘</w:t>
      </w:r>
      <w:r>
        <w:rPr>
          <w:rFonts w:ascii="Times New Roman"/>
          <w:sz w:val="22"/>
          <w:szCs w:val="22"/>
          <w:rtl w:val="0"/>
          <w:lang w:val="en-US"/>
        </w:rPr>
        <w:t>Roman Imperialism; Readings and Sources</w:t>
      </w:r>
      <w:r>
        <w:rPr>
          <w:rFonts w:hAnsi="Times New Roman" w:hint="default"/>
          <w:sz w:val="22"/>
          <w:szCs w:val="22"/>
          <w:rtl w:val="0"/>
          <w:lang w:val="en-US"/>
        </w:rPr>
        <w:t xml:space="preserve">’ </w:t>
      </w:r>
      <w:r>
        <w:rPr>
          <w:rFonts w:ascii="Times New Roman"/>
          <w:sz w:val="22"/>
          <w:szCs w:val="22"/>
          <w:rtl w:val="0"/>
          <w:lang w:val="en-US"/>
        </w:rPr>
        <w:t xml:space="preserve">2004 Blackwell Publishing </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Davidson. </w:t>
      </w:r>
      <w:r>
        <w:rPr>
          <w:rFonts w:ascii="Times New Roman"/>
          <w:sz w:val="22"/>
          <w:szCs w:val="22"/>
          <w:rtl w:val="0"/>
          <w:lang w:val="sv-SE"/>
        </w:rPr>
        <w:t>David P</w:t>
      </w:r>
      <w:r>
        <w:rPr>
          <w:rFonts w:hAnsi="Times New Roman" w:hint="default"/>
          <w:sz w:val="22"/>
          <w:szCs w:val="22"/>
          <w:rtl w:val="0"/>
          <w:lang w:val="en-US"/>
        </w:rPr>
        <w:t xml:space="preserve"> ‘</w:t>
      </w:r>
      <w:r>
        <w:rPr>
          <w:rFonts w:ascii="Times New Roman"/>
          <w:sz w:val="22"/>
          <w:szCs w:val="22"/>
          <w:rtl w:val="0"/>
          <w:lang w:val="en-US"/>
        </w:rPr>
        <w:t>The Barracks of the roman army from the 1st century to the 3rd century AD</w:t>
      </w:r>
      <w:r>
        <w:rPr>
          <w:rFonts w:hAnsi="Times New Roman" w:hint="default"/>
          <w:sz w:val="22"/>
          <w:szCs w:val="22"/>
          <w:rtl w:val="0"/>
          <w:lang w:val="en-US"/>
        </w:rPr>
        <w:t xml:space="preserve">’ </w:t>
      </w:r>
      <w:r>
        <w:rPr>
          <w:rFonts w:ascii="Times New Roman"/>
          <w:sz w:val="22"/>
          <w:szCs w:val="22"/>
          <w:rtl w:val="0"/>
          <w:lang w:val="en-US"/>
        </w:rPr>
        <w:t>Bar Intrnational series 247 1989</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Edmondson. J. C. </w:t>
      </w:r>
      <w:r>
        <w:rPr>
          <w:rFonts w:hAnsi="Times New Roman" w:hint="default"/>
          <w:sz w:val="22"/>
          <w:szCs w:val="22"/>
          <w:rtl w:val="0"/>
          <w:lang w:val="en-US"/>
        </w:rPr>
        <w:t>‘</w:t>
      </w:r>
      <w:r>
        <w:rPr>
          <w:rFonts w:ascii="Times New Roman"/>
          <w:sz w:val="22"/>
          <w:szCs w:val="22"/>
          <w:rtl w:val="0"/>
          <w:lang w:val="en-US"/>
        </w:rPr>
        <w:t>Mining in the Later Roman Empire and beyond: Continuity or Disruption?</w:t>
      </w:r>
      <w:r>
        <w:rPr>
          <w:rFonts w:hAnsi="Times New Roman" w:hint="default"/>
          <w:sz w:val="22"/>
          <w:szCs w:val="22"/>
          <w:rtl w:val="0"/>
          <w:lang w:val="en-US"/>
        </w:rPr>
        <w:t xml:space="preserve">’ </w:t>
      </w:r>
      <w:r>
        <w:rPr>
          <w:rFonts w:ascii="Times New Roman"/>
          <w:sz w:val="22"/>
          <w:szCs w:val="22"/>
          <w:rtl w:val="0"/>
          <w:lang w:val="en-US"/>
        </w:rPr>
        <w:t>The Journal of Roman Studies Vol. 79 (1989), pp. 84-102</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 Erdkamp. P </w:t>
      </w:r>
      <w:r>
        <w:rPr>
          <w:rFonts w:hAnsi="Times New Roman" w:hint="default"/>
          <w:sz w:val="22"/>
          <w:szCs w:val="22"/>
          <w:rtl w:val="0"/>
          <w:lang w:val="en-US"/>
        </w:rPr>
        <w:t>‘</w:t>
      </w:r>
      <w:r>
        <w:rPr>
          <w:rFonts w:ascii="Times New Roman"/>
          <w:sz w:val="22"/>
          <w:szCs w:val="22"/>
          <w:rtl w:val="0"/>
          <w:lang w:val="en-US"/>
        </w:rPr>
        <w:t>A Companion to the Roman Army</w:t>
      </w:r>
      <w:r>
        <w:rPr>
          <w:rFonts w:hAnsi="Times New Roman" w:hint="default"/>
          <w:sz w:val="22"/>
          <w:szCs w:val="22"/>
          <w:rtl w:val="0"/>
          <w:lang w:val="en-US"/>
        </w:rPr>
        <w:t xml:space="preserve">’ </w:t>
      </w:r>
      <w:r>
        <w:rPr>
          <w:rFonts w:ascii="Times New Roman"/>
          <w:sz w:val="22"/>
          <w:szCs w:val="22"/>
          <w:rtl w:val="0"/>
          <w:lang w:val="nl-NL"/>
        </w:rPr>
        <w:t>2008 Blackwell</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Erdkamp. P </w:t>
      </w:r>
      <w:r>
        <w:rPr>
          <w:rFonts w:hAnsi="Times New Roman" w:hint="default"/>
          <w:sz w:val="22"/>
          <w:szCs w:val="22"/>
          <w:rtl w:val="0"/>
          <w:lang w:val="en-US"/>
        </w:rPr>
        <w:t>‘</w:t>
      </w:r>
      <w:r>
        <w:rPr>
          <w:rFonts w:ascii="Times New Roman"/>
          <w:sz w:val="22"/>
          <w:szCs w:val="22"/>
          <w:rtl w:val="0"/>
          <w:lang w:val="en-US"/>
        </w:rPr>
        <w:t>The Corn Supply of the Roman Armies during the Third and Second Centuries</w:t>
      </w:r>
      <w:r>
        <w:rPr>
          <w:rFonts w:hAnsi="Times New Roman" w:hint="default"/>
          <w:sz w:val="22"/>
          <w:szCs w:val="22"/>
          <w:rtl w:val="0"/>
          <w:lang w:val="en-US"/>
        </w:rPr>
        <w:t xml:space="preserve">’ </w:t>
      </w:r>
      <w:r>
        <w:rPr>
          <w:rFonts w:ascii="Times New Roman"/>
          <w:sz w:val="22"/>
          <w:szCs w:val="22"/>
          <w:rtl w:val="0"/>
          <w:lang w:val="de-DE"/>
        </w:rPr>
        <w:t>Historia: Zeitschrift f</w:t>
      </w:r>
      <w:r>
        <w:rPr>
          <w:rFonts w:hAnsi="Times New Roman" w:hint="default"/>
          <w:sz w:val="22"/>
          <w:szCs w:val="22"/>
          <w:rtl w:val="0"/>
          <w:lang w:val="en-US"/>
        </w:rPr>
        <w:t>ü</w:t>
      </w:r>
      <w:r>
        <w:rPr>
          <w:rFonts w:ascii="Times New Roman"/>
          <w:sz w:val="22"/>
          <w:szCs w:val="22"/>
          <w:rtl w:val="0"/>
          <w:lang w:val="de-DE"/>
        </w:rPr>
        <w:t>r Alte Geschichte Bd. 44, H. 2 (2nd Qtr., 1995), pp. 168-191</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Goldsworthy. A.K </w:t>
      </w:r>
      <w:r>
        <w:rPr>
          <w:rFonts w:hAnsi="Times New Roman" w:hint="default"/>
          <w:sz w:val="22"/>
          <w:szCs w:val="22"/>
          <w:rtl w:val="0"/>
          <w:lang w:val="en-US"/>
        </w:rPr>
        <w:t>‘</w:t>
      </w:r>
      <w:r>
        <w:rPr>
          <w:rFonts w:ascii="Times New Roman"/>
          <w:sz w:val="22"/>
          <w:szCs w:val="22"/>
          <w:rtl w:val="0"/>
          <w:lang w:val="en-US"/>
        </w:rPr>
        <w:t>The Roman Army at war:100BC- AD200</w:t>
      </w:r>
      <w:r>
        <w:rPr>
          <w:rFonts w:hAnsi="Times New Roman" w:hint="default"/>
          <w:sz w:val="22"/>
          <w:szCs w:val="22"/>
          <w:rtl w:val="0"/>
          <w:lang w:val="en-US"/>
        </w:rPr>
        <w:t xml:space="preserve">’ </w:t>
      </w:r>
      <w:r>
        <w:rPr>
          <w:rFonts w:ascii="Times New Roman"/>
          <w:sz w:val="22"/>
          <w:szCs w:val="22"/>
          <w:rtl w:val="0"/>
          <w:lang w:val="en-US"/>
        </w:rPr>
        <w:t>Claredon press, Oxford 1996</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Hardt. M and Negri.A </w:t>
      </w:r>
      <w:r>
        <w:rPr>
          <w:rFonts w:hAnsi="Times New Roman" w:hint="default"/>
          <w:sz w:val="22"/>
          <w:szCs w:val="22"/>
          <w:rtl w:val="0"/>
          <w:lang w:val="en-US"/>
        </w:rPr>
        <w:t>‘</w:t>
      </w:r>
      <w:r>
        <w:rPr>
          <w:rFonts w:ascii="Times New Roman"/>
          <w:sz w:val="22"/>
          <w:szCs w:val="22"/>
          <w:rtl w:val="0"/>
          <w:lang w:val="en-US"/>
        </w:rPr>
        <w:t>Empire</w:t>
      </w:r>
      <w:r>
        <w:rPr>
          <w:rFonts w:hAnsi="Times New Roman" w:hint="default"/>
          <w:sz w:val="22"/>
          <w:szCs w:val="22"/>
          <w:rtl w:val="0"/>
          <w:lang w:val="en-US"/>
        </w:rPr>
        <w:t xml:space="preserve">’ </w:t>
      </w:r>
      <w:r>
        <w:rPr>
          <w:rFonts w:ascii="Times New Roman"/>
          <w:sz w:val="22"/>
          <w:szCs w:val="22"/>
          <w:rtl w:val="0"/>
          <w:lang w:val="en-US"/>
        </w:rPr>
        <w:t>2000 Harvard University Press</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Hoyos. D </w:t>
      </w:r>
      <w:r>
        <w:rPr>
          <w:rFonts w:hAnsi="Times New Roman" w:hint="default"/>
          <w:sz w:val="22"/>
          <w:szCs w:val="22"/>
          <w:rtl w:val="0"/>
          <w:lang w:val="en-US"/>
        </w:rPr>
        <w:t>‘</w:t>
      </w:r>
      <w:r>
        <w:rPr>
          <w:rFonts w:ascii="Times New Roman"/>
          <w:sz w:val="22"/>
          <w:szCs w:val="22"/>
          <w:rtl w:val="0"/>
          <w:lang w:val="en-US"/>
        </w:rPr>
        <w:t>Roman Imperialism:</w:t>
      </w:r>
      <w:r>
        <w:rPr>
          <w:rFonts w:ascii="Times New Roman"/>
          <w:sz w:val="22"/>
          <w:szCs w:val="22"/>
          <w:rtl w:val="0"/>
          <w:lang w:val="en-US"/>
        </w:rPr>
        <w:t>A Concise History of the Rise and Expansion of Ancient Rome</w:t>
      </w:r>
      <w:r>
        <w:rPr>
          <w:rFonts w:hAnsi="Times New Roman" w:hint="default"/>
          <w:sz w:val="22"/>
          <w:szCs w:val="22"/>
          <w:rtl w:val="0"/>
          <w:lang w:val="en-US"/>
        </w:rPr>
        <w:t xml:space="preserve">’ </w:t>
      </w:r>
      <w:r>
        <w:rPr>
          <w:rFonts w:ascii="Times New Roman"/>
          <w:sz w:val="22"/>
          <w:szCs w:val="22"/>
          <w:rtl w:val="0"/>
          <w:lang w:val="en-US"/>
        </w:rPr>
        <w:t xml:space="preserve">2013 </w:t>
      </w:r>
      <w:r>
        <w:rPr>
          <w:rFonts w:ascii="Times New Roman"/>
          <w:sz w:val="22"/>
          <w:szCs w:val="22"/>
          <w:rtl w:val="0"/>
          <w:lang w:val="en-US"/>
        </w:rPr>
        <w:t>I.B.Tauris</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Kooistra L.I </w:t>
      </w:r>
      <w:r>
        <w:rPr>
          <w:rFonts w:hAnsi="Times New Roman" w:hint="default"/>
          <w:sz w:val="22"/>
          <w:szCs w:val="22"/>
          <w:rtl w:val="0"/>
          <w:lang w:val="en-US"/>
        </w:rPr>
        <w:t>‘</w:t>
      </w:r>
      <w:r>
        <w:rPr>
          <w:rFonts w:ascii="Times New Roman"/>
          <w:sz w:val="22"/>
          <w:szCs w:val="22"/>
          <w:rtl w:val="0"/>
          <w:lang w:val="en-US"/>
        </w:rPr>
        <w:t>Could the local population of the lower Rhine delta sustain the Roman Army?</w:t>
      </w:r>
      <w:r>
        <w:rPr>
          <w:rFonts w:hAnsi="Times New Roman" w:hint="default"/>
          <w:sz w:val="22"/>
          <w:szCs w:val="22"/>
          <w:rtl w:val="0"/>
          <w:lang w:val="fr-FR"/>
        </w:rPr>
        <w:t>’</w:t>
      </w:r>
      <w:r>
        <w:rPr>
          <w:rFonts w:ascii="Times New Roman"/>
          <w:sz w:val="22"/>
          <w:szCs w:val="22"/>
          <w:rtl w:val="0"/>
          <w:lang w:val="en-US"/>
        </w:rPr>
        <w:t xml:space="preserve"> 2013 Part 1: The archaeological and historical framework, : Journal of Archaeology in the Low Countries. </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Luttwak. E.N </w:t>
      </w:r>
      <w:r>
        <w:rPr>
          <w:rFonts w:hAnsi="Times New Roman" w:hint="default"/>
          <w:sz w:val="22"/>
          <w:szCs w:val="22"/>
          <w:rtl w:val="0"/>
          <w:lang w:val="en-US"/>
        </w:rPr>
        <w:t>‘</w:t>
      </w:r>
      <w:r>
        <w:rPr>
          <w:rFonts w:ascii="Times New Roman"/>
          <w:sz w:val="22"/>
          <w:szCs w:val="22"/>
          <w:rtl w:val="0"/>
          <w:lang w:val="en-US"/>
        </w:rPr>
        <w:t>The Grand Strategy of the Roman Empire</w:t>
      </w:r>
      <w:r>
        <w:rPr>
          <w:rFonts w:hAnsi="Times New Roman" w:hint="default"/>
          <w:sz w:val="22"/>
          <w:szCs w:val="22"/>
          <w:rtl w:val="0"/>
          <w:lang w:val="en-US"/>
        </w:rPr>
        <w:t xml:space="preserve">’ </w:t>
      </w:r>
      <w:r>
        <w:rPr>
          <w:rFonts w:ascii="Times New Roman"/>
          <w:sz w:val="22"/>
          <w:szCs w:val="22"/>
          <w:rtl w:val="0"/>
          <w:lang w:val="en-US"/>
        </w:rPr>
        <w:t>1976 John Hopkins University Press</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Okun. M.L </w:t>
      </w:r>
      <w:r>
        <w:rPr>
          <w:rFonts w:hAnsi="Times New Roman" w:hint="default"/>
          <w:sz w:val="22"/>
          <w:szCs w:val="22"/>
          <w:rtl w:val="0"/>
          <w:lang w:val="en-US"/>
        </w:rPr>
        <w:t>‘</w:t>
      </w:r>
      <w:r>
        <w:rPr>
          <w:rFonts w:ascii="Times New Roman"/>
          <w:sz w:val="22"/>
          <w:szCs w:val="22"/>
          <w:rtl w:val="0"/>
          <w:lang w:val="en-US"/>
        </w:rPr>
        <w:t>The early Roman Frontier in the upper Rhine area; assimilation and acculturation on a Roman frontier</w:t>
      </w:r>
      <w:r>
        <w:rPr>
          <w:rFonts w:hAnsi="Times New Roman" w:hint="default"/>
          <w:sz w:val="22"/>
          <w:szCs w:val="22"/>
          <w:rtl w:val="0"/>
          <w:lang w:val="en-US"/>
        </w:rPr>
        <w:t xml:space="preserve">’ </w:t>
      </w:r>
      <w:r>
        <w:rPr>
          <w:rFonts w:ascii="Times New Roman"/>
          <w:sz w:val="22"/>
          <w:szCs w:val="22"/>
          <w:rtl w:val="0"/>
          <w:lang w:val="en-US"/>
        </w:rPr>
        <w:t>British Archaeological Record, International series 547 1989</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Potter. D </w:t>
      </w:r>
      <w:r>
        <w:rPr>
          <w:rFonts w:hAnsi="Times New Roman" w:hint="default"/>
          <w:sz w:val="22"/>
          <w:szCs w:val="22"/>
          <w:rtl w:val="0"/>
          <w:lang w:val="en-US"/>
        </w:rPr>
        <w:t>‘</w:t>
      </w:r>
      <w:r>
        <w:rPr>
          <w:rFonts w:ascii="Times New Roman"/>
          <w:sz w:val="22"/>
          <w:szCs w:val="22"/>
          <w:rtl w:val="0"/>
          <w:lang w:val="en-US"/>
        </w:rPr>
        <w:t>Empty areas and Roman frontier policy</w:t>
      </w:r>
      <w:r>
        <w:rPr>
          <w:rFonts w:hAnsi="Times New Roman" w:hint="default"/>
          <w:sz w:val="22"/>
          <w:szCs w:val="22"/>
          <w:rtl w:val="0"/>
          <w:lang w:val="en-US"/>
        </w:rPr>
        <w:t xml:space="preserve">’ </w:t>
      </w:r>
      <w:r>
        <w:rPr>
          <w:rFonts w:ascii="Times New Roman"/>
          <w:sz w:val="22"/>
          <w:szCs w:val="22"/>
          <w:rtl w:val="0"/>
          <w:lang w:val="en-US"/>
        </w:rPr>
        <w:t>The American Journal of Philology, Vol. 113, No. 2 (Summer, 1992), pp. 269-274</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Shepard. R </w:t>
      </w:r>
      <w:r>
        <w:rPr>
          <w:rFonts w:hAnsi="Times New Roman" w:hint="default"/>
          <w:sz w:val="22"/>
          <w:szCs w:val="22"/>
          <w:rtl w:val="0"/>
          <w:lang w:val="en-US"/>
        </w:rPr>
        <w:t>‘</w:t>
      </w:r>
      <w:r>
        <w:rPr>
          <w:rFonts w:ascii="Times New Roman"/>
          <w:sz w:val="22"/>
          <w:szCs w:val="22"/>
          <w:rtl w:val="0"/>
          <w:lang w:val="en-US"/>
        </w:rPr>
        <w:t>Ancient Mining</w:t>
      </w:r>
      <w:r>
        <w:rPr>
          <w:rFonts w:hAnsi="Times New Roman" w:hint="default"/>
          <w:sz w:val="22"/>
          <w:szCs w:val="22"/>
          <w:rtl w:val="0"/>
          <w:lang w:val="en-US"/>
        </w:rPr>
        <w:t xml:space="preserve">’ </w:t>
      </w:r>
      <w:r>
        <w:rPr>
          <w:rFonts w:ascii="Times New Roman"/>
          <w:sz w:val="22"/>
          <w:szCs w:val="22"/>
          <w:rtl w:val="0"/>
          <w:lang w:val="en-US"/>
        </w:rPr>
        <w:t>Institute of Mining and Metallurgy 1993</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Visser M. R </w:t>
      </w:r>
      <w:r>
        <w:rPr>
          <w:rFonts w:hAnsi="Times New Roman" w:hint="default"/>
          <w:sz w:val="22"/>
          <w:szCs w:val="22"/>
          <w:rtl w:val="0"/>
          <w:lang w:val="en-US"/>
        </w:rPr>
        <w:t>‘</w:t>
      </w:r>
      <w:r>
        <w:rPr>
          <w:rFonts w:ascii="Times New Roman"/>
          <w:sz w:val="22"/>
          <w:szCs w:val="22"/>
          <w:rtl w:val="0"/>
          <w:lang w:val="en-US"/>
        </w:rPr>
        <w:t>Imperial timber? Dendrochronological evidence for large-scale road building along the Roman limes in the Netherlands</w:t>
      </w:r>
      <w:r>
        <w:rPr>
          <w:rFonts w:hAnsi="Times New Roman" w:hint="default"/>
          <w:sz w:val="22"/>
          <w:szCs w:val="22"/>
          <w:rtl w:val="0"/>
          <w:lang w:val="en-US"/>
        </w:rPr>
        <w:t xml:space="preserve">’ </w:t>
      </w:r>
      <w:r>
        <w:rPr>
          <w:rFonts w:ascii="Times New Roman"/>
          <w:sz w:val="22"/>
          <w:szCs w:val="22"/>
          <w:rtl w:val="0"/>
          <w:lang w:val="en-US"/>
        </w:rPr>
        <w:t>Journal of Archaeological Science Volume 53, January 2015, Pages 243</w:t>
      </w:r>
      <w:r>
        <w:rPr>
          <w:rFonts w:hAnsi="Times New Roman" w:hint="default"/>
          <w:sz w:val="22"/>
          <w:szCs w:val="22"/>
          <w:rtl w:val="0"/>
          <w:lang w:val="en-US"/>
        </w:rPr>
        <w:t>–</w:t>
      </w:r>
      <w:r>
        <w:rPr>
          <w:rFonts w:ascii="Times New Roman"/>
          <w:sz w:val="22"/>
          <w:szCs w:val="22"/>
          <w:rtl w:val="0"/>
          <w:lang w:val="en-US"/>
        </w:rPr>
        <w:t>254</w:t>
      </w:r>
    </w:p>
    <w:p>
      <w:pPr>
        <w:pStyle w:val="Body A"/>
        <w:spacing w:line="240" w:lineRule="auto"/>
        <w:ind w:firstLine="0"/>
        <w:jc w:val="both"/>
        <w:rPr>
          <w:rFonts w:ascii="Times New Roman" w:cs="Times New Roman" w:hAnsi="Times New Roman" w:eastAsia="Times New Roman"/>
          <w:sz w:val="22"/>
          <w:szCs w:val="22"/>
        </w:rPr>
      </w:pPr>
    </w:p>
    <w:p>
      <w:pPr>
        <w:pStyle w:val="Body A"/>
        <w:spacing w:line="240" w:lineRule="auto"/>
        <w:ind w:firstLine="0"/>
        <w:jc w:val="both"/>
        <w:rPr>
          <w:rFonts w:ascii="Times New Roman" w:cs="Times New Roman" w:hAnsi="Times New Roman" w:eastAsia="Times New Roman"/>
          <w:sz w:val="22"/>
          <w:szCs w:val="22"/>
        </w:rPr>
      </w:pPr>
      <w:r>
        <w:rPr>
          <w:rFonts w:ascii="Times New Roman"/>
          <w:sz w:val="22"/>
          <w:szCs w:val="22"/>
          <w:rtl w:val="0"/>
          <w:lang w:val="en-US"/>
        </w:rPr>
        <w:t xml:space="preserve">Whittaker. C.R </w:t>
      </w:r>
      <w:r>
        <w:rPr>
          <w:rFonts w:hAnsi="Times New Roman" w:hint="default"/>
          <w:sz w:val="22"/>
          <w:szCs w:val="22"/>
          <w:rtl w:val="0"/>
          <w:lang w:val="en-US"/>
        </w:rPr>
        <w:t>‘</w:t>
      </w:r>
      <w:r>
        <w:rPr>
          <w:rFonts w:ascii="Times New Roman"/>
          <w:sz w:val="22"/>
          <w:szCs w:val="22"/>
          <w:rtl w:val="0"/>
          <w:lang w:val="en-US"/>
        </w:rPr>
        <w:t>Rome and its Frontiers</w:t>
      </w:r>
      <w:r>
        <w:rPr>
          <w:rFonts w:hAnsi="Times New Roman" w:hint="default"/>
          <w:sz w:val="22"/>
          <w:szCs w:val="22"/>
          <w:rtl w:val="0"/>
          <w:lang w:val="en-US"/>
        </w:rPr>
        <w:t xml:space="preserve">’ </w:t>
      </w:r>
      <w:r>
        <w:rPr>
          <w:rFonts w:ascii="Times New Roman"/>
          <w:sz w:val="22"/>
          <w:szCs w:val="22"/>
          <w:rtl w:val="0"/>
          <w:lang w:val="en-US"/>
        </w:rPr>
        <w:t>2004 Routledge</w:t>
      </w:r>
    </w:p>
    <w:p>
      <w:pPr>
        <w:pStyle w:val="Body"/>
        <w:jc w:val="both"/>
        <w:rPr>
          <w:rFonts w:ascii="Times New Roman" w:cs="Times New Roman" w:hAnsi="Times New Roman" w:eastAsia="Times New Roman"/>
        </w:rPr>
      </w:pPr>
    </w:p>
    <w:p>
      <w:pPr>
        <w:pStyle w:val="Body"/>
        <w:jc w:val="both"/>
      </w:pPr>
      <w:r>
        <w:rPr>
          <w:rFonts w:ascii="Times New Roman" w:cs="Times New Roman" w:hAnsi="Times New Roman" w:eastAsia="Times New Roman"/>
        </w:rPr>
      </w:r>
    </w:p>
    <w:sectPr>
      <w:headerReference w:type="default" r:id="rId4"/>
      <w:footerReference w:type="default" r:id="rId5"/>
      <w:pgSz w:w="11900" w:h="16840" w:orient="portrait"/>
      <w:pgMar w:top="1598" w:right="1240" w:bottom="1440" w:left="12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710"/>
        <w:tab w:val="right" w:pos="9420"/>
        <w:tab w:val="clear" w:pos="9020"/>
      </w:tabs>
      <w:jc w:val="left"/>
    </w:pPr>
    <w:r>
      <w:rPr/>
      <w:fldChar w:fldCharType="begin" w:fldLock="0"/>
    </w:r>
    <w:r>
      <w:t xml:space="preserve"> PAGE </w:t>
    </w:r>
    <w:r>
      <w:rPr/>
      <w:fldChar w:fldCharType="separate" w:fldLock="0"/>
    </w:r>
    <w:r>
      <w:t>6</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2">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3">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4">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5">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6">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7">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8">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9">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0">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1">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2">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3">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4">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5">
    <w:multiLevelType w:val="multilevel"/>
    <w:styleLink w:val="Bullet"/>
    <w:lvl w:ilvl="0">
      <w:start w:val="1"/>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0"/>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6">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7">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abstractNum w:abstractNumId="18">
    <w:multiLevelType w:val="multilevel"/>
    <w:styleLink w:val="Bullet"/>
    <w:lvl w:ilvl="0">
      <w:start w:val="0"/>
      <w:numFmt w:val="bullet"/>
      <w:suff w:val="tab"/>
      <w:lvlText w:val="•"/>
      <w:lvlJc w:val="left"/>
      <w:pPr>
        <w:tabs>
          <w:tab w:val="num" w:pos="196"/>
          <w:tab w:val="clear" w:pos="0"/>
        </w:tabs>
        <w:ind w:left="196" w:hanging="196"/>
      </w:pPr>
      <w:rPr>
        <w:rFonts w:ascii="Times New Roman" w:cs="Times New Roman" w:hAnsi="Times New Roman" w:eastAsia="Times New Roman"/>
        <w:position w:val="-2"/>
      </w:rPr>
    </w:lvl>
    <w:lvl w:ilvl="1">
      <w:start w:val="1"/>
      <w:numFmt w:val="bullet"/>
      <w:suff w:val="tab"/>
      <w:lvlText w:val="•"/>
      <w:lvlJc w:val="left"/>
      <w:pPr>
        <w:tabs>
          <w:tab w:val="num" w:pos="376"/>
          <w:tab w:val="clear" w:pos="0"/>
        </w:tabs>
        <w:ind w:left="376" w:hanging="196"/>
      </w:pPr>
      <w:rPr>
        <w:rFonts w:ascii="Times New Roman" w:cs="Times New Roman" w:hAnsi="Times New Roman" w:eastAsia="Times New Roman"/>
        <w:position w:val="-2"/>
      </w:rPr>
    </w:lvl>
    <w:lvl w:ilvl="2">
      <w:start w:val="1"/>
      <w:numFmt w:val="bullet"/>
      <w:suff w:val="tab"/>
      <w:lvlText w:val="•"/>
      <w:lvlJc w:val="left"/>
      <w:pPr>
        <w:tabs>
          <w:tab w:val="num" w:pos="556"/>
          <w:tab w:val="clear" w:pos="0"/>
        </w:tabs>
        <w:ind w:left="556" w:hanging="196"/>
      </w:pPr>
      <w:rPr>
        <w:rFonts w:ascii="Times New Roman" w:cs="Times New Roman" w:hAnsi="Times New Roman" w:eastAsia="Times New Roman"/>
        <w:position w:val="-2"/>
      </w:rPr>
    </w:lvl>
    <w:lvl w:ilvl="3">
      <w:start w:val="1"/>
      <w:numFmt w:val="bullet"/>
      <w:suff w:val="tab"/>
      <w:lvlText w:val="•"/>
      <w:lvlJc w:val="left"/>
      <w:pPr>
        <w:tabs>
          <w:tab w:val="num" w:pos="736"/>
          <w:tab w:val="clear" w:pos="0"/>
        </w:tabs>
        <w:ind w:left="736" w:hanging="196"/>
      </w:pPr>
      <w:rPr>
        <w:rFonts w:ascii="Times New Roman" w:cs="Times New Roman" w:hAnsi="Times New Roman" w:eastAsia="Times New Roman"/>
        <w:position w:val="-2"/>
      </w:rPr>
    </w:lvl>
    <w:lvl w:ilvl="4">
      <w:start w:val="1"/>
      <w:numFmt w:val="bullet"/>
      <w:suff w:val="tab"/>
      <w:lvlText w:val="•"/>
      <w:lvlJc w:val="left"/>
      <w:pPr>
        <w:tabs>
          <w:tab w:val="num" w:pos="916"/>
          <w:tab w:val="clear" w:pos="0"/>
        </w:tabs>
        <w:ind w:left="916" w:hanging="196"/>
      </w:pPr>
      <w:rPr>
        <w:rFonts w:ascii="Times New Roman" w:cs="Times New Roman" w:hAnsi="Times New Roman" w:eastAsia="Times New Roman"/>
        <w:position w:val="-2"/>
      </w:rPr>
    </w:lvl>
    <w:lvl w:ilvl="5">
      <w:start w:val="1"/>
      <w:numFmt w:val="bullet"/>
      <w:suff w:val="tab"/>
      <w:lvlText w:val="•"/>
      <w:lvlJc w:val="left"/>
      <w:pPr>
        <w:tabs>
          <w:tab w:val="num" w:pos="1096"/>
          <w:tab w:val="clear" w:pos="0"/>
        </w:tabs>
        <w:ind w:left="1096" w:hanging="196"/>
      </w:pPr>
      <w:rPr>
        <w:rFonts w:ascii="Times New Roman" w:cs="Times New Roman" w:hAnsi="Times New Roman" w:eastAsia="Times New Roman"/>
        <w:position w:val="-2"/>
      </w:rPr>
    </w:lvl>
    <w:lvl w:ilvl="6">
      <w:start w:val="1"/>
      <w:numFmt w:val="bullet"/>
      <w:suff w:val="tab"/>
      <w:lvlText w:val="•"/>
      <w:lvlJc w:val="left"/>
      <w:pPr>
        <w:tabs>
          <w:tab w:val="num" w:pos="1276"/>
          <w:tab w:val="clear" w:pos="0"/>
        </w:tabs>
        <w:ind w:left="1276" w:hanging="196"/>
      </w:pPr>
      <w:rPr>
        <w:rFonts w:ascii="Times New Roman" w:cs="Times New Roman" w:hAnsi="Times New Roman" w:eastAsia="Times New Roman"/>
        <w:position w:val="-2"/>
      </w:rPr>
    </w:lvl>
    <w:lvl w:ilvl="7">
      <w:start w:val="1"/>
      <w:numFmt w:val="bullet"/>
      <w:suff w:val="tab"/>
      <w:lvlText w:val="•"/>
      <w:lvlJc w:val="left"/>
      <w:pPr>
        <w:tabs>
          <w:tab w:val="num" w:pos="1456"/>
          <w:tab w:val="clear" w:pos="0"/>
        </w:tabs>
        <w:ind w:left="1456" w:hanging="196"/>
      </w:pPr>
      <w:rPr>
        <w:rFonts w:ascii="Times New Roman" w:cs="Times New Roman" w:hAnsi="Times New Roman" w:eastAsia="Times New Roman"/>
        <w:position w:val="-2"/>
      </w:rPr>
    </w:lvl>
    <w:lvl w:ilvl="8">
      <w:start w:val="1"/>
      <w:numFmt w:val="bullet"/>
      <w:suff w:val="tab"/>
      <w:lvlText w:val="•"/>
      <w:lvlJc w:val="left"/>
      <w:pPr>
        <w:tabs>
          <w:tab w:val="num" w:pos="1636"/>
          <w:tab w:val="clear" w:pos="0"/>
        </w:tabs>
        <w:ind w:left="1636" w:hanging="196"/>
      </w:pPr>
      <w:rPr>
        <w:rFonts w:ascii="Times New Roman" w:cs="Times New Roman" w:hAnsi="Times New Roman" w:eastAsia="Times New Roman"/>
        <w:position w:val="-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Subject">
    <w:name w:val="Subject"/>
    <w:next w:val="Body"/>
    <w:pPr>
      <w:keepNext w:val="1"/>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Bullet">
    <w:name w:val="Bullet"/>
    <w:next w:val="Bullet"/>
    <w:pPr>
      <w:numPr>
        <w:numId w:val="1"/>
      </w:numPr>
    </w:p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360" w:lineRule="auto"/>
      <w:ind w:left="0" w:right="0" w:firstLine="540"/>
      <w:jc w:val="left"/>
      <w:outlineLvl w:val="9"/>
    </w:pPr>
    <w:rPr>
      <w:rFonts w:ascii="Baskerville"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