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7E6E5C" w14:textId="77777777" w:rsidR="00223D79" w:rsidRDefault="00223D79" w:rsidP="00223D79"/>
    <w:p w14:paraId="105C98F7" w14:textId="77777777" w:rsidR="00223D79" w:rsidRPr="00C41AE3" w:rsidRDefault="00223D79" w:rsidP="00223D79">
      <w:pPr>
        <w:overflowPunct w:val="0"/>
        <w:autoSpaceDE w:val="0"/>
        <w:autoSpaceDN w:val="0"/>
        <w:adjustRightInd w:val="0"/>
        <w:textAlignment w:val="baseline"/>
        <w:rPr>
          <w:rFonts w:ascii="Arial" w:eastAsia="Times New Roman" w:hAnsi="Arial" w:cs="Arial"/>
          <w:color w:val="000000"/>
          <w:sz w:val="20"/>
          <w:szCs w:val="20"/>
          <w:lang w:eastAsia="en-GB"/>
        </w:rPr>
      </w:pPr>
      <w:r w:rsidRPr="00C41AE3">
        <w:rPr>
          <w:rFonts w:ascii="Arial" w:eastAsia="Times New Roman" w:hAnsi="Arial" w:cs="Arial"/>
          <w:noProof/>
          <w:color w:val="000000"/>
          <w:sz w:val="20"/>
          <w:szCs w:val="20"/>
          <w:lang w:eastAsia="en-GB"/>
        </w:rPr>
        <w:drawing>
          <wp:inline distT="0" distB="0" distL="0" distR="0" wp14:anchorId="1ECDB918" wp14:editId="55427F2C">
            <wp:extent cx="2028825" cy="704850"/>
            <wp:effectExtent l="0" t="0" r="0" b="0"/>
            <wp:docPr id="343560117" name="Picture 34356011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60117" name="Picture 343560117"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B64F187" w14:textId="77777777" w:rsidR="00223D79" w:rsidRPr="00C41AE3" w:rsidRDefault="00223D79" w:rsidP="00223D79">
      <w:pPr>
        <w:overflowPunct w:val="0"/>
        <w:autoSpaceDE w:val="0"/>
        <w:autoSpaceDN w:val="0"/>
        <w:adjustRightInd w:val="0"/>
        <w:textAlignment w:val="baseline"/>
        <w:rPr>
          <w:rFonts w:ascii="Times New Roman" w:eastAsia="Times New Roman" w:hAnsi="Times New Roman" w:cs="Times New Roman"/>
          <w:color w:val="000000"/>
          <w:lang w:eastAsia="en-GB"/>
        </w:rPr>
      </w:pPr>
    </w:p>
    <w:p w14:paraId="7A92B1EA" w14:textId="77777777" w:rsidR="00223D79" w:rsidRPr="00C41AE3" w:rsidRDefault="00223D79" w:rsidP="00223D79">
      <w:pPr>
        <w:rPr>
          <w:rFonts w:ascii="Times New Roman" w:eastAsia="Times New Roman" w:hAnsi="Times New Roman" w:cs="Arial"/>
          <w:b/>
          <w:bCs/>
          <w:sz w:val="48"/>
          <w:szCs w:val="48"/>
          <w:lang w:eastAsia="en-GB"/>
        </w:rPr>
      </w:pPr>
      <w:r w:rsidRPr="00C41AE3">
        <w:rPr>
          <w:rFonts w:ascii="Times New Roman" w:eastAsia="Times New Roman" w:hAnsi="Times New Roman" w:cs="Times New Roman"/>
          <w:b/>
          <w:sz w:val="48"/>
          <w:szCs w:val="48"/>
          <w:lang w:eastAsia="en-GB"/>
        </w:rPr>
        <w:t xml:space="preserve">GRADUATE CERTIFICATE in </w:t>
      </w:r>
      <w:r w:rsidRPr="00C41AE3">
        <w:rPr>
          <w:rFonts w:ascii="Times New Roman" w:eastAsia="Times New Roman" w:hAnsi="Times New Roman" w:cs="Arial"/>
          <w:b/>
          <w:bCs/>
          <w:sz w:val="48"/>
          <w:szCs w:val="48"/>
          <w:lang w:eastAsia="en-GB"/>
        </w:rPr>
        <w:t>Consolidation of Social Work Practice</w:t>
      </w:r>
    </w:p>
    <w:p w14:paraId="68C05118" w14:textId="77777777" w:rsidR="00223D79" w:rsidRPr="00C41AE3" w:rsidRDefault="00223D79" w:rsidP="00223D79">
      <w:pPr>
        <w:ind w:right="-957"/>
        <w:rPr>
          <w:rFonts w:ascii="Times New Roman" w:eastAsia="Times New Roman" w:hAnsi="Times New Roman" w:cs="Times New Roman"/>
          <w:b/>
          <w:sz w:val="48"/>
          <w:szCs w:val="20"/>
          <w:lang w:eastAsia="en-GB"/>
        </w:rPr>
      </w:pPr>
      <w:r w:rsidRPr="00C41AE3">
        <w:rPr>
          <w:rFonts w:ascii="Times New Roman" w:eastAsia="Times New Roman" w:hAnsi="Times New Roman" w:cs="Times New Roman"/>
          <w:b/>
          <w:sz w:val="48"/>
          <w:szCs w:val="20"/>
          <w:lang w:eastAsia="en-GB"/>
        </w:rPr>
        <w:t>LEVEL 6 - 60 Credits</w:t>
      </w:r>
    </w:p>
    <w:p w14:paraId="34F405EC" w14:textId="77777777" w:rsidR="00223D79" w:rsidRPr="00C41AE3" w:rsidRDefault="00223D79" w:rsidP="00223D79">
      <w:pPr>
        <w:ind w:right="-957"/>
        <w:rPr>
          <w:rFonts w:ascii="Times New Roman" w:eastAsia="Times New Roman" w:hAnsi="Times New Roman" w:cs="Times New Roman"/>
          <w:b/>
          <w:sz w:val="48"/>
          <w:szCs w:val="20"/>
          <w:lang w:eastAsia="en-GB"/>
        </w:rPr>
      </w:pPr>
      <w:r w:rsidRPr="00C41AE3">
        <w:rPr>
          <w:rFonts w:ascii="Times New Roman" w:eastAsia="Times New Roman" w:hAnsi="Times New Roman" w:cs="Times New Roman"/>
          <w:b/>
          <w:sz w:val="48"/>
          <w:szCs w:val="20"/>
          <w:lang w:eastAsia="en-GB"/>
        </w:rPr>
        <w:t>BMPF6044</w:t>
      </w:r>
    </w:p>
    <w:p w14:paraId="10940069" w14:textId="77777777" w:rsidR="00223D79" w:rsidRPr="00C41AE3" w:rsidRDefault="00223D79" w:rsidP="00223D79">
      <w:pPr>
        <w:ind w:right="-957"/>
        <w:rPr>
          <w:rFonts w:ascii="Times New Roman" w:eastAsia="Times New Roman" w:hAnsi="Times New Roman" w:cs="Times New Roman"/>
          <w:b/>
          <w:sz w:val="48"/>
          <w:szCs w:val="20"/>
          <w:lang w:eastAsia="en-GB"/>
        </w:rPr>
      </w:pPr>
    </w:p>
    <w:p w14:paraId="18E06F2C" w14:textId="77777777" w:rsidR="00223D79" w:rsidRPr="00C41AE3" w:rsidRDefault="00223D79" w:rsidP="00223D79">
      <w:pPr>
        <w:ind w:right="-957"/>
        <w:rPr>
          <w:rFonts w:ascii="Times New Roman" w:eastAsia="Times New Roman" w:hAnsi="Times New Roman" w:cs="Times New Roman"/>
          <w:b/>
          <w:sz w:val="18"/>
          <w:szCs w:val="2"/>
          <w:lang w:eastAsia="en-GB"/>
        </w:rPr>
      </w:pPr>
    </w:p>
    <w:p w14:paraId="7515B935" w14:textId="77777777" w:rsidR="00223D79" w:rsidRPr="00C41AE3" w:rsidRDefault="00223D79" w:rsidP="00223D79">
      <w:pPr>
        <w:ind w:right="-957"/>
        <w:rPr>
          <w:rFonts w:ascii="Times New Roman" w:eastAsia="Times New Roman" w:hAnsi="Times New Roman" w:cs="Times New Roman"/>
          <w:b/>
          <w:sz w:val="48"/>
          <w:szCs w:val="20"/>
          <w:lang w:eastAsia="en-GB"/>
        </w:rPr>
      </w:pPr>
      <w:r w:rsidRPr="00C41AE3">
        <w:rPr>
          <w:rFonts w:ascii="Times New Roman" w:eastAsia="Times New Roman" w:hAnsi="Times New Roman" w:cs="Times New Roman"/>
          <w:b/>
          <w:sz w:val="48"/>
          <w:szCs w:val="20"/>
          <w:lang w:eastAsia="en-GB"/>
        </w:rPr>
        <w:t>LEARNER PORTFOLIO</w:t>
      </w:r>
    </w:p>
    <w:p w14:paraId="5D6F185E" w14:textId="77777777" w:rsidR="00223D79" w:rsidRPr="00C41AE3" w:rsidRDefault="00223D79" w:rsidP="00223D79">
      <w:pPr>
        <w:ind w:right="-957"/>
        <w:rPr>
          <w:rFonts w:ascii="Times New Roman" w:eastAsia="Times New Roman" w:hAnsi="Times New Roman" w:cs="Times New Roman"/>
          <w:b/>
          <w:bCs/>
          <w:sz w:val="48"/>
          <w:szCs w:val="48"/>
          <w:lang w:eastAsia="en-GB"/>
        </w:rPr>
      </w:pPr>
      <w:r w:rsidRPr="00C41AE3">
        <w:rPr>
          <w:rFonts w:ascii="Times New Roman" w:eastAsia="Times New Roman" w:hAnsi="Times New Roman" w:cs="Times New Roman"/>
          <w:b/>
          <w:bCs/>
          <w:sz w:val="48"/>
          <w:szCs w:val="48"/>
          <w:lang w:eastAsia="en-GB"/>
        </w:rPr>
        <w:t>(PORTH AGORED and UNIVERSITY OF WALES TRINITY SAINT DAVID)</w:t>
      </w:r>
    </w:p>
    <w:p w14:paraId="0A06C091" w14:textId="77777777" w:rsidR="00223D79" w:rsidRPr="00C41AE3" w:rsidRDefault="00223D79" w:rsidP="00223D79">
      <w:pPr>
        <w:ind w:right="-957"/>
        <w:rPr>
          <w:rFonts w:ascii="Times New Roman" w:eastAsia="Times New Roman" w:hAnsi="Times New Roman" w:cs="Times New Roman"/>
          <w:b/>
          <w:sz w:val="14"/>
          <w:szCs w:val="2"/>
          <w:lang w:eastAsia="en-GB"/>
        </w:rPr>
      </w:pPr>
    </w:p>
    <w:p w14:paraId="40163C2A" w14:textId="77777777" w:rsidR="00223D79" w:rsidRPr="00C41AE3" w:rsidRDefault="00223D79" w:rsidP="00223D79">
      <w:pPr>
        <w:ind w:right="-957"/>
        <w:rPr>
          <w:rFonts w:ascii="Times New Roman" w:eastAsia="Times New Roman" w:hAnsi="Times New Roman" w:cs="Times New Roman"/>
          <w:b/>
          <w:sz w:val="48"/>
          <w:szCs w:val="20"/>
          <w:lang w:eastAsia="en-GB"/>
        </w:rPr>
      </w:pPr>
    </w:p>
    <w:tbl>
      <w:tblPr>
        <w:tblW w:w="10368" w:type="dxa"/>
        <w:tblInd w:w="-6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223D79" w:rsidRPr="00C41AE3" w14:paraId="03598F26" w14:textId="77777777" w:rsidTr="00FB57C6">
        <w:tc>
          <w:tcPr>
            <w:tcW w:w="10368" w:type="dxa"/>
            <w:shd w:val="clear" w:color="auto" w:fill="auto"/>
          </w:tcPr>
          <w:p w14:paraId="300EE7A8" w14:textId="77777777" w:rsidR="00223D79" w:rsidRPr="00C41AE3" w:rsidRDefault="00223D79" w:rsidP="00FB57C6">
            <w:pPr>
              <w:ind w:right="-957"/>
              <w:rPr>
                <w:rFonts w:ascii="Times New Roman" w:eastAsia="Times New Roman" w:hAnsi="Times New Roman" w:cs="Times New Roman"/>
                <w:b/>
                <w:sz w:val="44"/>
                <w:szCs w:val="44"/>
                <w:lang w:eastAsia="en-GB"/>
              </w:rPr>
            </w:pPr>
            <w:r w:rsidRPr="00C41AE3">
              <w:rPr>
                <w:rFonts w:ascii="Times New Roman" w:eastAsia="Times New Roman" w:hAnsi="Times New Roman" w:cs="Times New Roman"/>
                <w:b/>
                <w:sz w:val="44"/>
                <w:szCs w:val="44"/>
                <w:lang w:eastAsia="en-GB"/>
              </w:rPr>
              <w:t xml:space="preserve">Learner’s name: </w:t>
            </w:r>
            <w:r w:rsidRPr="006A491B">
              <w:rPr>
                <w:rFonts w:ascii="Times New Roman" w:eastAsia="Times New Roman" w:hAnsi="Times New Roman" w:cs="Times New Roman"/>
                <w:b/>
                <w:sz w:val="44"/>
                <w:szCs w:val="44"/>
                <w:lang w:eastAsia="en-GB"/>
              </w:rPr>
              <w:t>Louise Norman</w:t>
            </w:r>
          </w:p>
          <w:p w14:paraId="46D9EE0D" w14:textId="77777777" w:rsidR="00223D79" w:rsidRPr="00C41AE3" w:rsidRDefault="00223D79" w:rsidP="00FB57C6">
            <w:pPr>
              <w:ind w:right="-957"/>
              <w:rPr>
                <w:rFonts w:ascii="Times New Roman" w:eastAsia="Times New Roman" w:hAnsi="Times New Roman" w:cs="Times New Roman"/>
                <w:b/>
                <w:sz w:val="44"/>
                <w:szCs w:val="44"/>
                <w:lang w:eastAsia="en-GB"/>
              </w:rPr>
            </w:pPr>
          </w:p>
          <w:p w14:paraId="318E3048" w14:textId="77777777" w:rsidR="00223D79" w:rsidRPr="00C41AE3" w:rsidRDefault="00223D79" w:rsidP="00FB57C6">
            <w:pPr>
              <w:ind w:right="-957"/>
              <w:rPr>
                <w:rFonts w:ascii="Times New Roman" w:eastAsia="Times New Roman" w:hAnsi="Times New Roman" w:cs="Times New Roman"/>
                <w:b/>
                <w:sz w:val="44"/>
                <w:szCs w:val="44"/>
                <w:lang w:eastAsia="en-GB"/>
              </w:rPr>
            </w:pPr>
            <w:r w:rsidRPr="00C41AE3">
              <w:rPr>
                <w:rFonts w:ascii="Times New Roman" w:eastAsia="Times New Roman" w:hAnsi="Times New Roman" w:cs="Times New Roman"/>
                <w:b/>
                <w:sz w:val="44"/>
                <w:szCs w:val="44"/>
                <w:lang w:eastAsia="en-GB"/>
              </w:rPr>
              <w:t xml:space="preserve">Email </w:t>
            </w:r>
            <w:proofErr w:type="gramStart"/>
            <w:r w:rsidRPr="00C41AE3">
              <w:rPr>
                <w:rFonts w:ascii="Times New Roman" w:eastAsia="Times New Roman" w:hAnsi="Times New Roman" w:cs="Times New Roman"/>
                <w:b/>
                <w:sz w:val="44"/>
                <w:szCs w:val="44"/>
                <w:lang w:eastAsia="en-GB"/>
              </w:rPr>
              <w:t>address:</w:t>
            </w:r>
            <w:r w:rsidRPr="006A491B">
              <w:rPr>
                <w:rFonts w:ascii="Times New Roman" w:eastAsia="Times New Roman" w:hAnsi="Times New Roman" w:cs="Times New Roman"/>
                <w:b/>
                <w:sz w:val="44"/>
                <w:szCs w:val="44"/>
                <w:lang w:eastAsia="en-GB"/>
              </w:rPr>
              <w:t>Louise.norman87@hotmail.co.uk</w:t>
            </w:r>
            <w:proofErr w:type="gramEnd"/>
            <w:r w:rsidRPr="006A491B">
              <w:rPr>
                <w:rFonts w:ascii="Times New Roman" w:eastAsia="Times New Roman" w:hAnsi="Times New Roman" w:cs="Times New Roman"/>
                <w:b/>
                <w:sz w:val="44"/>
                <w:szCs w:val="44"/>
                <w:lang w:eastAsia="en-GB"/>
              </w:rPr>
              <w:t xml:space="preserve"> </w:t>
            </w:r>
          </w:p>
          <w:p w14:paraId="36DEFF8A" w14:textId="77777777" w:rsidR="00223D79" w:rsidRPr="00C41AE3" w:rsidRDefault="00223D79" w:rsidP="00FB57C6">
            <w:pPr>
              <w:ind w:right="-957"/>
              <w:rPr>
                <w:rFonts w:ascii="Times New Roman" w:eastAsia="Times New Roman" w:hAnsi="Times New Roman" w:cs="Times New Roman"/>
                <w:b/>
                <w:sz w:val="44"/>
                <w:szCs w:val="44"/>
                <w:lang w:eastAsia="en-GB"/>
              </w:rPr>
            </w:pPr>
          </w:p>
          <w:p w14:paraId="23FE329E" w14:textId="77777777" w:rsidR="00223D79" w:rsidRPr="00C41AE3" w:rsidRDefault="00223D79" w:rsidP="00FB57C6">
            <w:pPr>
              <w:ind w:right="-957"/>
              <w:rPr>
                <w:rFonts w:ascii="Times New Roman" w:eastAsia="Times New Roman" w:hAnsi="Times New Roman" w:cs="Times New Roman"/>
                <w:b/>
                <w:sz w:val="44"/>
                <w:szCs w:val="44"/>
                <w:lang w:eastAsia="en-GB"/>
              </w:rPr>
            </w:pPr>
            <w:r w:rsidRPr="00C41AE3">
              <w:rPr>
                <w:rFonts w:ascii="Times New Roman" w:eastAsia="Times New Roman" w:hAnsi="Times New Roman" w:cs="Times New Roman"/>
                <w:b/>
                <w:sz w:val="44"/>
                <w:szCs w:val="44"/>
                <w:lang w:eastAsia="en-GB"/>
              </w:rPr>
              <w:t>Learner’s University Registration Number:</w:t>
            </w:r>
            <w:r w:rsidRPr="006A491B">
              <w:rPr>
                <w:rFonts w:ascii="Times New Roman" w:eastAsia="Times New Roman" w:hAnsi="Times New Roman" w:cs="Times New Roman"/>
                <w:b/>
                <w:sz w:val="44"/>
                <w:szCs w:val="44"/>
                <w:lang w:eastAsia="en-GB"/>
              </w:rPr>
              <w:t>2319568</w:t>
            </w:r>
          </w:p>
          <w:p w14:paraId="69E896EF" w14:textId="77777777" w:rsidR="00223D79" w:rsidRPr="00C41AE3" w:rsidRDefault="00223D79" w:rsidP="00FB57C6">
            <w:pPr>
              <w:ind w:right="-957"/>
              <w:rPr>
                <w:rFonts w:ascii="Times New Roman" w:eastAsia="Times New Roman" w:hAnsi="Times New Roman" w:cs="Times New Roman"/>
                <w:b/>
                <w:sz w:val="44"/>
                <w:szCs w:val="44"/>
                <w:lang w:eastAsia="en-GB"/>
              </w:rPr>
            </w:pPr>
          </w:p>
          <w:p w14:paraId="1AF3503A" w14:textId="77777777" w:rsidR="00223D79" w:rsidRPr="00C41AE3" w:rsidRDefault="00223D79" w:rsidP="00FB57C6">
            <w:pPr>
              <w:ind w:right="-957"/>
              <w:rPr>
                <w:rFonts w:ascii="Times New Roman" w:eastAsia="Times New Roman" w:hAnsi="Times New Roman" w:cs="Times New Roman"/>
                <w:b/>
                <w:sz w:val="48"/>
                <w:szCs w:val="20"/>
                <w:lang w:eastAsia="en-GB"/>
              </w:rPr>
            </w:pPr>
            <w:r w:rsidRPr="00C41AE3">
              <w:rPr>
                <w:rFonts w:ascii="Times New Roman" w:eastAsia="Times New Roman" w:hAnsi="Times New Roman" w:cs="Times New Roman"/>
                <w:b/>
                <w:sz w:val="44"/>
                <w:szCs w:val="44"/>
                <w:lang w:eastAsia="en-GB"/>
              </w:rPr>
              <w:t>Cohort: 21onwards</w:t>
            </w:r>
          </w:p>
        </w:tc>
      </w:tr>
    </w:tbl>
    <w:p w14:paraId="1DD5629F" w14:textId="77777777" w:rsidR="00223D79" w:rsidRPr="00C41AE3" w:rsidRDefault="00223D79" w:rsidP="00223D79">
      <w:pPr>
        <w:ind w:right="-957"/>
        <w:rPr>
          <w:rFonts w:ascii="Times New Roman" w:eastAsia="Times New Roman" w:hAnsi="Times New Roman" w:cs="Times New Roman"/>
          <w:b/>
          <w:sz w:val="48"/>
          <w:szCs w:val="20"/>
          <w:lang w:eastAsia="en-GB"/>
        </w:rPr>
      </w:pPr>
      <w:r w:rsidRPr="00C41AE3">
        <w:rPr>
          <w:rFonts w:ascii="Times New Roman" w:eastAsia="Times New Roman" w:hAnsi="Times New Roman" w:cs="Times New Roman"/>
          <w:b/>
          <w:sz w:val="48"/>
          <w:szCs w:val="20"/>
          <w:lang w:eastAsia="en-GB"/>
        </w:rPr>
        <w:t xml:space="preserve"> </w:t>
      </w:r>
    </w:p>
    <w:p w14:paraId="1E3541FC" w14:textId="77777777" w:rsidR="00223D79" w:rsidRPr="00C41AE3" w:rsidRDefault="00223D79" w:rsidP="00223D79">
      <w:pPr>
        <w:rPr>
          <w:rFonts w:ascii="Times New Roman" w:eastAsia="Times New Roman" w:hAnsi="Times New Roman" w:cs="Times New Roman"/>
          <w:szCs w:val="20"/>
          <w:lang w:eastAsia="en-GB"/>
        </w:rPr>
      </w:pPr>
    </w:p>
    <w:p w14:paraId="7C311A50" w14:textId="77777777" w:rsidR="00223D79" w:rsidRPr="00C41AE3" w:rsidRDefault="00223D79" w:rsidP="00223D79">
      <w:pPr>
        <w:ind w:right="-957"/>
        <w:rPr>
          <w:rFonts w:ascii="Times New Roman" w:eastAsia="Times New Roman" w:hAnsi="Times New Roman" w:cs="Times New Roman"/>
          <w:b/>
          <w:sz w:val="48"/>
          <w:szCs w:val="20"/>
          <w:lang w:eastAsia="en-GB"/>
        </w:rPr>
      </w:pPr>
    </w:p>
    <w:p w14:paraId="02CB70FE" w14:textId="77777777" w:rsidR="00223D79" w:rsidRPr="00C41AE3" w:rsidRDefault="00223D79" w:rsidP="00223D79">
      <w:pPr>
        <w:overflowPunct w:val="0"/>
        <w:autoSpaceDE w:val="0"/>
        <w:autoSpaceDN w:val="0"/>
        <w:adjustRightInd w:val="0"/>
        <w:jc w:val="center"/>
        <w:textAlignment w:val="baseline"/>
        <w:rPr>
          <w:rFonts w:ascii="Arial" w:eastAsia="Times New Roman" w:hAnsi="Arial" w:cs="Arial"/>
          <w:b/>
          <w:color w:val="000000"/>
          <w:lang w:eastAsia="en-GB"/>
        </w:rPr>
      </w:pPr>
      <w:r w:rsidRPr="00C41AE3">
        <w:rPr>
          <w:rFonts w:ascii="Arial" w:eastAsia="Times New Roman" w:hAnsi="Arial" w:cs="Arial"/>
          <w:b/>
          <w:color w:val="000000"/>
          <w:lang w:eastAsia="en-GB"/>
        </w:rPr>
        <w:br w:type="page"/>
      </w:r>
    </w:p>
    <w:p w14:paraId="51BA728D" w14:textId="77777777" w:rsidR="00223D79" w:rsidRPr="00C41AE3" w:rsidRDefault="00223D79" w:rsidP="00223D79">
      <w:pPr>
        <w:overflowPunct w:val="0"/>
        <w:autoSpaceDE w:val="0"/>
        <w:autoSpaceDN w:val="0"/>
        <w:adjustRightInd w:val="0"/>
        <w:jc w:val="center"/>
        <w:textAlignment w:val="baseline"/>
        <w:rPr>
          <w:rFonts w:ascii="Arial" w:eastAsia="Times New Roman" w:hAnsi="Arial" w:cs="Arial"/>
          <w:b/>
          <w:color w:val="000000"/>
          <w:sz w:val="28"/>
          <w:szCs w:val="28"/>
          <w:lang w:eastAsia="en-GB"/>
        </w:rPr>
      </w:pPr>
    </w:p>
    <w:p w14:paraId="78C9607E" w14:textId="77777777" w:rsidR="00223D79" w:rsidRPr="00C41AE3" w:rsidRDefault="00223D79" w:rsidP="00223D79">
      <w:pPr>
        <w:overflowPunct w:val="0"/>
        <w:autoSpaceDE w:val="0"/>
        <w:autoSpaceDN w:val="0"/>
        <w:adjustRightInd w:val="0"/>
        <w:jc w:val="center"/>
        <w:textAlignment w:val="baseline"/>
        <w:rPr>
          <w:rFonts w:ascii="Arial" w:eastAsia="Times New Roman" w:hAnsi="Arial" w:cs="Arial"/>
          <w:b/>
          <w:color w:val="000000"/>
          <w:lang w:eastAsia="en-GB"/>
        </w:rPr>
      </w:pPr>
    </w:p>
    <w:p w14:paraId="6087A760" w14:textId="77777777" w:rsidR="00223D79" w:rsidRPr="00C41AE3" w:rsidRDefault="00223D79" w:rsidP="00223D79">
      <w:pPr>
        <w:overflowPunct w:val="0"/>
        <w:autoSpaceDE w:val="0"/>
        <w:autoSpaceDN w:val="0"/>
        <w:adjustRightInd w:val="0"/>
        <w:jc w:val="center"/>
        <w:textAlignment w:val="baseline"/>
        <w:rPr>
          <w:rFonts w:ascii="Arial" w:eastAsia="Times New Roman" w:hAnsi="Arial" w:cs="Arial"/>
          <w:b/>
          <w:color w:val="000000"/>
          <w:sz w:val="28"/>
          <w:szCs w:val="28"/>
          <w:lang w:eastAsia="en-GB"/>
        </w:rPr>
      </w:pPr>
      <w:r w:rsidRPr="00C41AE3">
        <w:rPr>
          <w:rFonts w:ascii="Arial" w:eastAsia="Times New Roman" w:hAnsi="Arial" w:cs="Arial"/>
          <w:b/>
          <w:color w:val="000000"/>
          <w:sz w:val="28"/>
          <w:szCs w:val="28"/>
          <w:lang w:eastAsia="en-GB"/>
        </w:rPr>
        <w:t>Task 4</w:t>
      </w:r>
    </w:p>
    <w:p w14:paraId="4F2CF367" w14:textId="77777777" w:rsidR="00223D79" w:rsidRPr="00C41AE3" w:rsidRDefault="00223D79" w:rsidP="00223D79">
      <w:pPr>
        <w:overflowPunct w:val="0"/>
        <w:autoSpaceDE w:val="0"/>
        <w:autoSpaceDN w:val="0"/>
        <w:adjustRightInd w:val="0"/>
        <w:jc w:val="center"/>
        <w:textAlignment w:val="baseline"/>
        <w:rPr>
          <w:rFonts w:ascii="Arial" w:eastAsia="Times New Roman" w:hAnsi="Arial" w:cs="Arial"/>
          <w:b/>
          <w:color w:val="000000"/>
          <w:sz w:val="28"/>
          <w:szCs w:val="28"/>
          <w:lang w:eastAsia="en-GB"/>
        </w:rPr>
      </w:pPr>
    </w:p>
    <w:p w14:paraId="0A8294FB" w14:textId="77777777" w:rsidR="00223D79" w:rsidRPr="00C41AE3" w:rsidRDefault="00223D79" w:rsidP="00223D79">
      <w:pPr>
        <w:overflowPunct w:val="0"/>
        <w:autoSpaceDE w:val="0"/>
        <w:autoSpaceDN w:val="0"/>
        <w:adjustRightInd w:val="0"/>
        <w:jc w:val="center"/>
        <w:textAlignment w:val="baseline"/>
        <w:rPr>
          <w:rFonts w:ascii="Arial" w:eastAsia="Times New Roman" w:hAnsi="Arial" w:cs="Arial"/>
          <w:b/>
          <w:color w:val="000000"/>
          <w:sz w:val="28"/>
          <w:szCs w:val="28"/>
          <w:lang w:eastAsia="en-GB"/>
        </w:rPr>
      </w:pPr>
      <w:r w:rsidRPr="00C41AE3">
        <w:rPr>
          <w:rFonts w:ascii="Arial" w:eastAsia="Times New Roman" w:hAnsi="Arial" w:cs="Arial"/>
          <w:b/>
          <w:color w:val="000000"/>
          <w:sz w:val="28"/>
          <w:szCs w:val="28"/>
          <w:lang w:eastAsia="en-GB"/>
        </w:rPr>
        <w:t>Safeguarding in an area which is not your main area of work</w:t>
      </w:r>
    </w:p>
    <w:p w14:paraId="4E9A1D80" w14:textId="77777777" w:rsidR="00223D79" w:rsidRPr="00C41AE3" w:rsidRDefault="00223D79" w:rsidP="00223D79">
      <w:pPr>
        <w:overflowPunct w:val="0"/>
        <w:autoSpaceDE w:val="0"/>
        <w:autoSpaceDN w:val="0"/>
        <w:adjustRightInd w:val="0"/>
        <w:jc w:val="both"/>
        <w:textAlignment w:val="baseline"/>
        <w:rPr>
          <w:rFonts w:ascii="Arial" w:eastAsia="Times New Roman" w:hAnsi="Arial" w:cs="Arial"/>
          <w:b/>
          <w:color w:val="000000"/>
          <w:lang w:eastAsia="en-GB"/>
        </w:rPr>
      </w:pPr>
    </w:p>
    <w:p w14:paraId="096A99CF" w14:textId="77777777" w:rsidR="00223D79" w:rsidRPr="00C41AE3" w:rsidRDefault="00223D79" w:rsidP="00223D79">
      <w:pPr>
        <w:overflowPunct w:val="0"/>
        <w:autoSpaceDE w:val="0"/>
        <w:autoSpaceDN w:val="0"/>
        <w:adjustRightInd w:val="0"/>
        <w:ind w:left="-90"/>
        <w:jc w:val="both"/>
        <w:textAlignment w:val="baseline"/>
        <w:rPr>
          <w:rFonts w:ascii="Arial" w:eastAsia="Times New Roman" w:hAnsi="Arial" w:cs="Arial"/>
          <w:b/>
          <w:i/>
          <w:color w:val="000000"/>
          <w:lang w:eastAsia="en-GB"/>
        </w:rPr>
      </w:pPr>
      <w:r w:rsidRPr="00C41AE3">
        <w:rPr>
          <w:rFonts w:ascii="Arial" w:eastAsia="Times New Roman" w:hAnsi="Arial" w:cs="Arial"/>
          <w:b/>
          <w:i/>
          <w:color w:val="000000"/>
          <w:lang w:eastAsia="en-GB"/>
        </w:rPr>
        <w:t xml:space="preserve">Guidance: </w:t>
      </w:r>
    </w:p>
    <w:p w14:paraId="599B59AA" w14:textId="77777777" w:rsidR="00223D79" w:rsidRPr="00C41AE3" w:rsidRDefault="00223D79" w:rsidP="00223D79">
      <w:pPr>
        <w:overflowPunct w:val="0"/>
        <w:autoSpaceDE w:val="0"/>
        <w:autoSpaceDN w:val="0"/>
        <w:adjustRightInd w:val="0"/>
        <w:ind w:left="-90"/>
        <w:jc w:val="both"/>
        <w:textAlignment w:val="baseline"/>
        <w:rPr>
          <w:rFonts w:ascii="Arial" w:eastAsia="Times New Roman" w:hAnsi="Arial" w:cs="Arial"/>
          <w:i/>
          <w:iCs/>
          <w:color w:val="000000"/>
          <w:lang w:eastAsia="en-GB"/>
        </w:rPr>
      </w:pPr>
      <w:r w:rsidRPr="00C41AE3">
        <w:rPr>
          <w:rFonts w:ascii="Arial" w:eastAsia="Times New Roman" w:hAnsi="Arial" w:cs="Arial"/>
          <w:i/>
          <w:iCs/>
          <w:color w:val="000000"/>
          <w:lang w:eastAsia="en-GB"/>
        </w:rPr>
        <w:t xml:space="preserve">Social Care Wales require newly qualified social workers to provide evidence of their understanding of safeguarding work with adults and children. The assignment below will enable you to demonstrate this. </w:t>
      </w:r>
      <w:r w:rsidRPr="00C41AE3">
        <w:rPr>
          <w:rFonts w:ascii="Arial" w:eastAsia="Times New Roman" w:hAnsi="Arial" w:cs="Arial"/>
          <w:b/>
          <w:bCs/>
          <w:i/>
          <w:iCs/>
          <w:color w:val="000000"/>
          <w:lang w:eastAsia="en-GB"/>
        </w:rPr>
        <w:t>N.B</w:t>
      </w:r>
      <w:r w:rsidRPr="00C41AE3">
        <w:rPr>
          <w:rFonts w:ascii="Arial" w:eastAsia="Times New Roman" w:hAnsi="Arial" w:cs="Arial"/>
          <w:i/>
          <w:iCs/>
          <w:color w:val="000000"/>
          <w:lang w:eastAsia="en-GB"/>
        </w:rPr>
        <w:t>. if your usual area of work is with children please write about adult safeguarding. If you usually work with adults, then write about child safeguarding.  Ensure you meet the learning out comes for this task (see appendix 5 of the handbook).</w:t>
      </w:r>
    </w:p>
    <w:p w14:paraId="37CBA2D4" w14:textId="77777777" w:rsidR="00223D79" w:rsidRPr="00C41AE3" w:rsidRDefault="00223D79" w:rsidP="00223D79">
      <w:pPr>
        <w:overflowPunct w:val="0"/>
        <w:autoSpaceDE w:val="0"/>
        <w:autoSpaceDN w:val="0"/>
        <w:adjustRightInd w:val="0"/>
        <w:ind w:left="360" w:hanging="360"/>
        <w:jc w:val="both"/>
        <w:textAlignment w:val="baseline"/>
        <w:rPr>
          <w:rFonts w:ascii="Arial" w:eastAsia="Times New Roman" w:hAnsi="Arial" w:cs="Arial"/>
          <w:color w:val="000000"/>
          <w:u w:val="single"/>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23D79" w:rsidRPr="00C41AE3" w14:paraId="272872DE" w14:textId="77777777" w:rsidTr="00FB57C6">
        <w:tc>
          <w:tcPr>
            <w:tcW w:w="10188" w:type="dxa"/>
            <w:shd w:val="clear" w:color="auto" w:fill="auto"/>
          </w:tcPr>
          <w:p w14:paraId="1A327137"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b/>
                <w:color w:val="000000"/>
                <w:lang w:eastAsia="en-GB"/>
              </w:rPr>
            </w:pPr>
            <w:r w:rsidRPr="00C41AE3">
              <w:rPr>
                <w:rFonts w:ascii="Arial" w:eastAsia="Times New Roman" w:hAnsi="Arial" w:cs="Arial"/>
                <w:b/>
                <w:color w:val="000000"/>
                <w:lang w:eastAsia="en-GB"/>
              </w:rPr>
              <w:t>Question a:</w:t>
            </w:r>
          </w:p>
          <w:p w14:paraId="1C2E086D"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r w:rsidRPr="00C41AE3">
              <w:rPr>
                <w:rFonts w:ascii="Arial" w:eastAsia="Times New Roman" w:hAnsi="Arial" w:cs="Arial"/>
                <w:color w:val="000000"/>
                <w:lang w:eastAsia="en-GB"/>
              </w:rPr>
              <w:t xml:space="preserve">In an area </w:t>
            </w:r>
            <w:r w:rsidRPr="00C41AE3">
              <w:rPr>
                <w:rFonts w:ascii="Arial" w:eastAsia="Times New Roman" w:hAnsi="Arial" w:cs="Arial"/>
                <w:b/>
                <w:color w:val="000000"/>
                <w:lang w:eastAsia="en-GB"/>
              </w:rPr>
              <w:t xml:space="preserve">that is not your </w:t>
            </w:r>
            <w:proofErr w:type="gramStart"/>
            <w:r w:rsidRPr="00C41AE3">
              <w:rPr>
                <w:rFonts w:ascii="Arial" w:eastAsia="Times New Roman" w:hAnsi="Arial" w:cs="Arial"/>
                <w:b/>
                <w:color w:val="000000"/>
                <w:lang w:eastAsia="en-GB"/>
              </w:rPr>
              <w:t>main focus</w:t>
            </w:r>
            <w:proofErr w:type="gramEnd"/>
            <w:r w:rsidRPr="00C41AE3">
              <w:rPr>
                <w:rFonts w:ascii="Arial" w:eastAsia="Times New Roman" w:hAnsi="Arial" w:cs="Arial"/>
                <w:b/>
                <w:color w:val="000000"/>
                <w:lang w:eastAsia="en-GB"/>
              </w:rPr>
              <w:t xml:space="preserve"> of work </w:t>
            </w:r>
            <w:r w:rsidRPr="00C41AE3">
              <w:rPr>
                <w:rFonts w:ascii="Arial" w:eastAsia="Times New Roman" w:hAnsi="Arial" w:cs="Arial"/>
                <w:color w:val="000000"/>
                <w:lang w:eastAsia="en-GB"/>
              </w:rPr>
              <w:t xml:space="preserve">(see guidance above), explain the relevant legislation, and the national, local and organisational policies and procedures for safeguarding. </w:t>
            </w:r>
          </w:p>
          <w:p w14:paraId="2D05EEFA"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57ADBB32"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Arial"/>
                <w:color w:val="000000"/>
                <w:lang w:eastAsia="en-GB"/>
              </w:rPr>
            </w:pPr>
            <w:r w:rsidRPr="00C41AE3">
              <w:rPr>
                <w:rFonts w:ascii="Arial" w:eastAsia="Times New Roman" w:hAnsi="Arial" w:cs="Arial"/>
                <w:color w:val="000000"/>
                <w:lang w:eastAsia="en-GB"/>
              </w:rPr>
              <w:t>Adult safeguarding in Wales, is overseen be Legislation, policies and procedures. The Social Services Wellbeing (Wales) Act 2014 is the overarching framework, s126 highlights the definition of an ‘Adult at Risk’, as an adult who ‘</w:t>
            </w:r>
            <w:r w:rsidRPr="00C41AE3">
              <w:rPr>
                <w:rFonts w:ascii="Arial" w:eastAsia="Times New Roman" w:hAnsi="Arial" w:cs="Arial"/>
                <w:i/>
                <w:iCs/>
                <w:color w:val="000000"/>
                <w:lang w:eastAsia="en-GB"/>
              </w:rPr>
              <w:t xml:space="preserve">is experiencing or is at risk of abuse or neglect, Has needs for care and support (whether or not the authority is meeting any of those needs)’. Part 7 </w:t>
            </w:r>
            <w:r w:rsidRPr="00C41AE3">
              <w:rPr>
                <w:rFonts w:ascii="Arial" w:eastAsia="Times New Roman" w:hAnsi="Arial" w:cs="Arial"/>
                <w:color w:val="000000"/>
                <w:lang w:eastAsia="en-GB"/>
              </w:rPr>
              <w:t xml:space="preserve">of the Act also categories abuse into physical, psychological, emotional or financial abuse. The act states that such abuse can take place in any setting, and it imposes a legal duty on to professional to report any abuse or harm in relation to an adult at risk. </w:t>
            </w:r>
          </w:p>
          <w:p w14:paraId="3EF346DB"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15F2034C"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Arial"/>
                <w:color w:val="000000"/>
                <w:lang w:eastAsia="en-GB"/>
              </w:rPr>
            </w:pPr>
            <w:r w:rsidRPr="00C41AE3">
              <w:rPr>
                <w:rFonts w:ascii="Arial" w:eastAsia="Times New Roman" w:hAnsi="Arial" w:cs="Arial"/>
                <w:color w:val="000000"/>
                <w:shd w:val="clear" w:color="auto" w:fill="FFFFFF"/>
                <w:lang w:eastAsia="en-GB"/>
              </w:rPr>
              <w:t xml:space="preserve">The Wales Safeguarding Procedures (2019) are relevant to social workers in Wales when examining additional laws and policies related to adult safeguarding. The goal of the processes is to assist social workers and professionals in implementing the principles of SSWBA 2014 and Working Together to Protect Individuals. Working in collaboration to protect individuals is not a legal requirement, but rather a set of recommendations aimed at assisting professionals in understanding safeguarding laws (GOV.WALES, 2012). Alongside this </w:t>
            </w:r>
            <w:r w:rsidRPr="00C41AE3">
              <w:rPr>
                <w:rFonts w:ascii="Arial" w:eastAsia="Times New Roman" w:hAnsi="Arial" w:cs="Arial"/>
                <w:color w:val="000000"/>
                <w:lang w:eastAsia="en-GB"/>
              </w:rPr>
              <w:t xml:space="preserve">Statutory guidance and legislation emphasise the relevance of the duty to safeguard and prevent. </w:t>
            </w:r>
          </w:p>
          <w:p w14:paraId="007535E2"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i/>
                <w:iCs/>
                <w:color w:val="000000"/>
                <w:lang w:eastAsia="en-GB"/>
              </w:rPr>
            </w:pPr>
          </w:p>
          <w:p w14:paraId="2BA0C637"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theme="minorHAnsi"/>
                <w:color w:val="000000" w:themeColor="text1"/>
                <w:lang w:eastAsia="en-GB"/>
              </w:rPr>
            </w:pPr>
          </w:p>
          <w:p w14:paraId="51E0FEC7"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theme="minorHAnsi"/>
                <w:color w:val="000000" w:themeColor="text1"/>
                <w:lang w:eastAsia="en-GB"/>
              </w:rPr>
            </w:pPr>
            <w:r w:rsidRPr="00C41AE3">
              <w:rPr>
                <w:rFonts w:ascii="Arial" w:eastAsia="Times New Roman" w:hAnsi="Arial" w:cstheme="minorHAnsi"/>
                <w:color w:val="000000" w:themeColor="text1"/>
                <w:lang w:eastAsia="en-GB"/>
              </w:rPr>
              <w:t xml:space="preserve">National safeguarding boards are in place to ensure compliance with report duty alongside developmental policies and procedures for emerging harm and abuse </w:t>
            </w:r>
            <w:r w:rsidRPr="00C41AE3">
              <w:rPr>
                <w:rFonts w:ascii="Arial" w:eastAsia="Times New Roman" w:hAnsi="Arial" w:cstheme="minorHAnsi"/>
                <w:color w:val="000000" w:themeColor="text1"/>
                <w:lang w:eastAsia="en-GB"/>
              </w:rPr>
              <w:lastRenderedPageBreak/>
              <w:t>theme. Thes safeguarding boards consist of multi-disciplinary professionals, which include police, health professionals, and probation</w:t>
            </w:r>
            <w:sdt>
              <w:sdtPr>
                <w:rPr>
                  <w:rFonts w:ascii="Arial" w:eastAsia="Times New Roman" w:hAnsi="Arial" w:cstheme="minorHAnsi"/>
                  <w:color w:val="000000" w:themeColor="text1"/>
                  <w:lang w:eastAsia="en-GB"/>
                </w:rPr>
                <w:id w:val="1530912419"/>
                <w:citation/>
              </w:sdtPr>
              <w:sdtContent>
                <w:r>
                  <w:rPr>
                    <w:rFonts w:ascii="Arial" w:eastAsia="Times New Roman" w:hAnsi="Arial" w:cstheme="minorHAnsi"/>
                    <w:color w:val="000000" w:themeColor="text1"/>
                    <w:lang w:eastAsia="en-GB"/>
                  </w:rPr>
                  <w:fldChar w:fldCharType="begin"/>
                </w:r>
                <w:r>
                  <w:rPr>
                    <w:rFonts w:ascii="Arial" w:eastAsia="Times New Roman" w:hAnsi="Arial" w:cstheme="minorHAnsi"/>
                    <w:color w:val="000000" w:themeColor="text1"/>
                    <w:lang w:eastAsia="en-GB"/>
                  </w:rPr>
                  <w:instrText xml:space="preserve"> CITATION Bri23 \l 2057 </w:instrText>
                </w:r>
                <w:r>
                  <w:rPr>
                    <w:rFonts w:ascii="Arial" w:eastAsia="Times New Roman" w:hAnsi="Arial" w:cstheme="minorHAnsi"/>
                    <w:color w:val="000000" w:themeColor="text1"/>
                    <w:lang w:eastAsia="en-GB"/>
                  </w:rPr>
                  <w:fldChar w:fldCharType="separate"/>
                </w:r>
                <w:r>
                  <w:rPr>
                    <w:rFonts w:ascii="Arial" w:eastAsia="Times New Roman" w:hAnsi="Arial" w:cstheme="minorHAnsi"/>
                    <w:noProof/>
                    <w:color w:val="000000" w:themeColor="text1"/>
                    <w:lang w:eastAsia="en-GB"/>
                  </w:rPr>
                  <w:t xml:space="preserve"> </w:t>
                </w:r>
                <w:r w:rsidRPr="00A5107F">
                  <w:rPr>
                    <w:rFonts w:ascii="Arial" w:eastAsia="Times New Roman" w:hAnsi="Arial" w:cstheme="minorHAnsi"/>
                    <w:noProof/>
                    <w:color w:val="000000" w:themeColor="text1"/>
                    <w:lang w:eastAsia="en-GB"/>
                  </w:rPr>
                  <w:t>((BASW), 2023)</w:t>
                </w:r>
                <w:r>
                  <w:rPr>
                    <w:rFonts w:ascii="Arial" w:eastAsia="Times New Roman" w:hAnsi="Arial" w:cstheme="minorHAnsi"/>
                    <w:color w:val="000000" w:themeColor="text1"/>
                    <w:lang w:eastAsia="en-GB"/>
                  </w:rPr>
                  <w:fldChar w:fldCharType="end"/>
                </w:r>
              </w:sdtContent>
            </w:sdt>
            <w:r w:rsidRPr="00C41AE3">
              <w:rPr>
                <w:rFonts w:ascii="Arial" w:eastAsia="Times New Roman" w:hAnsi="Arial" w:cstheme="minorHAnsi"/>
                <w:color w:val="000000" w:themeColor="text1"/>
                <w:lang w:eastAsia="en-GB"/>
              </w:rPr>
              <w:t xml:space="preserve">, </w:t>
            </w:r>
          </w:p>
          <w:p w14:paraId="3F9AF29F" w14:textId="77777777" w:rsidR="00223D79" w:rsidRPr="00C41AE3" w:rsidRDefault="00223D79" w:rsidP="00FB57C6">
            <w:pPr>
              <w:rPr>
                <w:rFonts w:ascii="Roboto" w:eastAsia="Times New Roman" w:hAnsi="Roboto" w:cs="Times New Roman"/>
                <w:color w:val="333333"/>
                <w:lang w:eastAsia="en-GB"/>
              </w:rPr>
            </w:pPr>
          </w:p>
          <w:p w14:paraId="365A8325"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Arial"/>
                <w:color w:val="000000"/>
                <w:lang w:eastAsia="en-GB"/>
              </w:rPr>
            </w:pPr>
            <w:r w:rsidRPr="00C41AE3">
              <w:rPr>
                <w:rFonts w:ascii="Arial" w:eastAsia="Times New Roman" w:hAnsi="Arial" w:cs="Arial"/>
                <w:color w:val="000000" w:themeColor="text1"/>
                <w:lang w:eastAsia="en-GB"/>
              </w:rPr>
              <w:t xml:space="preserve">Further legislation includes, which gives social worker specific powers is The Mental Health Act 1983, which is a complex legislation that includes various duties and powers on professionals, alongside a comprehensive Mental Health Code of Practice which is dedicated to each part of the act. The Mental Health Code of practice (Wales) highlights connections to the relevant Legislation like The Equality Act and The Human Rights Act 1998. The purpose of the code is to ensure best practice, while upholding the articles within the Human Rights Act 1998, and reflects updates in legislation like the Mental Health (Wales) Measure 2010. It ensures individuals are respected and treated fairly, as well as their families and carers (SCW,2017, 3.4) For example The mental health act 2007 allows approved mental health practitioners (AMHPs) to detain individuals who present an immediate risk to themselves or others, while they carry out fully informed assessments. </w:t>
            </w:r>
            <w:r w:rsidRPr="00C41AE3">
              <w:rPr>
                <w:rFonts w:ascii="Arial" w:eastAsia="Times New Roman" w:hAnsi="Arial" w:cs="Arial"/>
                <w:color w:val="000000"/>
                <w:lang w:eastAsia="en-GB"/>
              </w:rPr>
              <w:t xml:space="preserve">Furthermore, the Mental Capacity Act 2005, places duty on practitioners to promote human rights and instils that practitioners must assume mental capacity until proven otherwise </w:t>
            </w:r>
            <w:proofErr w:type="gramStart"/>
            <w:r w:rsidRPr="00C41AE3">
              <w:rPr>
                <w:rFonts w:ascii="Arial" w:eastAsia="Times New Roman" w:hAnsi="Arial" w:cs="Arial"/>
                <w:color w:val="000000"/>
                <w:lang w:eastAsia="en-GB"/>
              </w:rPr>
              <w:t>( Care</w:t>
            </w:r>
            <w:proofErr w:type="gramEnd"/>
            <w:r w:rsidRPr="00C41AE3">
              <w:rPr>
                <w:rFonts w:ascii="Arial" w:eastAsia="Times New Roman" w:hAnsi="Arial" w:cs="Arial"/>
                <w:color w:val="000000"/>
                <w:lang w:eastAsia="en-GB"/>
              </w:rPr>
              <w:t xml:space="preserve"> inspectorate Wales, 2024). If an individual is assessed to lack capacity, decisions regarding the individuals best interest need to be made.</w:t>
            </w:r>
          </w:p>
          <w:p w14:paraId="496603EC"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Arial"/>
                <w:color w:val="000000"/>
                <w:sz w:val="28"/>
                <w:szCs w:val="28"/>
                <w:lang w:eastAsia="en-GB"/>
              </w:rPr>
            </w:pPr>
          </w:p>
          <w:p w14:paraId="69B15AA2"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Arial"/>
                <w:color w:val="000000"/>
                <w:lang w:eastAsia="en-GB"/>
              </w:rPr>
            </w:pPr>
            <w:r w:rsidRPr="00C41AE3">
              <w:rPr>
                <w:rFonts w:ascii="Arial" w:eastAsia="Times New Roman" w:hAnsi="Arial" w:cs="Arial"/>
                <w:color w:val="000000"/>
                <w:sz w:val="28"/>
                <w:szCs w:val="28"/>
                <w:lang w:eastAsia="en-GB"/>
              </w:rPr>
              <w:t>T</w:t>
            </w:r>
            <w:r w:rsidRPr="00C41AE3">
              <w:rPr>
                <w:rFonts w:ascii="Arial" w:eastAsia="Times New Roman" w:hAnsi="Arial" w:cs="Arial"/>
                <w:color w:val="000000"/>
                <w:lang w:eastAsia="en-GB"/>
              </w:rPr>
              <w:t xml:space="preserve">he Equality Act 2010 considers individuals rights and they must not be discriminated against based on the protected characteristics, such as disability, age, sex and race to name a few </w:t>
            </w:r>
            <w:proofErr w:type="gramStart"/>
            <w:r w:rsidRPr="00C41AE3">
              <w:rPr>
                <w:rFonts w:ascii="Arial" w:eastAsia="Times New Roman" w:hAnsi="Arial" w:cs="Arial"/>
                <w:color w:val="000000"/>
                <w:lang w:eastAsia="en-GB"/>
              </w:rPr>
              <w:t>( social</w:t>
            </w:r>
            <w:proofErr w:type="gramEnd"/>
            <w:r w:rsidRPr="00C41AE3">
              <w:rPr>
                <w:rFonts w:ascii="Arial" w:eastAsia="Times New Roman" w:hAnsi="Arial" w:cs="Arial"/>
                <w:color w:val="000000"/>
                <w:lang w:eastAsia="en-GB"/>
              </w:rPr>
              <w:t xml:space="preserve"> care Wales ,2024). Alongside this, the Human rights Act 1998, protects the basic needs and rights, such as the right to life, privacy, and essential needs. In adult safeguarding these rights are fundamental in ensuring the well-being principle established in the SSWBA 2014 (BASW 2019). Additionally, the Human Rights Act 1998 guarantees the enforcement of the rights outlined in the European Convention on Human Rights (MIND, 2020).</w:t>
            </w:r>
          </w:p>
          <w:p w14:paraId="53EEFA40" w14:textId="77777777" w:rsidR="00223D79" w:rsidRPr="00C41AE3" w:rsidRDefault="00223D79" w:rsidP="00FB57C6">
            <w:pPr>
              <w:overflowPunct w:val="0"/>
              <w:autoSpaceDE w:val="0"/>
              <w:autoSpaceDN w:val="0"/>
              <w:adjustRightInd w:val="0"/>
              <w:spacing w:line="360" w:lineRule="auto"/>
              <w:jc w:val="both"/>
              <w:textAlignment w:val="baseline"/>
              <w:rPr>
                <w:rFonts w:ascii="Arial" w:eastAsia="Times New Roman" w:hAnsi="Arial" w:cs="Arial"/>
                <w:color w:val="000000"/>
                <w:lang w:eastAsia="en-GB"/>
              </w:rPr>
            </w:pPr>
          </w:p>
          <w:p w14:paraId="12035DB1"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262E0D1E"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4FBA0C1E"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b/>
                <w:bCs/>
                <w:color w:val="000000"/>
                <w:lang w:eastAsia="en-GB"/>
              </w:rPr>
            </w:pPr>
            <w:r w:rsidRPr="00C41AE3">
              <w:rPr>
                <w:rFonts w:ascii="Arial" w:eastAsia="Times New Roman" w:hAnsi="Arial" w:cs="Arial"/>
                <w:b/>
                <w:bCs/>
                <w:color w:val="000000"/>
                <w:lang w:eastAsia="en-GB"/>
              </w:rPr>
              <w:t>Word count - 534</w:t>
            </w:r>
          </w:p>
          <w:p w14:paraId="2F6FBB08"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6C66FD77"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4616BD16"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r w:rsidRPr="00C41AE3">
              <w:rPr>
                <w:rFonts w:ascii="Arial" w:eastAsia="Times New Roman" w:hAnsi="Arial" w:cs="Arial"/>
                <w:i/>
                <w:color w:val="000000"/>
                <w:lang w:eastAsia="en-GB"/>
              </w:rPr>
              <w:t>500 words</w:t>
            </w:r>
            <w:r w:rsidRPr="00C41AE3">
              <w:rPr>
                <w:rFonts w:ascii="Arial" w:eastAsia="Times New Roman" w:hAnsi="Arial" w:cs="Arial"/>
                <w:color w:val="000000"/>
                <w:lang w:eastAsia="en-GB"/>
              </w:rPr>
              <w:t xml:space="preserve"> (+/- 10%: include your actual word count at the end of each section).</w:t>
            </w:r>
          </w:p>
          <w:p w14:paraId="7160BC65"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b/>
                <w:color w:val="000000"/>
                <w:lang w:eastAsia="en-GB"/>
              </w:rPr>
            </w:pPr>
          </w:p>
        </w:tc>
      </w:tr>
    </w:tbl>
    <w:p w14:paraId="55CB7202" w14:textId="77777777" w:rsidR="00223D79" w:rsidRPr="00C41AE3" w:rsidRDefault="00223D79" w:rsidP="00223D79">
      <w:pPr>
        <w:overflowPunct w:val="0"/>
        <w:autoSpaceDE w:val="0"/>
        <w:autoSpaceDN w:val="0"/>
        <w:adjustRightInd w:val="0"/>
        <w:jc w:val="both"/>
        <w:textAlignment w:val="baseline"/>
        <w:rPr>
          <w:rFonts w:ascii="Arial" w:eastAsia="Times New Roman" w:hAnsi="Arial" w:cs="Arial"/>
          <w:color w:val="000000"/>
          <w:lang w:eastAsia="en-GB"/>
        </w:rPr>
      </w:pPr>
    </w:p>
    <w:p w14:paraId="78E19BE0" w14:textId="77777777" w:rsidR="00223D79" w:rsidRPr="00C41AE3" w:rsidRDefault="00223D79" w:rsidP="00223D79">
      <w:pPr>
        <w:overflowPunct w:val="0"/>
        <w:autoSpaceDE w:val="0"/>
        <w:autoSpaceDN w:val="0"/>
        <w:adjustRightInd w:val="0"/>
        <w:jc w:val="both"/>
        <w:textAlignment w:val="baseline"/>
        <w:rPr>
          <w:rFonts w:ascii="Arial" w:eastAsia="Times New Roman" w:hAnsi="Arial" w:cs="Arial"/>
          <w:color w:val="000000"/>
          <w:lang w:eastAsia="en-GB"/>
        </w:rPr>
      </w:pPr>
    </w:p>
    <w:p w14:paraId="0225E8D3" w14:textId="77777777" w:rsidR="00223D79" w:rsidRPr="00C41AE3" w:rsidRDefault="00223D79" w:rsidP="00223D79">
      <w:pPr>
        <w:overflowPunct w:val="0"/>
        <w:autoSpaceDE w:val="0"/>
        <w:autoSpaceDN w:val="0"/>
        <w:adjustRightInd w:val="0"/>
        <w:jc w:val="both"/>
        <w:textAlignment w:val="baseline"/>
        <w:rPr>
          <w:rFonts w:ascii="Arial" w:eastAsia="Times New Roman" w:hAnsi="Arial" w:cs="Arial"/>
          <w:color w:val="000000"/>
          <w:lang w:eastAsia="en-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23D79" w:rsidRPr="00C41AE3" w14:paraId="52FF14CC" w14:textId="77777777" w:rsidTr="00FB57C6">
        <w:tc>
          <w:tcPr>
            <w:tcW w:w="10278" w:type="dxa"/>
            <w:shd w:val="clear" w:color="auto" w:fill="auto"/>
          </w:tcPr>
          <w:p w14:paraId="0361914A"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b/>
                <w:color w:val="000000"/>
                <w:lang w:eastAsia="en-GB"/>
              </w:rPr>
            </w:pPr>
            <w:r w:rsidRPr="00C41AE3">
              <w:rPr>
                <w:rFonts w:ascii="Arial" w:eastAsia="Times New Roman" w:hAnsi="Arial" w:cs="Arial"/>
                <w:b/>
                <w:color w:val="000000"/>
                <w:lang w:eastAsia="en-GB"/>
              </w:rPr>
              <w:t>Question b:</w:t>
            </w:r>
          </w:p>
          <w:p w14:paraId="510F84EC"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r w:rsidRPr="00C41AE3">
              <w:rPr>
                <w:rFonts w:ascii="Arial" w:eastAsia="Times New Roman" w:hAnsi="Arial" w:cs="Arial"/>
                <w:color w:val="000000"/>
                <w:lang w:eastAsia="en-GB"/>
              </w:rPr>
              <w:t>Reflect on the difference between safeguarding in adults’ and children’s work</w:t>
            </w:r>
          </w:p>
          <w:p w14:paraId="5B6B35AE"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3AF72A9B" w14:textId="77777777" w:rsidR="00223D79" w:rsidRPr="00C41AE3" w:rsidRDefault="00223D79" w:rsidP="00FB57C6">
            <w:pPr>
              <w:spacing w:before="100" w:beforeAutospacing="1" w:after="100" w:afterAutospacing="1" w:line="360" w:lineRule="auto"/>
              <w:jc w:val="both"/>
              <w:rPr>
                <w:rFonts w:ascii="Arial" w:eastAsia="Times New Roman" w:hAnsi="Arial" w:cs="Arial"/>
                <w:lang w:eastAsia="en-GB"/>
              </w:rPr>
            </w:pPr>
            <w:r w:rsidRPr="00C41AE3">
              <w:rPr>
                <w:rFonts w:ascii="Arial" w:eastAsia="Times New Roman" w:hAnsi="Arial" w:cs="Arial"/>
                <w:lang w:eastAsia="en-GB"/>
              </w:rPr>
              <w:t>Safeguarding in social work is a critical concern across all demographics, but it manifests differently in adults' and children's services in Wales, reflecting the distinct vulnerabilities and legal frameworks that govern each group.</w:t>
            </w:r>
          </w:p>
          <w:p w14:paraId="372A4058" w14:textId="77777777" w:rsidR="00223D79" w:rsidRPr="00C41AE3" w:rsidRDefault="00223D79" w:rsidP="00FB57C6">
            <w:pPr>
              <w:spacing w:before="100" w:beforeAutospacing="1" w:after="100" w:afterAutospacing="1" w:line="360" w:lineRule="auto"/>
              <w:jc w:val="both"/>
              <w:rPr>
                <w:rFonts w:ascii="Arial" w:eastAsia="Times New Roman" w:hAnsi="Arial" w:cs="Arial"/>
                <w:lang w:eastAsia="en-GB"/>
              </w:rPr>
            </w:pPr>
            <w:r w:rsidRPr="00C41AE3">
              <w:rPr>
                <w:rFonts w:ascii="Arial" w:eastAsia="Times New Roman" w:hAnsi="Arial" w:cs="Arial"/>
                <w:lang w:eastAsia="en-GB"/>
              </w:rPr>
              <w:t>In children’s social work, safeguarding is primarily focused on protecting children from abuse, neglect, and exploitation. The primary legislative framework guiding this work in Wales includes the Children Act 1989, the Children Act 2004, and the Social Services and Well-being (Wales) Act 2014. These laws establish the duty of local authorities to promote the welfare of children and ensure their safety. A key feature of children's safeguarding is the emphasis on early intervention and preventive measures. Multi-agency collaboration is essential, with social workers working alongside schools, health services, and police to identify at-risk children and provide comprehensive support.</w:t>
            </w:r>
          </w:p>
          <w:p w14:paraId="6AF3471C" w14:textId="77777777" w:rsidR="00223D79" w:rsidRPr="00C41AE3" w:rsidRDefault="00223D79" w:rsidP="00FB57C6">
            <w:pPr>
              <w:spacing w:before="100" w:beforeAutospacing="1" w:after="100" w:afterAutospacing="1" w:line="360" w:lineRule="auto"/>
              <w:jc w:val="both"/>
              <w:rPr>
                <w:rFonts w:ascii="Arial" w:eastAsia="Times New Roman" w:hAnsi="Arial" w:cs="Arial"/>
                <w:lang w:eastAsia="en-GB"/>
              </w:rPr>
            </w:pPr>
            <w:r w:rsidRPr="00C41AE3">
              <w:rPr>
                <w:rFonts w:ascii="Arial" w:eastAsia="Times New Roman" w:hAnsi="Arial" w:cs="Arial"/>
                <w:lang w:eastAsia="en-GB"/>
              </w:rPr>
              <w:t>Children's safeguarding also prioritizes the child's voice and experience. The "Listening to Children" principle is embedded in practice, ensuring that children’s views are heard and considered in decision-making processes</w:t>
            </w:r>
            <w:sdt>
              <w:sdtPr>
                <w:rPr>
                  <w:rFonts w:ascii="Arial" w:eastAsia="Times New Roman" w:hAnsi="Arial" w:cs="Arial"/>
                  <w:lang w:eastAsia="en-GB"/>
                </w:rPr>
                <w:id w:val="-901898624"/>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Wel14 \l 2057 </w:instrText>
                </w:r>
                <w:r>
                  <w:rPr>
                    <w:rFonts w:ascii="Arial" w:eastAsia="Times New Roman" w:hAnsi="Arial" w:cs="Arial"/>
                    <w:lang w:eastAsia="en-GB"/>
                  </w:rPr>
                  <w:fldChar w:fldCharType="separate"/>
                </w:r>
                <w:r>
                  <w:rPr>
                    <w:rFonts w:ascii="Arial" w:eastAsia="Times New Roman" w:hAnsi="Arial" w:cs="Arial"/>
                    <w:noProof/>
                    <w:lang w:eastAsia="en-GB"/>
                  </w:rPr>
                  <w:t xml:space="preserve"> </w:t>
                </w:r>
                <w:r w:rsidRPr="00F8398F">
                  <w:rPr>
                    <w:rFonts w:ascii="Arial" w:eastAsia="Times New Roman" w:hAnsi="Arial" w:cs="Arial"/>
                    <w:noProof/>
                    <w:lang w:eastAsia="en-GB"/>
                  </w:rPr>
                  <w:t>(Welsh Government , 2014 )</w:t>
                </w:r>
                <w:r>
                  <w:rPr>
                    <w:rFonts w:ascii="Arial" w:eastAsia="Times New Roman" w:hAnsi="Arial" w:cs="Arial"/>
                    <w:lang w:eastAsia="en-GB"/>
                  </w:rPr>
                  <w:fldChar w:fldCharType="end"/>
                </w:r>
              </w:sdtContent>
            </w:sdt>
            <w:r w:rsidRPr="00C41AE3">
              <w:rPr>
                <w:rFonts w:ascii="Arial" w:eastAsia="Times New Roman" w:hAnsi="Arial" w:cs="Arial"/>
                <w:lang w:eastAsia="en-GB"/>
              </w:rPr>
              <w:t>. Furthermore, there is a strong focus on family-centred approaches, aiming to keep families together when it is safe to do so while also recognizing when removal from harmful situations is necessary</w:t>
            </w:r>
            <w:sdt>
              <w:sdtPr>
                <w:rPr>
                  <w:rFonts w:ascii="Arial" w:eastAsia="Times New Roman" w:hAnsi="Arial" w:cs="Arial"/>
                  <w:lang w:eastAsia="en-GB"/>
                </w:rPr>
                <w:id w:val="-1003665614"/>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Cai21 \l 2057 </w:instrText>
                </w:r>
                <w:r>
                  <w:rPr>
                    <w:rFonts w:ascii="Arial" w:eastAsia="Times New Roman" w:hAnsi="Arial" w:cs="Arial"/>
                    <w:lang w:eastAsia="en-GB"/>
                  </w:rPr>
                  <w:fldChar w:fldCharType="separate"/>
                </w:r>
                <w:r>
                  <w:rPr>
                    <w:rFonts w:ascii="Arial" w:eastAsia="Times New Roman" w:hAnsi="Arial" w:cs="Arial"/>
                    <w:noProof/>
                    <w:lang w:eastAsia="en-GB"/>
                  </w:rPr>
                  <w:t xml:space="preserve"> </w:t>
                </w:r>
                <w:r w:rsidRPr="00F8398F">
                  <w:rPr>
                    <w:rFonts w:ascii="Arial" w:eastAsia="Times New Roman" w:hAnsi="Arial" w:cs="Arial"/>
                    <w:noProof/>
                    <w:lang w:eastAsia="en-GB"/>
                  </w:rPr>
                  <w:t>(Caiels, 2021)</w:t>
                </w:r>
                <w:r>
                  <w:rPr>
                    <w:rFonts w:ascii="Arial" w:eastAsia="Times New Roman" w:hAnsi="Arial" w:cs="Arial"/>
                    <w:lang w:eastAsia="en-GB"/>
                  </w:rPr>
                  <w:fldChar w:fldCharType="end"/>
                </w:r>
              </w:sdtContent>
            </w:sdt>
            <w:r w:rsidRPr="00C41AE3">
              <w:rPr>
                <w:rFonts w:ascii="Arial" w:eastAsia="Times New Roman" w:hAnsi="Arial" w:cs="Arial"/>
                <w:lang w:eastAsia="en-GB"/>
              </w:rPr>
              <w:t>.</w:t>
            </w:r>
          </w:p>
          <w:p w14:paraId="11FBE088" w14:textId="77777777" w:rsidR="00223D79" w:rsidRPr="00C41AE3" w:rsidRDefault="00223D79" w:rsidP="00FB57C6">
            <w:pPr>
              <w:spacing w:before="100" w:beforeAutospacing="1" w:after="100" w:afterAutospacing="1" w:line="360" w:lineRule="auto"/>
              <w:jc w:val="both"/>
              <w:rPr>
                <w:rFonts w:ascii="Arial" w:eastAsia="Times New Roman" w:hAnsi="Arial" w:cs="Arial"/>
                <w:lang w:eastAsia="en-GB"/>
              </w:rPr>
            </w:pPr>
            <w:r w:rsidRPr="00C41AE3">
              <w:rPr>
                <w:rFonts w:ascii="Arial" w:eastAsia="Times New Roman" w:hAnsi="Arial" w:cs="Arial"/>
                <w:lang w:eastAsia="en-GB"/>
              </w:rPr>
              <w:br/>
              <w:t xml:space="preserve">In contrast, safeguarding in adults' social work encompasses a broader spectrum of issues, including financial abuse, self-neglect, and elder abuse, as well as protecting vulnerable adults who may not have the same developmental needs as children. The Social Services and Well-being (Wales) Act 2014 applies here as well, emphasizing the importance of promoting well-being, independence, and safeguarding vulnerable adults from harm. The approach is often person-centred, </w:t>
            </w:r>
            <w:r w:rsidRPr="00C41AE3">
              <w:rPr>
                <w:rFonts w:ascii="Arial" w:eastAsia="Times New Roman" w:hAnsi="Arial" w:cs="Arial"/>
                <w:lang w:eastAsia="en-GB"/>
              </w:rPr>
              <w:lastRenderedPageBreak/>
              <w:t>focusing on individual empowerment and the right to make choices about one’s own life, even when those choices may seem risky.</w:t>
            </w:r>
          </w:p>
          <w:p w14:paraId="06E16F7E" w14:textId="77777777" w:rsidR="00223D79" w:rsidRPr="00C41AE3" w:rsidRDefault="00223D79" w:rsidP="00FB57C6">
            <w:pPr>
              <w:spacing w:before="100" w:beforeAutospacing="1" w:after="100" w:afterAutospacing="1" w:line="360" w:lineRule="auto"/>
              <w:jc w:val="both"/>
              <w:rPr>
                <w:rFonts w:ascii="Arial" w:eastAsia="Times New Roman" w:hAnsi="Arial" w:cs="Arial"/>
                <w:lang w:eastAsia="en-GB"/>
              </w:rPr>
            </w:pPr>
            <w:r w:rsidRPr="00C41AE3">
              <w:rPr>
                <w:rFonts w:ascii="Arial" w:eastAsia="Times New Roman" w:hAnsi="Arial" w:cs="Arial"/>
                <w:lang w:eastAsia="en-GB"/>
              </w:rPr>
              <w:t>Safeguarding adults also involves complex assessments of capacity, requiring social workers to navigate issues of consent and autonomy</w:t>
            </w:r>
            <w:sdt>
              <w:sdtPr>
                <w:rPr>
                  <w:rFonts w:ascii="Arial" w:eastAsia="Times New Roman" w:hAnsi="Arial" w:cs="Arial"/>
                  <w:lang w:eastAsia="en-GB"/>
                </w:rPr>
                <w:id w:val="-422345339"/>
                <w:citation/>
              </w:sdt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UKG98 \l 2057 </w:instrText>
                </w:r>
                <w:r>
                  <w:rPr>
                    <w:rFonts w:ascii="Arial" w:eastAsia="Times New Roman" w:hAnsi="Arial" w:cs="Arial"/>
                    <w:lang w:eastAsia="en-GB"/>
                  </w:rPr>
                  <w:fldChar w:fldCharType="separate"/>
                </w:r>
                <w:r>
                  <w:rPr>
                    <w:rFonts w:ascii="Arial" w:eastAsia="Times New Roman" w:hAnsi="Arial" w:cs="Arial"/>
                    <w:noProof/>
                    <w:lang w:eastAsia="en-GB"/>
                  </w:rPr>
                  <w:t xml:space="preserve"> </w:t>
                </w:r>
                <w:r w:rsidRPr="00F8398F">
                  <w:rPr>
                    <w:rFonts w:ascii="Arial" w:eastAsia="Times New Roman" w:hAnsi="Arial" w:cs="Arial"/>
                    <w:noProof/>
                    <w:lang w:eastAsia="en-GB"/>
                  </w:rPr>
                  <w:t>(UK Government , 1998)</w:t>
                </w:r>
                <w:r>
                  <w:rPr>
                    <w:rFonts w:ascii="Arial" w:eastAsia="Times New Roman" w:hAnsi="Arial" w:cs="Arial"/>
                    <w:lang w:eastAsia="en-GB"/>
                  </w:rPr>
                  <w:fldChar w:fldCharType="end"/>
                </w:r>
              </w:sdtContent>
            </w:sdt>
            <w:r w:rsidRPr="00C41AE3">
              <w:rPr>
                <w:rFonts w:ascii="Arial" w:eastAsia="Times New Roman" w:hAnsi="Arial" w:cs="Arial"/>
                <w:lang w:eastAsia="en-GB"/>
              </w:rPr>
              <w:t>. This necessitates a nuanced understanding of mental health, cognitive impairments, and the dynamics of power in relationships. The adult safeguarding framework encourages risk management rather than purely risk aversion, advocating for informed decision-making that respects individuals’ rights.</w:t>
            </w:r>
          </w:p>
          <w:p w14:paraId="117EDD17" w14:textId="77777777" w:rsidR="00223D79" w:rsidRPr="00C41AE3" w:rsidRDefault="00223D79" w:rsidP="00FB57C6">
            <w:pPr>
              <w:spacing w:before="100" w:beforeAutospacing="1" w:after="100" w:afterAutospacing="1" w:line="360" w:lineRule="auto"/>
              <w:jc w:val="both"/>
              <w:rPr>
                <w:rFonts w:ascii="Arial" w:eastAsia="Times New Roman" w:hAnsi="Arial" w:cs="Arial"/>
                <w:lang w:eastAsia="en-GB"/>
              </w:rPr>
            </w:pPr>
            <w:r w:rsidRPr="00C41AE3">
              <w:rPr>
                <w:rFonts w:ascii="Arial" w:eastAsia="Times New Roman" w:hAnsi="Arial" w:cs="Arial"/>
                <w:lang w:eastAsia="en-GB"/>
              </w:rPr>
              <w:br/>
              <w:t>In summary, while both children’s and adults’ safeguarding in Wales share a commitment to protection and well-being, they differ in focus, legal frameworks, and methodologies. Children’s safeguarding emphasizes proactive intervention and family support, while adults’ safeguarding requires balancing autonomy with protection, highlighting the complexities of adult vulnerabilities. This distinction underscores the necessity for tailored approaches in social work practice, ensuring that all individuals receive the appropriate support and protection they require.</w:t>
            </w:r>
          </w:p>
          <w:p w14:paraId="4AF46431"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1CB4856B"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b/>
                <w:bCs/>
                <w:color w:val="000000"/>
                <w:lang w:eastAsia="en-GB"/>
              </w:rPr>
            </w:pPr>
            <w:r w:rsidRPr="00C41AE3">
              <w:rPr>
                <w:rFonts w:ascii="Arial" w:eastAsia="Times New Roman" w:hAnsi="Arial" w:cs="Arial"/>
                <w:b/>
                <w:bCs/>
                <w:color w:val="000000"/>
                <w:lang w:eastAsia="en-GB"/>
              </w:rPr>
              <w:t>Word count- 404</w:t>
            </w:r>
          </w:p>
          <w:p w14:paraId="546F16A3"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44C450F8"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3A630732"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p w14:paraId="0417DF7C"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i/>
                <w:color w:val="000000"/>
                <w:lang w:eastAsia="en-GB"/>
              </w:rPr>
            </w:pPr>
            <w:r w:rsidRPr="00C41AE3">
              <w:rPr>
                <w:rFonts w:ascii="Arial" w:eastAsia="Times New Roman" w:hAnsi="Arial" w:cs="Arial"/>
                <w:i/>
                <w:color w:val="000000"/>
                <w:lang w:eastAsia="en-GB"/>
              </w:rPr>
              <w:t>400 words</w:t>
            </w:r>
            <w:r w:rsidRPr="00C41AE3">
              <w:rPr>
                <w:rFonts w:ascii="Arial" w:eastAsia="Times New Roman" w:hAnsi="Arial" w:cs="Arial"/>
                <w:color w:val="000000"/>
                <w:lang w:eastAsia="en-GB"/>
              </w:rPr>
              <w:t xml:space="preserve"> </w:t>
            </w:r>
            <w:r w:rsidRPr="00C41AE3">
              <w:rPr>
                <w:rFonts w:ascii="Arial" w:eastAsia="Times New Roman" w:hAnsi="Arial" w:cs="Arial"/>
                <w:i/>
                <w:color w:val="000000"/>
                <w:lang w:eastAsia="en-GB"/>
              </w:rPr>
              <w:t>(+/- 10%: include your actual word count at the end of each section).</w:t>
            </w:r>
          </w:p>
          <w:p w14:paraId="22E5551E" w14:textId="77777777" w:rsidR="00223D79" w:rsidRPr="00C41AE3" w:rsidRDefault="00223D79" w:rsidP="00FB57C6">
            <w:pPr>
              <w:overflowPunct w:val="0"/>
              <w:autoSpaceDE w:val="0"/>
              <w:autoSpaceDN w:val="0"/>
              <w:adjustRightInd w:val="0"/>
              <w:jc w:val="both"/>
              <w:textAlignment w:val="baseline"/>
              <w:rPr>
                <w:rFonts w:ascii="Arial" w:eastAsia="Times New Roman" w:hAnsi="Arial" w:cs="Arial"/>
                <w:color w:val="000000"/>
                <w:lang w:eastAsia="en-GB"/>
              </w:rPr>
            </w:pPr>
          </w:p>
        </w:tc>
      </w:tr>
    </w:tbl>
    <w:p w14:paraId="2C45542E" w14:textId="16FBF68B" w:rsidR="00D8782E" w:rsidRDefault="00D8782E"/>
    <w:sectPr w:rsidR="00D878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D79"/>
    <w:rsid w:val="00015A48"/>
    <w:rsid w:val="000F5387"/>
    <w:rsid w:val="00223D79"/>
    <w:rsid w:val="004C60AE"/>
    <w:rsid w:val="005512A9"/>
    <w:rsid w:val="00B22CCC"/>
    <w:rsid w:val="00D8782E"/>
    <w:rsid w:val="00DB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C4BEA"/>
  <w15:chartTrackingRefBased/>
  <w15:docId w15:val="{0E25F3A4-6EDE-4A6B-ACEB-D68732C91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D79"/>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223D7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23D7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23D79"/>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23D79"/>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223D79"/>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223D79"/>
    <w:pPr>
      <w:keepNext/>
      <w:keepLines/>
      <w:spacing w:before="4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223D79"/>
    <w:pPr>
      <w:keepNext/>
      <w:keepLines/>
      <w:spacing w:before="4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223D79"/>
    <w:pPr>
      <w:keepNext/>
      <w:keepLines/>
      <w:spacing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223D79"/>
    <w:pPr>
      <w:keepNext/>
      <w:keepLines/>
      <w:spacing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D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3D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3D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3D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3D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3D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D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D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D79"/>
    <w:rPr>
      <w:rFonts w:eastAsiaTheme="majorEastAsia" w:cstheme="majorBidi"/>
      <w:color w:val="272727" w:themeColor="text1" w:themeTint="D8"/>
    </w:rPr>
  </w:style>
  <w:style w:type="paragraph" w:styleId="Title">
    <w:name w:val="Title"/>
    <w:basedOn w:val="Normal"/>
    <w:next w:val="Normal"/>
    <w:link w:val="TitleChar"/>
    <w:uiPriority w:val="10"/>
    <w:qFormat/>
    <w:rsid w:val="00223D7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23D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D79"/>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23D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D79"/>
    <w:pPr>
      <w:spacing w:before="160" w:after="160" w:line="259" w:lineRule="auto"/>
      <w:jc w:val="center"/>
    </w:pPr>
    <w:rPr>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223D79"/>
    <w:rPr>
      <w:i/>
      <w:iCs/>
      <w:color w:val="404040" w:themeColor="text1" w:themeTint="BF"/>
    </w:rPr>
  </w:style>
  <w:style w:type="paragraph" w:styleId="ListParagraph">
    <w:name w:val="List Paragraph"/>
    <w:basedOn w:val="Normal"/>
    <w:uiPriority w:val="34"/>
    <w:qFormat/>
    <w:rsid w:val="00223D79"/>
    <w:pPr>
      <w:spacing w:after="160" w:line="259" w:lineRule="auto"/>
      <w:ind w:left="720"/>
      <w:contextualSpacing/>
    </w:pPr>
    <w:rPr>
      <w:kern w:val="2"/>
      <w:sz w:val="22"/>
      <w:szCs w:val="22"/>
      <w14:ligatures w14:val="standardContextual"/>
    </w:rPr>
  </w:style>
  <w:style w:type="character" w:styleId="IntenseEmphasis">
    <w:name w:val="Intense Emphasis"/>
    <w:basedOn w:val="DefaultParagraphFont"/>
    <w:uiPriority w:val="21"/>
    <w:qFormat/>
    <w:rsid w:val="00223D79"/>
    <w:rPr>
      <w:i/>
      <w:iCs/>
      <w:color w:val="0F4761" w:themeColor="accent1" w:themeShade="BF"/>
    </w:rPr>
  </w:style>
  <w:style w:type="paragraph" w:styleId="IntenseQuote">
    <w:name w:val="Intense Quote"/>
    <w:basedOn w:val="Normal"/>
    <w:next w:val="Normal"/>
    <w:link w:val="IntenseQuoteChar"/>
    <w:uiPriority w:val="30"/>
    <w:qFormat/>
    <w:rsid w:val="00223D79"/>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223D79"/>
    <w:rPr>
      <w:i/>
      <w:iCs/>
      <w:color w:val="0F4761" w:themeColor="accent1" w:themeShade="BF"/>
    </w:rPr>
  </w:style>
  <w:style w:type="character" w:styleId="IntenseReference">
    <w:name w:val="Intense Reference"/>
    <w:basedOn w:val="DefaultParagraphFont"/>
    <w:uiPriority w:val="32"/>
    <w:qFormat/>
    <w:rsid w:val="00223D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Bri23</b:Tag>
    <b:SourceType>InternetSite</b:SourceType>
    <b:Guid>{C5FBAB13-AE70-41F4-8001-0965F980C6EA}</b:Guid>
    <b:Author>
      <b:Author>
        <b:NameList>
          <b:Person>
            <b:Last>(BASW)</b:Last>
            <b:First>British</b:First>
            <b:Middle>Association Social Work</b:Middle>
          </b:Person>
        </b:NameList>
      </b:Author>
    </b:Author>
    <b:Title> Collaboration isn’t easy, but essential in social work. </b:Title>
    <b:Year>2023</b:Year>
    <b:URL>https://basw.co.uk/articles/collaboration-isnt-easy-essential-social-work.</b:URL>
    <b:RefOrder>13</b:RefOrder>
  </b:Source>
  <b:Source>
    <b:Tag>Wel14</b:Tag>
    <b:SourceType>Book</b:SourceType>
    <b:Guid>{3FEA16D4-A324-4F3D-B8B7-DBC1A7D64A4F}</b:Guid>
    <b:Author>
      <b:Author>
        <b:Corporate>Welsh Government </b:Corporate>
      </b:Author>
    </b:Author>
    <b:Title>Social services Well-being (Wales) Act </b:Title>
    <b:Year>2014 </b:Year>
    <b:City>Cradiff </b:City>
    <b:RefOrder>8</b:RefOrder>
  </b:Source>
  <b:Source>
    <b:Tag>Cai21</b:Tag>
    <b:SourceType>JournalArticle</b:SourceType>
    <b:Guid>{A15829CB-5F57-475E-BEFA-88C8DA0BC579}</b:Guid>
    <b:Title>strengths-Based Approaches in Social Work and Social Care: Reviewing the evidence</b:Title>
    <b:Year>2021</b:Year>
    <b:URL>https://doi.org/10.31389/jltc.102</b:URL>
    <b:Author>
      <b:Author>
        <b:NameList>
          <b:Person>
            <b:Last>Caiels</b:Last>
            <b:First>J.,</b:First>
            <b:Middle>Milne, A. and Beadle-Brown, J.</b:Middle>
          </b:Person>
        </b:NameList>
      </b:Author>
    </b:Author>
    <b:JournalName>Journal of Long-Term Care, pp. 401–422.</b:JournalName>
    <b:RefOrder>7</b:RefOrder>
  </b:Source>
  <b:Source>
    <b:Tag>UKG98</b:Tag>
    <b:SourceType>Book</b:SourceType>
    <b:Guid>{546E5EA2-7175-4BE6-B5ED-DC1297CEA233}</b:Guid>
    <b:Author>
      <b:Author>
        <b:Corporate>UK Government </b:Corporate>
      </b:Author>
    </b:Author>
    <b:Title>Human rights Act</b:Title>
    <b:Year>1998</b:Year>
    <b:RefOrder>18</b:RefOrder>
  </b:Source>
</b:Sources>
</file>

<file path=customXml/itemProps1.xml><?xml version="1.0" encoding="utf-8"?>
<ds:datastoreItem xmlns:ds="http://schemas.openxmlformats.org/officeDocument/2006/customXml" ds:itemID="{48A4CFAC-96E6-4FD6-A0AE-18627E5AA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1194</Words>
  <Characters>6806</Characters>
  <Application>Microsoft Office Word</Application>
  <DocSecurity>0</DocSecurity>
  <Lines>56</Lines>
  <Paragraphs>15</Paragraphs>
  <ScaleCrop>false</ScaleCrop>
  <Company>Swansea Council</Company>
  <LinksUpToDate>false</LinksUpToDate>
  <CharactersWithSpaces>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Norman</dc:creator>
  <cp:keywords/>
  <dc:description/>
  <cp:lastModifiedBy>Louise Norman</cp:lastModifiedBy>
  <cp:revision>1</cp:revision>
  <dcterms:created xsi:type="dcterms:W3CDTF">2024-10-08T02:55:00Z</dcterms:created>
  <dcterms:modified xsi:type="dcterms:W3CDTF">2024-10-08T02:56:00Z</dcterms:modified>
</cp:coreProperties>
</file>