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9810F" w14:textId="77777777" w:rsidR="007E2EDA" w:rsidRPr="00475CDA" w:rsidRDefault="007E2EDA" w:rsidP="007E2EDA">
      <w:pPr>
        <w:spacing w:line="360" w:lineRule="auto"/>
        <w:ind w:firstLine="0"/>
        <w:jc w:val="center"/>
        <w:rPr>
          <w:rFonts w:ascii="Arial" w:hAnsi="Arial" w:cs="Arial"/>
          <w:b/>
          <w:bCs/>
          <w:sz w:val="22"/>
          <w:szCs w:val="22"/>
        </w:rPr>
      </w:pPr>
      <w:r w:rsidRPr="00475CDA">
        <w:rPr>
          <w:rFonts w:ascii="Arial" w:hAnsi="Arial" w:cs="Arial"/>
          <w:b/>
          <w:bCs/>
          <w:sz w:val="22"/>
          <w:szCs w:val="22"/>
        </w:rPr>
        <w:t>Critical Analysis: Person-Centered Management Interventions for Adults with Heart Failure in the UK</w:t>
      </w:r>
    </w:p>
    <w:p w14:paraId="3BE8E86D" w14:textId="77777777" w:rsidR="007E2EDA" w:rsidRDefault="007E2EDA" w:rsidP="007E2EDA">
      <w:pPr>
        <w:spacing w:line="360" w:lineRule="auto"/>
        <w:ind w:firstLine="0"/>
        <w:jc w:val="center"/>
        <w:rPr>
          <w:rFonts w:ascii="Arial" w:hAnsi="Arial" w:cs="Arial"/>
          <w:b/>
          <w:bCs/>
          <w:sz w:val="22"/>
          <w:szCs w:val="22"/>
        </w:rPr>
      </w:pPr>
    </w:p>
    <w:p w14:paraId="71297E7A" w14:textId="77777777" w:rsidR="007E2EDA" w:rsidRDefault="007E2EDA" w:rsidP="007E2EDA">
      <w:pPr>
        <w:spacing w:line="360" w:lineRule="auto"/>
        <w:ind w:firstLine="0"/>
        <w:jc w:val="center"/>
        <w:rPr>
          <w:rFonts w:ascii="Arial" w:hAnsi="Arial" w:cs="Arial"/>
          <w:b/>
          <w:bCs/>
          <w:sz w:val="22"/>
          <w:szCs w:val="22"/>
        </w:rPr>
      </w:pPr>
    </w:p>
    <w:p w14:paraId="5FE60933" w14:textId="77777777" w:rsidR="007E2EDA" w:rsidRPr="00475CDA" w:rsidRDefault="007E2EDA" w:rsidP="007E2EDA">
      <w:pPr>
        <w:spacing w:line="360" w:lineRule="auto"/>
        <w:ind w:firstLine="0"/>
        <w:jc w:val="center"/>
        <w:rPr>
          <w:rFonts w:ascii="Arial" w:hAnsi="Arial" w:cs="Arial"/>
          <w:b/>
          <w:bCs/>
          <w:sz w:val="22"/>
          <w:szCs w:val="22"/>
        </w:rPr>
      </w:pPr>
      <w:r>
        <w:rPr>
          <w:rFonts w:ascii="Arial" w:hAnsi="Arial" w:cs="Arial"/>
          <w:b/>
          <w:bCs/>
          <w:sz w:val="22"/>
          <w:szCs w:val="22"/>
        </w:rPr>
        <w:t>Student: Fadumo Omar (2311758)</w:t>
      </w:r>
    </w:p>
    <w:p w14:paraId="16FBE589" w14:textId="77777777" w:rsidR="007E2EDA" w:rsidRPr="0065109A" w:rsidRDefault="007E2EDA" w:rsidP="007E2EDA">
      <w:pPr>
        <w:spacing w:line="360" w:lineRule="auto"/>
        <w:ind w:firstLine="0"/>
        <w:jc w:val="center"/>
        <w:rPr>
          <w:rFonts w:ascii="Arial" w:hAnsi="Arial" w:cs="Arial"/>
          <w:b/>
          <w:bCs/>
          <w:sz w:val="22"/>
          <w:szCs w:val="22"/>
        </w:rPr>
      </w:pPr>
      <w:r w:rsidRPr="0065109A">
        <w:rPr>
          <w:rFonts w:ascii="Arial" w:hAnsi="Arial" w:cs="Arial"/>
          <w:b/>
          <w:bCs/>
          <w:sz w:val="22"/>
          <w:szCs w:val="22"/>
        </w:rPr>
        <w:t>Community care and Management of Longer-term Conditions</w:t>
      </w:r>
    </w:p>
    <w:p w14:paraId="58A183D9" w14:textId="77777777" w:rsidR="007E2EDA" w:rsidRPr="0065109A" w:rsidRDefault="007E2EDA" w:rsidP="007E2EDA">
      <w:pPr>
        <w:spacing w:line="360" w:lineRule="auto"/>
        <w:ind w:firstLine="0"/>
        <w:jc w:val="center"/>
        <w:rPr>
          <w:rFonts w:ascii="Arial" w:hAnsi="Arial" w:cs="Arial"/>
          <w:b/>
          <w:bCs/>
          <w:sz w:val="22"/>
          <w:szCs w:val="22"/>
        </w:rPr>
      </w:pPr>
      <w:r w:rsidRPr="0065109A">
        <w:rPr>
          <w:rFonts w:ascii="Arial" w:hAnsi="Arial" w:cs="Arial"/>
          <w:b/>
          <w:bCs/>
          <w:sz w:val="22"/>
          <w:szCs w:val="22"/>
        </w:rPr>
        <w:t>Module code: LCHS7003</w:t>
      </w:r>
    </w:p>
    <w:p w14:paraId="474BF5D2" w14:textId="77777777" w:rsidR="007E2EDA" w:rsidRPr="0065109A" w:rsidRDefault="007E2EDA" w:rsidP="007E2EDA">
      <w:pPr>
        <w:spacing w:line="360" w:lineRule="auto"/>
        <w:ind w:firstLine="0"/>
        <w:jc w:val="center"/>
        <w:rPr>
          <w:rFonts w:ascii="Arial" w:hAnsi="Arial" w:cs="Arial"/>
          <w:b/>
          <w:bCs/>
          <w:sz w:val="22"/>
          <w:szCs w:val="22"/>
        </w:rPr>
      </w:pPr>
      <w:r w:rsidRPr="0065109A">
        <w:rPr>
          <w:rFonts w:ascii="Arial" w:hAnsi="Arial" w:cs="Arial"/>
          <w:b/>
          <w:bCs/>
          <w:sz w:val="22"/>
          <w:szCs w:val="22"/>
        </w:rPr>
        <w:t>Lecturer: Dr Aishat Bake</w:t>
      </w:r>
    </w:p>
    <w:p w14:paraId="482258E6" w14:textId="77777777" w:rsidR="007E2EDA" w:rsidRPr="0065109A" w:rsidRDefault="007E2EDA" w:rsidP="007E2EDA">
      <w:pPr>
        <w:spacing w:line="360" w:lineRule="auto"/>
        <w:ind w:firstLine="0"/>
        <w:jc w:val="center"/>
        <w:rPr>
          <w:rFonts w:ascii="Arial" w:hAnsi="Arial" w:cs="Arial"/>
          <w:b/>
          <w:bCs/>
          <w:sz w:val="22"/>
          <w:szCs w:val="22"/>
        </w:rPr>
      </w:pPr>
    </w:p>
    <w:p w14:paraId="68B940B3" w14:textId="77777777" w:rsidR="007E2EDA" w:rsidRDefault="007E2EDA" w:rsidP="007E2EDA">
      <w:pPr>
        <w:rPr>
          <w:rFonts w:ascii="Arial" w:hAnsi="Arial" w:cs="Arial"/>
          <w:sz w:val="22"/>
          <w:szCs w:val="22"/>
        </w:rPr>
      </w:pPr>
      <w:r>
        <w:rPr>
          <w:rFonts w:ascii="Arial" w:hAnsi="Arial" w:cs="Arial"/>
          <w:sz w:val="22"/>
          <w:szCs w:val="22"/>
        </w:rPr>
        <w:br w:type="page"/>
      </w:r>
    </w:p>
    <w:p w14:paraId="25F4085E" w14:textId="77777777" w:rsidR="007E2EDA" w:rsidRPr="00F74E27" w:rsidRDefault="007E2EDA" w:rsidP="007E2EDA">
      <w:pPr>
        <w:spacing w:line="360" w:lineRule="auto"/>
        <w:ind w:firstLine="0"/>
        <w:jc w:val="center"/>
        <w:rPr>
          <w:rFonts w:ascii="Arial" w:hAnsi="Arial" w:cs="Arial"/>
          <w:sz w:val="22"/>
          <w:szCs w:val="22"/>
        </w:rPr>
      </w:pPr>
      <w:r w:rsidRPr="00F74E27">
        <w:rPr>
          <w:rFonts w:ascii="Arial" w:hAnsi="Arial" w:cs="Arial"/>
          <w:sz w:val="22"/>
          <w:szCs w:val="22"/>
        </w:rPr>
        <w:lastRenderedPageBreak/>
        <w:t>Introduction</w:t>
      </w:r>
    </w:p>
    <w:p w14:paraId="1DF1C2DC"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Heart failure (HF) is a complex chronic illness that affects individuals, families, and the health care systems greatly. This condition can be addressed through medication, life change, and constant assistance as opposed to the acute illnesses that could be cured through the assistance of short-term treatment methods. Even though an improvement in </w:t>
      </w:r>
      <w:proofErr w:type="gramStart"/>
      <w:r w:rsidRPr="00F74E27">
        <w:rPr>
          <w:rFonts w:ascii="Arial" w:hAnsi="Arial" w:cs="Arial"/>
          <w:sz w:val="22"/>
          <w:szCs w:val="22"/>
        </w:rPr>
        <w:t>the cardiovascular</w:t>
      </w:r>
      <w:proofErr w:type="gramEnd"/>
      <w:r w:rsidRPr="00F74E27">
        <w:rPr>
          <w:rFonts w:ascii="Arial" w:hAnsi="Arial" w:cs="Arial"/>
          <w:sz w:val="22"/>
          <w:szCs w:val="22"/>
        </w:rPr>
        <w:t xml:space="preserve"> care that improves the survival rate has occurred, some individuals still have the symptoms, become incapable of being independent, and change their social and emotional lives significantly. </w:t>
      </w:r>
      <w:proofErr w:type="gramStart"/>
      <w:r w:rsidRPr="00F74E27">
        <w:rPr>
          <w:rFonts w:ascii="Arial" w:hAnsi="Arial" w:cs="Arial"/>
          <w:sz w:val="22"/>
          <w:szCs w:val="22"/>
        </w:rPr>
        <w:t>So</w:t>
      </w:r>
      <w:proofErr w:type="gramEnd"/>
      <w:r w:rsidRPr="00F74E27">
        <w:rPr>
          <w:rFonts w:ascii="Arial" w:hAnsi="Arial" w:cs="Arial"/>
          <w:sz w:val="22"/>
          <w:szCs w:val="22"/>
        </w:rPr>
        <w:t xml:space="preserve"> the treatment of heart failure cannot be personalized on the disease itself but must instead be on a person-centered approach that includes the priorities of the individuals involved, their conditions, and their objectives. There is a need to critically analyze the burden of heart failure and its impact on individuals and their families and the need for current interventions by the NHS that focus on assisting people to lead a healthy life with the condition.</w:t>
      </w:r>
    </w:p>
    <w:p w14:paraId="5ECD3B0D" w14:textId="77777777" w:rsidR="007E2EDA" w:rsidRPr="00475CDA" w:rsidRDefault="007E2EDA" w:rsidP="007E2EDA">
      <w:pPr>
        <w:spacing w:line="360" w:lineRule="auto"/>
        <w:ind w:firstLine="0"/>
        <w:jc w:val="center"/>
        <w:rPr>
          <w:rFonts w:ascii="Arial" w:hAnsi="Arial" w:cs="Arial"/>
          <w:sz w:val="22"/>
          <w:szCs w:val="22"/>
        </w:rPr>
      </w:pPr>
      <w:r w:rsidRPr="00475CDA">
        <w:rPr>
          <w:rFonts w:ascii="Arial" w:hAnsi="Arial" w:cs="Arial"/>
          <w:sz w:val="22"/>
          <w:szCs w:val="22"/>
        </w:rPr>
        <w:t>Introduction to Heart Failure</w:t>
      </w:r>
    </w:p>
    <w:p w14:paraId="025F465B"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Heart Failure as a Long-Term Complication Condition</w:t>
      </w:r>
    </w:p>
    <w:p w14:paraId="1C1AC25D"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Heart failure (HF) should be taken as a complex syndrome since its overall effects extend beyond </w:t>
      </w:r>
      <w:proofErr w:type="gramStart"/>
      <w:r w:rsidRPr="00F74E27">
        <w:rPr>
          <w:rFonts w:ascii="Arial" w:hAnsi="Arial" w:cs="Arial"/>
          <w:sz w:val="22"/>
          <w:szCs w:val="22"/>
        </w:rPr>
        <w:t>the dysfunction</w:t>
      </w:r>
      <w:proofErr w:type="gramEnd"/>
      <w:r w:rsidRPr="00F74E27">
        <w:rPr>
          <w:rFonts w:ascii="Arial" w:hAnsi="Arial" w:cs="Arial"/>
          <w:sz w:val="22"/>
          <w:szCs w:val="22"/>
        </w:rPr>
        <w:t xml:space="preserve"> of the heart. Clinically, in HF, the structural or functional deficits lead to the inability of the heart to provide adequate circulation or normal filling pressures. Current taxonomies that are present are heart failure with reduced ejection fraction (HFrEF), mildly reduced ejection fraction (</w:t>
      </w:r>
      <w:proofErr w:type="spellStart"/>
      <w:r w:rsidRPr="00F74E27">
        <w:rPr>
          <w:rFonts w:ascii="Arial" w:hAnsi="Arial" w:cs="Arial"/>
          <w:sz w:val="22"/>
          <w:szCs w:val="22"/>
        </w:rPr>
        <w:t>HFmrEF</w:t>
      </w:r>
      <w:proofErr w:type="spellEnd"/>
      <w:r w:rsidRPr="00F74E27">
        <w:rPr>
          <w:rFonts w:ascii="Arial" w:hAnsi="Arial" w:cs="Arial"/>
          <w:sz w:val="22"/>
          <w:szCs w:val="22"/>
        </w:rPr>
        <w:t>), and preserved ejection fraction (HFpEF) (Rywik et al., 2023). Although there is some evidence of treatment decisions support, these categories offer limited comprehension of patient experience, as two patients with the same cardiac measurements may have a highly different amount of disability and quality of life. Vanneste et al. (2024) point out that suitable HF management must be based on the signs and symptoms, functional capabilities, and patient desires as well as clinical outcomes. Although one cannot afford to ignore the biomedical categorization, the effort to resort to physiological measures solely poses a risk of being insensitive to the psychological and social reality of being a patient with heart failure.</w:t>
      </w:r>
    </w:p>
    <w:p w14:paraId="499F3132"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Burden of Heart Failure in the UK and Globally</w:t>
      </w:r>
    </w:p>
    <w:p w14:paraId="7B2F199C"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One of the most noteworthy health problems impacting the modern world is the growing number of patients with heart failure, where more than 64 million people are living with the disease at present (Savarese et al., 2022). The statistics, though, should be critically examined because increased prevalence can imply successful healthcare along with the continuous burden of the disease. According to Sapna et al. (2023), the advances made in the treatment of coronary artery disease on top of the acute conditions of the heart have allowed more patients to live longer with the disease, which would have killed them earlier. This results in a positive indication of improved </w:t>
      </w:r>
      <w:r w:rsidRPr="00F74E27">
        <w:rPr>
          <w:rFonts w:ascii="Arial" w:hAnsi="Arial" w:cs="Arial"/>
          <w:sz w:val="22"/>
          <w:szCs w:val="22"/>
        </w:rPr>
        <w:lastRenderedPageBreak/>
        <w:t xml:space="preserve">survival instead of a greater disease burden due to the increasing HF population. However, this can be challenging, as there may be long periods of symptom control, health care dependency, and disability </w:t>
      </w:r>
      <w:proofErr w:type="gramStart"/>
      <w:r w:rsidRPr="00F74E27">
        <w:rPr>
          <w:rFonts w:ascii="Arial" w:hAnsi="Arial" w:cs="Arial"/>
          <w:sz w:val="22"/>
          <w:szCs w:val="22"/>
        </w:rPr>
        <w:t>as a result of</w:t>
      </w:r>
      <w:proofErr w:type="gramEnd"/>
      <w:r w:rsidRPr="00F74E27">
        <w:rPr>
          <w:rFonts w:ascii="Arial" w:hAnsi="Arial" w:cs="Arial"/>
          <w:sz w:val="22"/>
          <w:szCs w:val="22"/>
        </w:rPr>
        <w:t xml:space="preserve"> living longer with HF. Therefore, the medical systems ought to shift their emphasis from survival to well-being in the long term.</w:t>
      </w:r>
    </w:p>
    <w:p w14:paraId="58F67CB1"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Heart failure is a condition that impacts more than 920,000 individuals in the UK with a notable number of hospitalizations (British Heart Foundation, n.d.). This results in increased strain on the existing resources, which </w:t>
      </w:r>
      <w:proofErr w:type="gramStart"/>
      <w:r w:rsidRPr="00F74E27">
        <w:rPr>
          <w:rFonts w:ascii="Arial" w:hAnsi="Arial" w:cs="Arial"/>
          <w:sz w:val="22"/>
          <w:szCs w:val="22"/>
        </w:rPr>
        <w:t>takes</w:t>
      </w:r>
      <w:proofErr w:type="gramEnd"/>
      <w:r w:rsidRPr="00F74E27">
        <w:rPr>
          <w:rFonts w:ascii="Arial" w:hAnsi="Arial" w:cs="Arial"/>
          <w:sz w:val="22"/>
          <w:szCs w:val="22"/>
        </w:rPr>
        <w:t xml:space="preserve"> almost 2% (around £2 billion) of the NHS budget per year (</w:t>
      </w:r>
      <w:proofErr w:type="spellStart"/>
      <w:r w:rsidRPr="00F74E27">
        <w:rPr>
          <w:rFonts w:ascii="Arial" w:hAnsi="Arial" w:cs="Arial"/>
          <w:sz w:val="22"/>
          <w:szCs w:val="22"/>
        </w:rPr>
        <w:t>Guleria</w:t>
      </w:r>
      <w:proofErr w:type="spellEnd"/>
      <w:r w:rsidRPr="00F74E27">
        <w:rPr>
          <w:rFonts w:ascii="Arial" w:hAnsi="Arial" w:cs="Arial"/>
          <w:sz w:val="22"/>
          <w:szCs w:val="22"/>
        </w:rPr>
        <w:t xml:space="preserve"> et al., 2025). The strain put on services shows that good management at the community level is vital because, in most cases, hospitalization is linked with symptom deterioration that may be alleviated with the help of timely intervention. A high admission rate, however, does not necessarily mean that care is of low quality since HF is progressive and, despite the right care, it may worsen. Nevertheless, the high number of hospitalizations proves the imperfection of the prevention, observation of the symptoms, and expert help. This means that the proactive management practices that would empower the individuals and families to realize </w:t>
      </w:r>
      <w:proofErr w:type="gramStart"/>
      <w:r w:rsidRPr="00F74E27">
        <w:rPr>
          <w:rFonts w:ascii="Arial" w:hAnsi="Arial" w:cs="Arial"/>
          <w:sz w:val="22"/>
          <w:szCs w:val="22"/>
        </w:rPr>
        <w:t>the deterioration</w:t>
      </w:r>
      <w:proofErr w:type="gramEnd"/>
      <w:r w:rsidRPr="00F74E27">
        <w:rPr>
          <w:rFonts w:ascii="Arial" w:hAnsi="Arial" w:cs="Arial"/>
          <w:sz w:val="22"/>
          <w:szCs w:val="22"/>
        </w:rPr>
        <w:t xml:space="preserve"> and obtain early support should be more of a concern in person-centered care.</w:t>
      </w:r>
    </w:p>
    <w:p w14:paraId="031A786F" w14:textId="77777777" w:rsidR="007E2EDA" w:rsidRPr="00475CDA" w:rsidRDefault="007E2EDA" w:rsidP="007E2EDA">
      <w:pPr>
        <w:spacing w:line="360" w:lineRule="auto"/>
        <w:ind w:firstLine="0"/>
        <w:jc w:val="both"/>
        <w:rPr>
          <w:rFonts w:ascii="Arial" w:hAnsi="Arial" w:cs="Arial"/>
          <w:i/>
          <w:iCs/>
          <w:sz w:val="22"/>
          <w:szCs w:val="22"/>
        </w:rPr>
      </w:pPr>
      <w:proofErr w:type="spellStart"/>
      <w:r w:rsidRPr="00475CDA">
        <w:rPr>
          <w:rFonts w:ascii="Arial" w:hAnsi="Arial" w:cs="Arial"/>
          <w:i/>
          <w:iCs/>
          <w:sz w:val="22"/>
          <w:szCs w:val="22"/>
        </w:rPr>
        <w:t>Aetiology</w:t>
      </w:r>
      <w:proofErr w:type="spellEnd"/>
      <w:r w:rsidRPr="00475CDA">
        <w:rPr>
          <w:rFonts w:ascii="Arial" w:hAnsi="Arial" w:cs="Arial"/>
          <w:i/>
          <w:iCs/>
          <w:sz w:val="22"/>
          <w:szCs w:val="22"/>
        </w:rPr>
        <w:t xml:space="preserve"> and Risk Factors</w:t>
      </w:r>
    </w:p>
    <w:p w14:paraId="298ADD8B"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Heart failure has developed </w:t>
      </w:r>
      <w:proofErr w:type="gramStart"/>
      <w:r w:rsidRPr="00F74E27">
        <w:rPr>
          <w:rFonts w:ascii="Arial" w:hAnsi="Arial" w:cs="Arial"/>
          <w:sz w:val="22"/>
          <w:szCs w:val="22"/>
        </w:rPr>
        <w:t xml:space="preserve">as a consequence </w:t>
      </w:r>
      <w:r>
        <w:rPr>
          <w:rFonts w:ascii="Arial" w:hAnsi="Arial" w:cs="Arial"/>
          <w:sz w:val="22"/>
          <w:szCs w:val="22"/>
        </w:rPr>
        <w:t>of</w:t>
      </w:r>
      <w:proofErr w:type="gramEnd"/>
      <w:r>
        <w:rPr>
          <w:rFonts w:ascii="Arial" w:hAnsi="Arial" w:cs="Arial"/>
          <w:sz w:val="22"/>
          <w:szCs w:val="22"/>
        </w:rPr>
        <w:t xml:space="preserve"> </w:t>
      </w:r>
      <w:r w:rsidRPr="00F74E27">
        <w:rPr>
          <w:rFonts w:ascii="Arial" w:hAnsi="Arial" w:cs="Arial"/>
          <w:sz w:val="22"/>
          <w:szCs w:val="22"/>
        </w:rPr>
        <w:t>the combination</w:t>
      </w:r>
      <w:r>
        <w:rPr>
          <w:rFonts w:ascii="Arial" w:hAnsi="Arial" w:cs="Arial"/>
          <w:sz w:val="22"/>
          <w:szCs w:val="22"/>
        </w:rPr>
        <w:t xml:space="preserve"> of</w:t>
      </w:r>
      <w:r w:rsidRPr="00F74E27">
        <w:rPr>
          <w:rFonts w:ascii="Arial" w:hAnsi="Arial" w:cs="Arial"/>
          <w:sz w:val="22"/>
          <w:szCs w:val="22"/>
        </w:rPr>
        <w:t xml:space="preserve"> cardiovascular disease, metabolic diseases, and lifestyle elements. The major ones are hypertension, coronary artery disease, diabetes, obesity, smoking, and chronic kidney disease (Ruiz-Garcia et al., 2023). The critical point about high blood pressure is that after high-pressure stressing, the heart constricts the cardiac muscles to overstress the structural apparatus, thereby damaging the heart (Gallo and Savoia, 2024). The attempt to define HF in terms of individual risk behavior, however, presents a unilateral perspective since the social conditions affect the nature of different risk factors. As in the case of the underprivileged communities, the community members might fail to access good nutrition, physical activities, and preventative health care. Bann et al. (2024) determine the existing gap in the socioeconomic groups in cardiovascular-related outcomes and indicate that prevention cannot be grounded </w:t>
      </w:r>
      <w:proofErr w:type="gramStart"/>
      <w:r w:rsidRPr="00F74E27">
        <w:rPr>
          <w:rFonts w:ascii="Arial" w:hAnsi="Arial" w:cs="Arial"/>
          <w:sz w:val="22"/>
          <w:szCs w:val="22"/>
        </w:rPr>
        <w:t>on</w:t>
      </w:r>
      <w:proofErr w:type="gramEnd"/>
      <w:r w:rsidRPr="00F74E27">
        <w:rPr>
          <w:rFonts w:ascii="Arial" w:hAnsi="Arial" w:cs="Arial"/>
          <w:sz w:val="22"/>
          <w:szCs w:val="22"/>
        </w:rPr>
        <w:t xml:space="preserve"> the extent to which individual responsibility is demanded. Thus, person-centered HF management needs to </w:t>
      </w:r>
      <w:proofErr w:type="gramStart"/>
      <w:r w:rsidRPr="00F74E27">
        <w:rPr>
          <w:rFonts w:ascii="Arial" w:hAnsi="Arial" w:cs="Arial"/>
          <w:sz w:val="22"/>
          <w:szCs w:val="22"/>
        </w:rPr>
        <w:t>take into account</w:t>
      </w:r>
      <w:proofErr w:type="gramEnd"/>
      <w:r w:rsidRPr="00F74E27">
        <w:rPr>
          <w:rFonts w:ascii="Arial" w:hAnsi="Arial" w:cs="Arial"/>
          <w:sz w:val="22"/>
          <w:szCs w:val="22"/>
        </w:rPr>
        <w:t xml:space="preserve"> the broader social determinants of health behaviors and disease progression.</w:t>
      </w:r>
    </w:p>
    <w:p w14:paraId="4F61DF36"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Prevention and Self-Management Issues</w:t>
      </w:r>
    </w:p>
    <w:p w14:paraId="78BCF08F"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Though cardiovascular complications are preventable, risk factors </w:t>
      </w:r>
      <w:proofErr w:type="gramStart"/>
      <w:r w:rsidRPr="00F74E27">
        <w:rPr>
          <w:rFonts w:ascii="Arial" w:hAnsi="Arial" w:cs="Arial"/>
          <w:sz w:val="22"/>
          <w:szCs w:val="22"/>
        </w:rPr>
        <w:t>have to</w:t>
      </w:r>
      <w:proofErr w:type="gramEnd"/>
      <w:r w:rsidRPr="00F74E27">
        <w:rPr>
          <w:rFonts w:ascii="Arial" w:hAnsi="Arial" w:cs="Arial"/>
          <w:sz w:val="22"/>
          <w:szCs w:val="22"/>
        </w:rPr>
        <w:t xml:space="preserve"> be managed; however, prevention cannot be achieved by simply providing the patients with health information. Patients with heart failure may be aware of what is recommended regarding diets, exercise, and medications, yet may be unable to adhere to this due to fatigue, shortness of breath, depression, </w:t>
      </w:r>
      <w:r w:rsidRPr="00F74E27">
        <w:rPr>
          <w:rFonts w:ascii="Arial" w:hAnsi="Arial" w:cs="Arial"/>
          <w:sz w:val="22"/>
          <w:szCs w:val="22"/>
        </w:rPr>
        <w:lastRenderedPageBreak/>
        <w:t>or financial reasons. This questions the conventional methods that consider that knowledge can automatically result in behavioral change. According to Butterworth et al. (2026), personalized education, multidisciplinary support, and shared decision-making can be used to effectively manage long-term conditions.</w:t>
      </w:r>
    </w:p>
    <w:p w14:paraId="036584E8" w14:textId="77777777" w:rsidR="007E2EDA" w:rsidRPr="00475CDA" w:rsidRDefault="007E2EDA" w:rsidP="007E2EDA">
      <w:pPr>
        <w:spacing w:line="360" w:lineRule="auto"/>
        <w:ind w:firstLine="0"/>
        <w:jc w:val="center"/>
        <w:rPr>
          <w:rFonts w:ascii="Arial" w:hAnsi="Arial" w:cs="Arial"/>
          <w:sz w:val="22"/>
          <w:szCs w:val="22"/>
        </w:rPr>
      </w:pPr>
      <w:r w:rsidRPr="00475CDA">
        <w:rPr>
          <w:rFonts w:ascii="Arial" w:hAnsi="Arial" w:cs="Arial"/>
          <w:sz w:val="22"/>
          <w:szCs w:val="22"/>
        </w:rPr>
        <w:t>Physiological, Psychological, and Social Consequences, Family Consequences, and NHS Therapies for Heart Failure</w:t>
      </w:r>
    </w:p>
    <w:p w14:paraId="68A85B92"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Physical Effects and Quality of Life</w:t>
      </w:r>
    </w:p>
    <w:p w14:paraId="1DCDDF16"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Niklasson et al. (2022) note that heart failure has significant effects on physical functioning, as it is characterized by breathlessness, fatigue, and inability to exercise, as well as retention of fluid that tends to limit engagement in daily activities. While the modern types of treatments offer greater possibilities of survival, a large percentage of patients still face high symptom burden, which proves that the increased survival does not necessarily mean better quality of life (Savarese et al., 2022). However, while most of the healthcare systems are interested in quantifiable outcomes, such as mortality and admission rates, patients might be more interested in autonomy, establishing healthy interactions, and valuable </w:t>
      </w:r>
      <w:r>
        <w:rPr>
          <w:rFonts w:ascii="Arial" w:hAnsi="Arial" w:cs="Arial"/>
          <w:sz w:val="22"/>
          <w:szCs w:val="22"/>
        </w:rPr>
        <w:t xml:space="preserve">interactions </w:t>
      </w:r>
      <w:r w:rsidRPr="00F74E27">
        <w:rPr>
          <w:rFonts w:ascii="Arial" w:hAnsi="Arial" w:cs="Arial"/>
          <w:sz w:val="22"/>
          <w:szCs w:val="22"/>
        </w:rPr>
        <w:t xml:space="preserve">(Isaac et al., 2026). Person-centered care therefore entails having the medical practitioners give more attention to what concerns people and not </w:t>
      </w:r>
      <w:proofErr w:type="gramStart"/>
      <w:r w:rsidRPr="00F74E27">
        <w:rPr>
          <w:rFonts w:ascii="Arial" w:hAnsi="Arial" w:cs="Arial"/>
          <w:sz w:val="22"/>
          <w:szCs w:val="22"/>
        </w:rPr>
        <w:t>paying</w:t>
      </w:r>
      <w:proofErr w:type="gramEnd"/>
      <w:r w:rsidRPr="00F74E27">
        <w:rPr>
          <w:rFonts w:ascii="Arial" w:hAnsi="Arial" w:cs="Arial"/>
          <w:sz w:val="22"/>
          <w:szCs w:val="22"/>
        </w:rPr>
        <w:t xml:space="preserve"> attention to the signs of an ailment alone.</w:t>
      </w:r>
    </w:p>
    <w:p w14:paraId="7DF409CF"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Psychological and Emotional Impacts of Heart Failure</w:t>
      </w:r>
    </w:p>
    <w:p w14:paraId="16293A98"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HF has significant correlations with the levels of anxiety, depression, and fear of future deterioration, which is commonly underestimated in the psychological effects of heart failure. The fluctuating characteristic of the condition can lead to some uncertainty, since a person can have a certain stable condition, and then the condition starts to deteriorate suddenly, which might need emergency treatment. Depression can also influence the adherence to medication negatively and motivation, as well as participation in self-management activities. However, the cardiovascular services may not be provided along with psychological support, which is a drawback in the connection between the concept of holistic care and its application in practice (Cusmano et al., 2025). Although there is greater susceptibility to psychological needs among the specialist cardiac services, staffing shortages could decrease access to the necessary support.</w:t>
      </w:r>
    </w:p>
    <w:p w14:paraId="46B99E61"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Family and Social Impact</w:t>
      </w:r>
    </w:p>
    <w:p w14:paraId="59FDBBD0"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Heart failure is a condition that not only impacts people but also families that tend to provide different unpaid care. Family members can </w:t>
      </w:r>
      <w:proofErr w:type="gramStart"/>
      <w:r w:rsidRPr="00F74E27">
        <w:rPr>
          <w:rFonts w:ascii="Arial" w:hAnsi="Arial" w:cs="Arial"/>
          <w:sz w:val="22"/>
          <w:szCs w:val="22"/>
        </w:rPr>
        <w:t>provide assistance</w:t>
      </w:r>
      <w:proofErr w:type="gramEnd"/>
      <w:r w:rsidRPr="00F74E27">
        <w:rPr>
          <w:rFonts w:ascii="Arial" w:hAnsi="Arial" w:cs="Arial"/>
          <w:sz w:val="22"/>
          <w:szCs w:val="22"/>
        </w:rPr>
        <w:t xml:space="preserve"> with medication administration, transportation, symptom management, and emotional care. Although family influence can boost continuity of care, </w:t>
      </w:r>
      <w:proofErr w:type="spellStart"/>
      <w:r w:rsidRPr="00F74E27">
        <w:rPr>
          <w:rFonts w:ascii="Arial" w:hAnsi="Arial" w:cs="Arial"/>
          <w:sz w:val="22"/>
          <w:szCs w:val="22"/>
        </w:rPr>
        <w:t>Suthershinii</w:t>
      </w:r>
      <w:proofErr w:type="spellEnd"/>
      <w:r w:rsidRPr="00F74E27">
        <w:rPr>
          <w:rFonts w:ascii="Arial" w:hAnsi="Arial" w:cs="Arial"/>
          <w:sz w:val="22"/>
          <w:szCs w:val="22"/>
        </w:rPr>
        <w:t xml:space="preserve"> et al. (2022) report that caregiving can also become a stressor, cause financial difficulties, and deteriorate well-being among carers. One </w:t>
      </w:r>
      <w:r w:rsidRPr="00F74E27">
        <w:rPr>
          <w:rFonts w:ascii="Arial" w:hAnsi="Arial" w:cs="Arial"/>
          <w:sz w:val="22"/>
          <w:szCs w:val="22"/>
        </w:rPr>
        <w:lastRenderedPageBreak/>
        <w:t>weakness of person-centered practice is that the needs of the caregiver are not considered in the current practices in healthcare, which tend to be patient-centered (</w:t>
      </w:r>
      <w:proofErr w:type="spellStart"/>
      <w:r w:rsidRPr="00F74E27">
        <w:rPr>
          <w:rFonts w:ascii="Arial" w:hAnsi="Arial" w:cs="Arial"/>
          <w:sz w:val="22"/>
          <w:szCs w:val="22"/>
        </w:rPr>
        <w:t>Furmenti</w:t>
      </w:r>
      <w:proofErr w:type="spellEnd"/>
      <w:r w:rsidRPr="00F74E27">
        <w:rPr>
          <w:rFonts w:ascii="Arial" w:hAnsi="Arial" w:cs="Arial"/>
          <w:sz w:val="22"/>
          <w:szCs w:val="22"/>
        </w:rPr>
        <w:t xml:space="preserve"> et al., 2025). A more holistic perspective is needed to acknowledge families as co-determinants of care and, at the same time, make sure that patients play a central role in decision-making relating to treatment and support.</w:t>
      </w:r>
    </w:p>
    <w:p w14:paraId="761B0CD3"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NHS Treatment Approaches: Advantages and Disadvantages</w:t>
      </w:r>
    </w:p>
    <w:p w14:paraId="06C7FAEF"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The NHS offers evidence-based interventions that have greatly enhanced the outcome of individuals with heart failure. Pharmacological agents, such as beta-blockers, angiotensin receptor-neprilysin, and SGLT2, decrease the risk of hospitalization and death, especially in patients with low ejection fraction (Severino et al., 2023; Zaher et al., 2024). Nevertheless, one of the main problems is a disproportional adoption of the treatments. Late diagnosis, comorbidities, intolerance, or difference in service provision to a portion of patients can lead to the inappropriateness of therapy. Good interventions as well as equal access to and uniformity of NHS services help to improve HF care.</w:t>
      </w:r>
    </w:p>
    <w:p w14:paraId="40F2551A"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Interdisciplinary Care to Help with Self-Management</w:t>
      </w:r>
    </w:p>
    <w:p w14:paraId="2BB79BB7"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According to Dugal et al. (2024), non-pharmacological therapy such as cardiac rehabilitation, special heart failure nursing, and tailor-made learning are necessary to help individuals cope with the disease effectively. The strategies </w:t>
      </w:r>
      <w:proofErr w:type="gramStart"/>
      <w:r w:rsidRPr="00F74E27">
        <w:rPr>
          <w:rFonts w:ascii="Arial" w:hAnsi="Arial" w:cs="Arial"/>
          <w:sz w:val="22"/>
          <w:szCs w:val="22"/>
        </w:rPr>
        <w:t>are capable of boosting</w:t>
      </w:r>
      <w:proofErr w:type="gramEnd"/>
      <w:r w:rsidRPr="00F74E27">
        <w:rPr>
          <w:rFonts w:ascii="Arial" w:hAnsi="Arial" w:cs="Arial"/>
          <w:sz w:val="22"/>
          <w:szCs w:val="22"/>
        </w:rPr>
        <w:t xml:space="preserve"> trust, recognition of symptoms, and participation in care. Nonetheless, access is not equal in all regions, and the growing exploitation of digital health technologies can fail to consider those without digital literacy or access. Thus, person-centered care should ensure that human support to the patient is complemented by the new methods instead of going away with the existing human aid.</w:t>
      </w:r>
    </w:p>
    <w:p w14:paraId="3DDD8A15" w14:textId="77777777" w:rsidR="007E2EDA" w:rsidRPr="00475CDA" w:rsidRDefault="007E2EDA" w:rsidP="007E2EDA">
      <w:pPr>
        <w:spacing w:line="360" w:lineRule="auto"/>
        <w:ind w:firstLine="0"/>
        <w:jc w:val="center"/>
        <w:rPr>
          <w:rFonts w:ascii="Arial" w:hAnsi="Arial" w:cs="Arial"/>
          <w:sz w:val="22"/>
          <w:szCs w:val="22"/>
        </w:rPr>
      </w:pPr>
      <w:r w:rsidRPr="00475CDA">
        <w:rPr>
          <w:rFonts w:ascii="Arial" w:hAnsi="Arial" w:cs="Arial"/>
          <w:sz w:val="22"/>
          <w:szCs w:val="22"/>
        </w:rPr>
        <w:t>Theoretical Perspectives that Support the Management of Person-Centered Heart Failure</w:t>
      </w:r>
    </w:p>
    <w:p w14:paraId="77070FDB"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UK Model: NHS House of Care Framework</w:t>
      </w:r>
    </w:p>
    <w:p w14:paraId="64F848A8"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The NHS House of Care Framework can be regarded as a good illustration of how the enhanced outcomes of the individuals with long-lasting issues can be realized by putting individualized care planning at the core of the services. The model comprises four components that interact, including the involved and informed patients, committed health care professionals to working as partners, organizational processes that encourage personalized care, and commissioning systems that encourage effective services (British Heart Foundation, n.d.). This model can be used in HF conditions, since the effective management of this condition presupposes active involvement of patients in drug use, symptom control, and lifestyle decisions (Harris and Mayo, 2026). Nevertheless, </w:t>
      </w:r>
      <w:proofErr w:type="gramStart"/>
      <w:r w:rsidRPr="00F74E27">
        <w:rPr>
          <w:rFonts w:ascii="Arial" w:hAnsi="Arial" w:cs="Arial"/>
          <w:sz w:val="22"/>
          <w:szCs w:val="22"/>
        </w:rPr>
        <w:t>in spite of</w:t>
      </w:r>
      <w:proofErr w:type="gramEnd"/>
      <w:r w:rsidRPr="00F74E27">
        <w:rPr>
          <w:rFonts w:ascii="Arial" w:hAnsi="Arial" w:cs="Arial"/>
          <w:sz w:val="22"/>
          <w:szCs w:val="22"/>
        </w:rPr>
        <w:t xml:space="preserve"> the reality that the framework is based on individual-centered care values, the effectiveness relies on the local capability in implementation. </w:t>
      </w:r>
      <w:r w:rsidRPr="00F74E27">
        <w:rPr>
          <w:rFonts w:ascii="Arial" w:hAnsi="Arial" w:cs="Arial"/>
          <w:sz w:val="22"/>
          <w:szCs w:val="22"/>
        </w:rPr>
        <w:lastRenderedPageBreak/>
        <w:t xml:space="preserve">The disparities that exist in the access to the workforce, appointment time, and resources in the community may leave </w:t>
      </w:r>
      <w:proofErr w:type="gramStart"/>
      <w:r w:rsidRPr="00F74E27">
        <w:rPr>
          <w:rFonts w:ascii="Arial" w:hAnsi="Arial" w:cs="Arial"/>
          <w:sz w:val="22"/>
          <w:szCs w:val="22"/>
        </w:rPr>
        <w:t>some patients</w:t>
      </w:r>
      <w:proofErr w:type="gramEnd"/>
      <w:r w:rsidRPr="00F74E27">
        <w:rPr>
          <w:rFonts w:ascii="Arial" w:hAnsi="Arial" w:cs="Arial"/>
          <w:sz w:val="22"/>
          <w:szCs w:val="22"/>
        </w:rPr>
        <w:t xml:space="preserve"> without </w:t>
      </w:r>
      <w:proofErr w:type="gramStart"/>
      <w:r w:rsidRPr="00F74E27">
        <w:rPr>
          <w:rFonts w:ascii="Arial" w:hAnsi="Arial" w:cs="Arial"/>
          <w:sz w:val="22"/>
          <w:szCs w:val="22"/>
        </w:rPr>
        <w:t>a significant</w:t>
      </w:r>
      <w:proofErr w:type="gramEnd"/>
      <w:r w:rsidRPr="00F74E27">
        <w:rPr>
          <w:rFonts w:ascii="Arial" w:hAnsi="Arial" w:cs="Arial"/>
          <w:sz w:val="22"/>
          <w:szCs w:val="22"/>
        </w:rPr>
        <w:t xml:space="preserve"> personalized service. Consequently, the conceptual base of House of Care is quite high, yet its effectiveness is determined by the extent to which the healthcare organizations can organize the terms in accordance with which the establishment of a genuine partnership will be achieved.</w:t>
      </w:r>
    </w:p>
    <w:p w14:paraId="240837DD"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The strength of the House of Care approach is that it is a challenge to the conventional paternalistic approaches where healthcare professionals make decisions and patients passively receive care. Shared decision-making can assist in enhancing the involvement and confidence of the people with heart failure since they are likely to cope with the condition every day (British Heart Foundation, n.d.). A weakness, however, is that the framework may fail to sufficiently reflect inequalities in capabilities of patients to engage. As an example, those with lower health literacy, who are cognitively impaired, or who lack social support may not be able to equally contribute to the planning of care. Therefore, although the model helps in fostering equality in theory, person-centered care needs the use of alternative support resources that will ensure that all patients can participate (Ahmed et al., 2022).</w:t>
      </w:r>
    </w:p>
    <w:p w14:paraId="6A53E32A"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International Model: Chronic Care Model</w:t>
      </w:r>
    </w:p>
    <w:p w14:paraId="2F3E9FD8"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The other model that could best enhance the results of the long-term conditions is the Chronic Care Model (CCM), which was originally developed at the international level. The model explains that the dialogue between the ready healthcare teams, informed patients, supportive community resources, clinical information systems, and redesigned healthcare delivery processes is the key to the successful management of chronic diseases (Kroenke et al., 2024). This method is very applicable in heart failure since the effects are influenced by medical treatment </w:t>
      </w:r>
      <w:proofErr w:type="gramStart"/>
      <w:r w:rsidRPr="00F74E27">
        <w:rPr>
          <w:rFonts w:ascii="Arial" w:hAnsi="Arial" w:cs="Arial"/>
          <w:sz w:val="22"/>
          <w:szCs w:val="22"/>
        </w:rPr>
        <w:t>and also</w:t>
      </w:r>
      <w:proofErr w:type="gramEnd"/>
      <w:r w:rsidRPr="00F74E27">
        <w:rPr>
          <w:rFonts w:ascii="Arial" w:hAnsi="Arial" w:cs="Arial"/>
          <w:sz w:val="22"/>
          <w:szCs w:val="22"/>
        </w:rPr>
        <w:t xml:space="preserve"> constant observation, training, and communication among various specialists (Pedroni et al., 2023).</w:t>
      </w:r>
    </w:p>
    <w:p w14:paraId="1086F64A"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As reported by </w:t>
      </w:r>
      <w:proofErr w:type="spellStart"/>
      <w:r w:rsidRPr="00F74E27">
        <w:rPr>
          <w:rFonts w:ascii="Arial" w:hAnsi="Arial" w:cs="Arial"/>
          <w:sz w:val="22"/>
          <w:szCs w:val="22"/>
        </w:rPr>
        <w:t>Nurmansyah</w:t>
      </w:r>
      <w:proofErr w:type="spellEnd"/>
      <w:r w:rsidRPr="00F74E27">
        <w:rPr>
          <w:rFonts w:ascii="Arial" w:hAnsi="Arial" w:cs="Arial"/>
          <w:sz w:val="22"/>
          <w:szCs w:val="22"/>
        </w:rPr>
        <w:t xml:space="preserve"> et al. (2026), chronic disease management programs (SDM) could help reduce hospitalization and maximize patient confidence, but the power of the CCM depends on the healthcare environment. In an extremely chaotic healthcare system, it may not be possible to implement all the elements of the model, especially due to the financial constraints and the lack of integration of services. Although the NHS provides a more integrated environment in comparison with most of the systems available in other countries, there are similar barriers, particularly in the field of primary care-hospital and social care communication. The CCM is thus a good set of principles that need adaptation to the local health care systems instead of being directly implemented.</w:t>
      </w:r>
    </w:p>
    <w:p w14:paraId="24A3400A"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Comparison of Heart Failure Management Models</w:t>
      </w:r>
    </w:p>
    <w:p w14:paraId="25DC7A3B"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lastRenderedPageBreak/>
        <w:t>Both the NHS House of Care Framework and the Chronic Care Model emphasize partnership, self-management, and integrated care, which show the change from a disease-centric approach towards whole-person treatment. They do not, however, concentrate on the same things. The House of Care is more inclined towards personalized conversations and commissioning frameworks in the UK context (British Heart Foundation, n.d.), but the Chronic Care Model offers a broader organizational structure of redesigning chronic disease services (Kroenke et al., 2024). Both strategies can be more efficient when combined to help heart failure patients. The models are, however, not enough to transform outcomes without enough resources, workforce capacity, and focus on health disparities. Hence, theoretical frameworks can be seen as a guiding principle to practice and not as an automatic tool to enhance care.</w:t>
      </w:r>
    </w:p>
    <w:p w14:paraId="1649DE90" w14:textId="77777777" w:rsidR="007E2EDA" w:rsidRPr="00475CDA" w:rsidRDefault="007E2EDA" w:rsidP="007E2EDA">
      <w:pPr>
        <w:spacing w:line="360" w:lineRule="auto"/>
        <w:ind w:firstLine="0"/>
        <w:jc w:val="center"/>
        <w:rPr>
          <w:rFonts w:ascii="Arial" w:hAnsi="Arial" w:cs="Arial"/>
          <w:sz w:val="22"/>
          <w:szCs w:val="22"/>
        </w:rPr>
      </w:pPr>
      <w:r w:rsidRPr="00475CDA">
        <w:rPr>
          <w:rFonts w:ascii="Arial" w:hAnsi="Arial" w:cs="Arial"/>
          <w:sz w:val="22"/>
          <w:szCs w:val="22"/>
        </w:rPr>
        <w:t>Policy and Political Health and Social Care Agendas Impacting Heart Failure Management</w:t>
      </w:r>
    </w:p>
    <w:p w14:paraId="2AEBE579"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Heart Failure Care National Policy Direction</w:t>
      </w:r>
    </w:p>
    <w:p w14:paraId="36CF1E69"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The UK health policy is starting to focus more on the aspects of prevention, personalized care, and long-term integrated care and management. According to the NHS long-term plan, there is an emphasis on the improvement of cardiovascular outcomes through early detection of cardiovascular outcomes, improved management, and increasing the community-based services (The NHS Alliance, 2026). This policy trend is applicable to heart failure, as it is full of complications that can be avoided through early detection. The national ambition is, however, difficult to put into practice. The implementation process is founded on availability of the workforce, financial resources, and local priorities despite clear policy documents on what is required of the workforce. Thus, the presence of national strategies is not always a predictor of successful improvement of patient experiences.</w:t>
      </w:r>
    </w:p>
    <w:p w14:paraId="42CE789D"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NICE guidance helps in evidence-based management of heart failure by offering recommendations on </w:t>
      </w:r>
      <w:proofErr w:type="gramStart"/>
      <w:r w:rsidRPr="00F74E27">
        <w:rPr>
          <w:rFonts w:ascii="Arial" w:hAnsi="Arial" w:cs="Arial"/>
          <w:sz w:val="22"/>
          <w:szCs w:val="22"/>
        </w:rPr>
        <w:t>the diagnosis</w:t>
      </w:r>
      <w:proofErr w:type="gramEnd"/>
      <w:r w:rsidRPr="00F74E27">
        <w:rPr>
          <w:rFonts w:ascii="Arial" w:hAnsi="Arial" w:cs="Arial"/>
          <w:sz w:val="22"/>
          <w:szCs w:val="22"/>
        </w:rPr>
        <w:t>, pharmacological therapy, and multidisciplinary care (NICE, 2025). These guidelines have helped to develop an improvement in the quality of treatment, especially with increased use of guideline-directed medication. However, gaps in treatment still exist; hence, some of the patients that are expected to be receiving some therapies are not receiving them. This pinpoints an ongoing problem in healthcare policy: improvement should not only be based on creating effective guidelines; equitable delivery is also a critical aspect.</w:t>
      </w:r>
    </w:p>
    <w:p w14:paraId="05F5EA0B"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Local Implementation Through Systems of Integrated Care</w:t>
      </w:r>
    </w:p>
    <w:p w14:paraId="462054A7"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An emerging change in health and social care </w:t>
      </w:r>
      <w:proofErr w:type="gramStart"/>
      <w:r w:rsidRPr="00F74E27">
        <w:rPr>
          <w:rFonts w:ascii="Arial" w:hAnsi="Arial" w:cs="Arial"/>
          <w:sz w:val="22"/>
          <w:szCs w:val="22"/>
        </w:rPr>
        <w:t>organization</w:t>
      </w:r>
      <w:proofErr w:type="gramEnd"/>
      <w:r w:rsidRPr="00F74E27">
        <w:rPr>
          <w:rFonts w:ascii="Arial" w:hAnsi="Arial" w:cs="Arial"/>
          <w:sz w:val="22"/>
          <w:szCs w:val="22"/>
        </w:rPr>
        <w:t xml:space="preserve"> in the UK is that of Integrated Care Systems (ICSs), whereby organizations in the UK NHS are facilitating cooperation between NHS organizations, local governments, and local community services (Health and Social Care Committee, 2023). This can be of benefit to individuals with heart failure whose management </w:t>
      </w:r>
      <w:r w:rsidRPr="00F74E27">
        <w:rPr>
          <w:rFonts w:ascii="Arial" w:hAnsi="Arial" w:cs="Arial"/>
          <w:sz w:val="22"/>
          <w:szCs w:val="22"/>
        </w:rPr>
        <w:lastRenderedPageBreak/>
        <w:t>requires the collaboration of cardiologists, general practitioners, nurses, pharmacists, and social care providers. Nevertheless, local variance is a key concern. The difference in resources, availability of workforce, and service design by geographical location means that patients get differing levels of support depending on geographical location.</w:t>
      </w:r>
    </w:p>
    <w:p w14:paraId="615C6E65"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This difference questions the tenet of fair person-centered care. There is the risk of high variation, which may lead to unequal access to specialist services, rehabilitation programs, and palliative care </w:t>
      </w:r>
      <w:proofErr w:type="gramStart"/>
      <w:r w:rsidRPr="00F74E27">
        <w:rPr>
          <w:rFonts w:ascii="Arial" w:hAnsi="Arial" w:cs="Arial"/>
          <w:sz w:val="22"/>
          <w:szCs w:val="22"/>
        </w:rPr>
        <w:t>despite the fact that</w:t>
      </w:r>
      <w:proofErr w:type="gramEnd"/>
      <w:r w:rsidRPr="00F74E27">
        <w:rPr>
          <w:rFonts w:ascii="Arial" w:hAnsi="Arial" w:cs="Arial"/>
          <w:sz w:val="22"/>
          <w:szCs w:val="22"/>
        </w:rPr>
        <w:t xml:space="preserve"> Gongora Salazar (2024) explains that local flexibility means that the services will be responsive to local needs. By doing so, ICSs will need to strike the right balance between local decision-making and the national standards so that innovation does not increase inequality amongst the people.</w:t>
      </w:r>
    </w:p>
    <w:p w14:paraId="32040FD4"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Problems Implementing Policy to Practice</w:t>
      </w:r>
    </w:p>
    <w:p w14:paraId="60E00A83"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Although the policy changes have been favorable, there are too many hurdles that challenge the management of heart failure. Limited staffing and the growing demand and strain on NHS resources can limit the time to have individual discussions and preventive care. Moreover, the policies have been geared towards patient empowerment, but they have not brought out the social impediments that impact the capacity of individuals to take charge in self-management. Thus, social support, health literacy, and community resources are all needed in healthcare reform for successful implementation.</w:t>
      </w:r>
    </w:p>
    <w:p w14:paraId="0E001CE8" w14:textId="77777777" w:rsidR="007E2EDA" w:rsidRPr="00475CDA" w:rsidRDefault="007E2EDA" w:rsidP="007E2EDA">
      <w:pPr>
        <w:spacing w:line="360" w:lineRule="auto"/>
        <w:ind w:firstLine="0"/>
        <w:jc w:val="center"/>
        <w:rPr>
          <w:rFonts w:ascii="Arial" w:hAnsi="Arial" w:cs="Arial"/>
          <w:sz w:val="22"/>
          <w:szCs w:val="22"/>
        </w:rPr>
      </w:pPr>
      <w:r w:rsidRPr="00475CDA">
        <w:rPr>
          <w:rFonts w:ascii="Arial" w:hAnsi="Arial" w:cs="Arial"/>
          <w:sz w:val="22"/>
          <w:szCs w:val="22"/>
        </w:rPr>
        <w:t>Suggestions on How to Enhance Person-Centered Care for Heart Failure</w:t>
      </w:r>
    </w:p>
    <w:p w14:paraId="3561B78A"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Strengthening Self-Management Support</w:t>
      </w:r>
    </w:p>
    <w:p w14:paraId="00CAF903"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An improvement in self-management should be a key priority as patients with heart failure have to make daily decisions that may influence their outcomes. Future methods should </w:t>
      </w:r>
      <w:proofErr w:type="gramStart"/>
      <w:r w:rsidRPr="00F74E27">
        <w:rPr>
          <w:rFonts w:ascii="Arial" w:hAnsi="Arial" w:cs="Arial"/>
          <w:sz w:val="22"/>
          <w:szCs w:val="22"/>
        </w:rPr>
        <w:t>be connected with</w:t>
      </w:r>
      <w:proofErr w:type="gramEnd"/>
      <w:r w:rsidRPr="00F74E27">
        <w:rPr>
          <w:rFonts w:ascii="Arial" w:hAnsi="Arial" w:cs="Arial"/>
          <w:sz w:val="22"/>
          <w:szCs w:val="22"/>
        </w:rPr>
        <w:t xml:space="preserve"> personalized education, symptom recognition, medication literacy, and enjoyable lifestyle goals. However, </w:t>
      </w:r>
      <w:proofErr w:type="spellStart"/>
      <w:r w:rsidRPr="00F74E27">
        <w:rPr>
          <w:rFonts w:ascii="Arial" w:hAnsi="Arial" w:cs="Arial"/>
          <w:sz w:val="22"/>
          <w:szCs w:val="22"/>
        </w:rPr>
        <w:t>Krówczyńska</w:t>
      </w:r>
      <w:proofErr w:type="spellEnd"/>
      <w:r w:rsidRPr="00F74E27">
        <w:rPr>
          <w:rFonts w:ascii="Arial" w:hAnsi="Arial" w:cs="Arial"/>
          <w:sz w:val="22"/>
          <w:szCs w:val="22"/>
        </w:rPr>
        <w:t xml:space="preserve"> and Jankowska-Polańska (2022) maintain that self-management should not involve passing the entire responsibility to the patient by the professionals. Rather, healthcare teams ought to have the capability to deliver continuous care that </w:t>
      </w:r>
      <w:proofErr w:type="gramStart"/>
      <w:r w:rsidRPr="00F74E27">
        <w:rPr>
          <w:rFonts w:ascii="Arial" w:hAnsi="Arial" w:cs="Arial"/>
          <w:sz w:val="22"/>
          <w:szCs w:val="22"/>
        </w:rPr>
        <w:t>takes into account</w:t>
      </w:r>
      <w:proofErr w:type="gramEnd"/>
      <w:r w:rsidRPr="00F74E27">
        <w:rPr>
          <w:rFonts w:ascii="Arial" w:hAnsi="Arial" w:cs="Arial"/>
          <w:sz w:val="22"/>
          <w:szCs w:val="22"/>
        </w:rPr>
        <w:t xml:space="preserve"> specific situations, abilities, and obstacles experienced by the patient. This approach recognizes that self-management is not and cannot be an individual responsibility but a collective responsibility.</w:t>
      </w:r>
    </w:p>
    <w:p w14:paraId="05BF8D55"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Improving Individualized and Psychological Care</w:t>
      </w:r>
    </w:p>
    <w:p w14:paraId="209DB3EC"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Chernoff et al. (2022) recommend that the presence of anxiety, depression, and uncertainty should be more frequently considered in </w:t>
      </w:r>
      <w:proofErr w:type="gramStart"/>
      <w:r w:rsidRPr="00F74E27">
        <w:rPr>
          <w:rFonts w:ascii="Arial" w:hAnsi="Arial" w:cs="Arial"/>
          <w:sz w:val="22"/>
          <w:szCs w:val="22"/>
        </w:rPr>
        <w:t>the heart</w:t>
      </w:r>
      <w:proofErr w:type="gramEnd"/>
      <w:r w:rsidRPr="00F74E27">
        <w:rPr>
          <w:rFonts w:ascii="Arial" w:hAnsi="Arial" w:cs="Arial"/>
          <w:sz w:val="22"/>
          <w:szCs w:val="22"/>
        </w:rPr>
        <w:t xml:space="preserve"> failure services because it can have a serious impact on the patient’s quality of life. Frequent screening and referral channels would aid in detecting </w:t>
      </w:r>
      <w:proofErr w:type="gramStart"/>
      <w:r w:rsidRPr="00F74E27">
        <w:rPr>
          <w:rFonts w:ascii="Arial" w:hAnsi="Arial" w:cs="Arial"/>
          <w:sz w:val="22"/>
          <w:szCs w:val="22"/>
        </w:rPr>
        <w:t>the unfulfilled</w:t>
      </w:r>
      <w:proofErr w:type="gramEnd"/>
      <w:r w:rsidRPr="00F74E27">
        <w:rPr>
          <w:rFonts w:ascii="Arial" w:hAnsi="Arial" w:cs="Arial"/>
          <w:sz w:val="22"/>
          <w:szCs w:val="22"/>
        </w:rPr>
        <w:t xml:space="preserve"> psychological needs at </w:t>
      </w:r>
      <w:proofErr w:type="gramStart"/>
      <w:r w:rsidRPr="00F74E27">
        <w:rPr>
          <w:rFonts w:ascii="Arial" w:hAnsi="Arial" w:cs="Arial"/>
          <w:sz w:val="22"/>
          <w:szCs w:val="22"/>
        </w:rPr>
        <w:t>the earlier</w:t>
      </w:r>
      <w:proofErr w:type="gramEnd"/>
      <w:r w:rsidRPr="00F74E27">
        <w:rPr>
          <w:rFonts w:ascii="Arial" w:hAnsi="Arial" w:cs="Arial"/>
          <w:sz w:val="22"/>
          <w:szCs w:val="22"/>
        </w:rPr>
        <w:t xml:space="preserve"> stages. The psychological </w:t>
      </w:r>
      <w:r w:rsidRPr="00F74E27">
        <w:rPr>
          <w:rFonts w:ascii="Arial" w:hAnsi="Arial" w:cs="Arial"/>
          <w:sz w:val="22"/>
          <w:szCs w:val="22"/>
        </w:rPr>
        <w:lastRenderedPageBreak/>
        <w:t>interventions, however, must be attainable and culturally appropriate since the standardized intervention may not be appropriate to the needs of all patients. Thus, emotional well-being should be viewed as a component of personalized treatment that includes treatment of physical symptoms.</w:t>
      </w:r>
    </w:p>
    <w:p w14:paraId="5D0C32FE" w14:textId="77777777" w:rsidR="007E2EDA" w:rsidRPr="00475CDA" w:rsidRDefault="007E2EDA" w:rsidP="007E2EDA">
      <w:pPr>
        <w:spacing w:line="360" w:lineRule="auto"/>
        <w:ind w:firstLine="0"/>
        <w:jc w:val="both"/>
        <w:rPr>
          <w:rFonts w:ascii="Arial" w:hAnsi="Arial" w:cs="Arial"/>
          <w:i/>
          <w:iCs/>
          <w:sz w:val="22"/>
          <w:szCs w:val="22"/>
        </w:rPr>
      </w:pPr>
      <w:r w:rsidRPr="00475CDA">
        <w:rPr>
          <w:rFonts w:ascii="Arial" w:hAnsi="Arial" w:cs="Arial"/>
          <w:i/>
          <w:iCs/>
          <w:sz w:val="22"/>
          <w:szCs w:val="22"/>
        </w:rPr>
        <w:t>Integrating End-of-Life Care</w:t>
      </w:r>
    </w:p>
    <w:p w14:paraId="380D150D"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Since heart failure can follow a rather unpredictable course, early introduction of palliative care in life is a challenge, but it is necessary. Prior to the onset of crises among the patients, future care preferences, advance planning, and symptom control should be addressed. It is suggested that early supportive care can enhance the quality of living and lessen unwarranted interventions; yet clinicians might not bring up the discussions since prognosis is challenging to forecast (Xu et al., 2024). Therefore, enhancing end-of-life care calls for a cultural shift, where debates on future requirements </w:t>
      </w:r>
      <w:proofErr w:type="gramStart"/>
      <w:r w:rsidRPr="00F74E27">
        <w:rPr>
          <w:rFonts w:ascii="Arial" w:hAnsi="Arial" w:cs="Arial"/>
          <w:sz w:val="22"/>
          <w:szCs w:val="22"/>
        </w:rPr>
        <w:t>are considered to be</w:t>
      </w:r>
      <w:proofErr w:type="gramEnd"/>
      <w:r w:rsidRPr="00F74E27">
        <w:rPr>
          <w:rFonts w:ascii="Arial" w:hAnsi="Arial" w:cs="Arial"/>
          <w:sz w:val="22"/>
          <w:szCs w:val="22"/>
        </w:rPr>
        <w:t xml:space="preserve"> a continuation of a good heart failure treatment instead of a failure in the treatment.</w:t>
      </w:r>
    </w:p>
    <w:p w14:paraId="68ED5C8D" w14:textId="77777777" w:rsidR="007E2EDA" w:rsidRPr="00F74E27" w:rsidRDefault="007E2EDA" w:rsidP="007E2EDA">
      <w:pPr>
        <w:spacing w:line="360" w:lineRule="auto"/>
        <w:ind w:firstLine="0"/>
        <w:jc w:val="center"/>
        <w:rPr>
          <w:rFonts w:ascii="Arial" w:hAnsi="Arial" w:cs="Arial"/>
          <w:sz w:val="22"/>
          <w:szCs w:val="22"/>
        </w:rPr>
      </w:pPr>
      <w:r w:rsidRPr="00F74E27">
        <w:rPr>
          <w:rFonts w:ascii="Arial" w:hAnsi="Arial" w:cs="Arial"/>
          <w:sz w:val="22"/>
          <w:szCs w:val="22"/>
        </w:rPr>
        <w:t>Conclusion</w:t>
      </w:r>
    </w:p>
    <w:p w14:paraId="75047C57" w14:textId="77777777" w:rsidR="007E2EDA" w:rsidRPr="00F74E27" w:rsidRDefault="007E2EDA" w:rsidP="007E2EDA">
      <w:pPr>
        <w:spacing w:line="360" w:lineRule="auto"/>
        <w:jc w:val="both"/>
        <w:rPr>
          <w:rFonts w:ascii="Arial" w:hAnsi="Arial" w:cs="Arial"/>
          <w:sz w:val="22"/>
          <w:szCs w:val="22"/>
        </w:rPr>
      </w:pPr>
      <w:r w:rsidRPr="00F74E27">
        <w:rPr>
          <w:rFonts w:ascii="Arial" w:hAnsi="Arial" w:cs="Arial"/>
          <w:sz w:val="22"/>
          <w:szCs w:val="22"/>
        </w:rPr>
        <w:t xml:space="preserve">Heart failure is still a chronic complication that has dominated and requires management beyond </w:t>
      </w:r>
      <w:proofErr w:type="gramStart"/>
      <w:r w:rsidRPr="00F74E27">
        <w:rPr>
          <w:rFonts w:ascii="Arial" w:hAnsi="Arial" w:cs="Arial"/>
          <w:sz w:val="22"/>
          <w:szCs w:val="22"/>
        </w:rPr>
        <w:t>the medical</w:t>
      </w:r>
      <w:proofErr w:type="gramEnd"/>
      <w:r w:rsidRPr="00F74E27">
        <w:rPr>
          <w:rFonts w:ascii="Arial" w:hAnsi="Arial" w:cs="Arial"/>
          <w:sz w:val="22"/>
          <w:szCs w:val="22"/>
        </w:rPr>
        <w:t xml:space="preserve"> care. As the treatment is improving, physical hindrance, mental torture, and social battles still haunt </w:t>
      </w:r>
      <w:proofErr w:type="gramStart"/>
      <w:r w:rsidRPr="00F74E27">
        <w:rPr>
          <w:rFonts w:ascii="Arial" w:hAnsi="Arial" w:cs="Arial"/>
          <w:sz w:val="22"/>
          <w:szCs w:val="22"/>
        </w:rPr>
        <w:t>the majority of</w:t>
      </w:r>
      <w:proofErr w:type="gramEnd"/>
      <w:r w:rsidRPr="00F74E27">
        <w:rPr>
          <w:rFonts w:ascii="Arial" w:hAnsi="Arial" w:cs="Arial"/>
          <w:sz w:val="22"/>
          <w:szCs w:val="22"/>
        </w:rPr>
        <w:t xml:space="preserve"> the individuals. Two models that are people-based are the NHS House of Care Framework and the Chronic Care Model that offer good backgrounds on how to enhance the outcomes, yet their success depends on the quality of their implementation and access. The current UK policies demonstrate an inclination towards personalized and combined care, yet the issues of policy intentions and patient experiences still have gaps. Thus, the future will need more self-management support, combined psychological and family involvement, and pre-end-of-life discussions to be enhanced. Finally, healthcare systems need to view people as equal partners and not as passive recipients of care </w:t>
      </w:r>
      <w:proofErr w:type="gramStart"/>
      <w:r w:rsidRPr="00F74E27">
        <w:rPr>
          <w:rFonts w:ascii="Arial" w:hAnsi="Arial" w:cs="Arial"/>
          <w:sz w:val="22"/>
          <w:szCs w:val="22"/>
        </w:rPr>
        <w:t>in order to</w:t>
      </w:r>
      <w:proofErr w:type="gramEnd"/>
      <w:r w:rsidRPr="00F74E27">
        <w:rPr>
          <w:rFonts w:ascii="Arial" w:hAnsi="Arial" w:cs="Arial"/>
          <w:sz w:val="22"/>
          <w:szCs w:val="22"/>
        </w:rPr>
        <w:t xml:space="preserve"> enable them to live well with heart failure.</w:t>
      </w:r>
    </w:p>
    <w:p w14:paraId="4822FDC1" w14:textId="77777777" w:rsidR="007E2EDA" w:rsidRDefault="007E2EDA" w:rsidP="007E2EDA">
      <w:pPr>
        <w:rPr>
          <w:rFonts w:ascii="Arial" w:hAnsi="Arial" w:cs="Arial"/>
          <w:sz w:val="22"/>
          <w:szCs w:val="22"/>
        </w:rPr>
      </w:pPr>
      <w:r>
        <w:rPr>
          <w:rFonts w:ascii="Arial" w:hAnsi="Arial" w:cs="Arial"/>
          <w:sz w:val="22"/>
          <w:szCs w:val="22"/>
        </w:rPr>
        <w:br w:type="page"/>
      </w:r>
    </w:p>
    <w:p w14:paraId="016DC18A" w14:textId="77777777" w:rsidR="007E2EDA" w:rsidRPr="00F74E27" w:rsidRDefault="007E2EDA" w:rsidP="007E2EDA">
      <w:pPr>
        <w:spacing w:line="360" w:lineRule="auto"/>
        <w:ind w:firstLine="0"/>
        <w:jc w:val="center"/>
        <w:rPr>
          <w:rFonts w:ascii="Arial" w:hAnsi="Arial" w:cs="Arial"/>
          <w:sz w:val="22"/>
          <w:szCs w:val="22"/>
        </w:rPr>
      </w:pPr>
      <w:r w:rsidRPr="00F74E27">
        <w:rPr>
          <w:rFonts w:ascii="Arial" w:hAnsi="Arial" w:cs="Arial"/>
          <w:sz w:val="22"/>
          <w:szCs w:val="22"/>
        </w:rPr>
        <w:lastRenderedPageBreak/>
        <w:t>References</w:t>
      </w:r>
    </w:p>
    <w:p w14:paraId="6AA6783D"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Ahmed, A., van den </w:t>
      </w:r>
      <w:proofErr w:type="spellStart"/>
      <w:r w:rsidRPr="00F74E27">
        <w:rPr>
          <w:rFonts w:ascii="Arial" w:hAnsi="Arial" w:cs="Arial"/>
          <w:sz w:val="22"/>
          <w:szCs w:val="22"/>
        </w:rPr>
        <w:t>Muijsenbergh</w:t>
      </w:r>
      <w:proofErr w:type="spellEnd"/>
      <w:r w:rsidRPr="00F74E27">
        <w:rPr>
          <w:rFonts w:ascii="Arial" w:hAnsi="Arial" w:cs="Arial"/>
          <w:sz w:val="22"/>
          <w:szCs w:val="22"/>
        </w:rPr>
        <w:t xml:space="preserve">, M.E., and </w:t>
      </w:r>
      <w:proofErr w:type="spellStart"/>
      <w:r w:rsidRPr="00F74E27">
        <w:rPr>
          <w:rFonts w:ascii="Arial" w:hAnsi="Arial" w:cs="Arial"/>
          <w:sz w:val="22"/>
          <w:szCs w:val="22"/>
        </w:rPr>
        <w:t>Vrijhoef</w:t>
      </w:r>
      <w:proofErr w:type="spellEnd"/>
      <w:r w:rsidRPr="00F74E27">
        <w:rPr>
          <w:rFonts w:ascii="Arial" w:hAnsi="Arial" w:cs="Arial"/>
          <w:sz w:val="22"/>
          <w:szCs w:val="22"/>
        </w:rPr>
        <w:t xml:space="preserve">, H.J., 2022. Person-centered care in primary care: what works for whom, how, and in what circumstances? </w:t>
      </w:r>
      <w:r w:rsidRPr="00F74E27">
        <w:rPr>
          <w:rFonts w:ascii="Arial" w:hAnsi="Arial" w:cs="Arial"/>
          <w:i/>
          <w:iCs/>
          <w:sz w:val="22"/>
          <w:szCs w:val="22"/>
        </w:rPr>
        <w:t>Health &amp; social care in the community</w:t>
      </w:r>
      <w:r w:rsidRPr="00F74E27">
        <w:rPr>
          <w:rFonts w:ascii="Arial" w:hAnsi="Arial" w:cs="Arial"/>
          <w:sz w:val="22"/>
          <w:szCs w:val="22"/>
        </w:rPr>
        <w:t xml:space="preserve">, </w:t>
      </w:r>
      <w:r w:rsidRPr="00F74E27">
        <w:rPr>
          <w:rFonts w:ascii="Arial" w:hAnsi="Arial" w:cs="Arial"/>
          <w:i/>
          <w:iCs/>
          <w:sz w:val="22"/>
          <w:szCs w:val="22"/>
        </w:rPr>
        <w:t>30</w:t>
      </w:r>
      <w:r w:rsidRPr="00F74E27">
        <w:rPr>
          <w:rFonts w:ascii="Arial" w:hAnsi="Arial" w:cs="Arial"/>
          <w:sz w:val="22"/>
          <w:szCs w:val="22"/>
        </w:rPr>
        <w:t xml:space="preserve">(6), </w:t>
      </w:r>
      <w:proofErr w:type="gramStart"/>
      <w:r w:rsidRPr="00F74E27">
        <w:rPr>
          <w:rFonts w:ascii="Arial" w:hAnsi="Arial" w:cs="Arial"/>
          <w:sz w:val="22"/>
          <w:szCs w:val="22"/>
        </w:rPr>
        <w:t>pp.e</w:t>
      </w:r>
      <w:proofErr w:type="gramEnd"/>
      <w:r w:rsidRPr="00F74E27">
        <w:rPr>
          <w:rFonts w:ascii="Arial" w:hAnsi="Arial" w:cs="Arial"/>
          <w:sz w:val="22"/>
          <w:szCs w:val="22"/>
        </w:rPr>
        <w:t xml:space="preserve">3328-e3341. </w:t>
      </w:r>
      <w:hyperlink r:id="rId4" w:tgtFrame="_blank" w:history="1">
        <w:r w:rsidRPr="00F74E27">
          <w:rPr>
            <w:rStyle w:val="Hyperlink"/>
            <w:rFonts w:ascii="Arial" w:hAnsi="Arial" w:cs="Arial"/>
            <w:sz w:val="22"/>
            <w:szCs w:val="22"/>
          </w:rPr>
          <w:t>https://doi.org/10.1111/hsc.13913</w:t>
        </w:r>
      </w:hyperlink>
    </w:p>
    <w:p w14:paraId="0F5FA357"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Bann, D., Wright, L., Hughes, A., and Chaturvedi, N., 2024. Socioeconomic inequalities in cardiovascular disease: a causal perspective. </w:t>
      </w:r>
      <w:r w:rsidRPr="00F74E27">
        <w:rPr>
          <w:rFonts w:ascii="Arial" w:hAnsi="Arial" w:cs="Arial"/>
          <w:i/>
          <w:iCs/>
          <w:sz w:val="22"/>
          <w:szCs w:val="22"/>
        </w:rPr>
        <w:t>Nature Reviews Cardiology</w:t>
      </w:r>
      <w:r w:rsidRPr="00F74E27">
        <w:rPr>
          <w:rFonts w:ascii="Arial" w:hAnsi="Arial" w:cs="Arial"/>
          <w:sz w:val="22"/>
          <w:szCs w:val="22"/>
        </w:rPr>
        <w:t xml:space="preserve">, </w:t>
      </w:r>
      <w:r w:rsidRPr="00F74E27">
        <w:rPr>
          <w:rFonts w:ascii="Arial" w:hAnsi="Arial" w:cs="Arial"/>
          <w:i/>
          <w:iCs/>
          <w:sz w:val="22"/>
          <w:szCs w:val="22"/>
        </w:rPr>
        <w:t>21</w:t>
      </w:r>
      <w:r w:rsidRPr="00F74E27">
        <w:rPr>
          <w:rFonts w:ascii="Arial" w:hAnsi="Arial" w:cs="Arial"/>
          <w:sz w:val="22"/>
          <w:szCs w:val="22"/>
        </w:rPr>
        <w:t xml:space="preserve">(4), pp.238-249. </w:t>
      </w:r>
      <w:hyperlink r:id="rId5" w:tgtFrame="_blank" w:history="1">
        <w:r w:rsidRPr="00F74E27">
          <w:rPr>
            <w:rStyle w:val="Hyperlink"/>
            <w:rFonts w:ascii="Arial" w:hAnsi="Arial" w:cs="Arial"/>
            <w:sz w:val="22"/>
            <w:szCs w:val="22"/>
          </w:rPr>
          <w:t>https://doi.org/10.1038/s41569-023-00941-8</w:t>
        </w:r>
      </w:hyperlink>
    </w:p>
    <w:p w14:paraId="630A041D"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British Heart Foundation. n.d. </w:t>
      </w:r>
      <w:r w:rsidRPr="00475CDA">
        <w:rPr>
          <w:rFonts w:ascii="Arial" w:hAnsi="Arial" w:cs="Arial"/>
          <w:i/>
          <w:iCs/>
          <w:sz w:val="22"/>
          <w:szCs w:val="22"/>
        </w:rPr>
        <w:t>Heart failure research</w:t>
      </w:r>
      <w:r w:rsidRPr="00F74E27">
        <w:rPr>
          <w:rFonts w:ascii="Arial" w:hAnsi="Arial" w:cs="Arial"/>
          <w:sz w:val="22"/>
          <w:szCs w:val="22"/>
        </w:rPr>
        <w:t xml:space="preserve">. </w:t>
      </w:r>
      <w:hyperlink r:id="rId6" w:tgtFrame="_blank" w:history="1">
        <w:r w:rsidRPr="00F74E27">
          <w:rPr>
            <w:rStyle w:val="Hyperlink"/>
            <w:rFonts w:ascii="Arial" w:hAnsi="Arial" w:cs="Arial"/>
            <w:sz w:val="22"/>
            <w:szCs w:val="22"/>
          </w:rPr>
          <w:t>https://www.bhf.org.uk/what-we-do/our-research/heart-conditions-research/heart-failure-research</w:t>
        </w:r>
      </w:hyperlink>
    </w:p>
    <w:p w14:paraId="124CBFA1"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British Heart Foundation. n.d. </w:t>
      </w:r>
      <w:r w:rsidRPr="00F74E27">
        <w:rPr>
          <w:rFonts w:ascii="Arial" w:hAnsi="Arial" w:cs="Arial"/>
          <w:i/>
          <w:iCs/>
          <w:sz w:val="22"/>
          <w:szCs w:val="22"/>
        </w:rPr>
        <w:t>Person-centered care and the House of Care</w:t>
      </w:r>
      <w:r w:rsidRPr="00F74E27">
        <w:rPr>
          <w:rFonts w:ascii="Arial" w:hAnsi="Arial" w:cs="Arial"/>
          <w:sz w:val="22"/>
          <w:szCs w:val="22"/>
        </w:rPr>
        <w:t xml:space="preserve">. </w:t>
      </w:r>
      <w:hyperlink r:id="rId7" w:tgtFrame="_blank" w:history="1">
        <w:r w:rsidRPr="00F74E27">
          <w:rPr>
            <w:rStyle w:val="Hyperlink"/>
            <w:rFonts w:ascii="Arial" w:hAnsi="Arial" w:cs="Arial"/>
            <w:sz w:val="22"/>
            <w:szCs w:val="22"/>
          </w:rPr>
          <w:t>https://www.bhf.org.uk/for-professionals/healthcare-professionals/innovation-in-care/person-centred-care-and-the-house-of-care</w:t>
        </w:r>
      </w:hyperlink>
    </w:p>
    <w:p w14:paraId="256036F7"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Butterworth, J.E., Campbell, J.L., Pitchforth, E., and </w:t>
      </w:r>
      <w:proofErr w:type="spellStart"/>
      <w:r w:rsidRPr="00F74E27">
        <w:rPr>
          <w:rFonts w:ascii="Arial" w:hAnsi="Arial" w:cs="Arial"/>
          <w:sz w:val="22"/>
          <w:szCs w:val="22"/>
        </w:rPr>
        <w:t>Richardsp</w:t>
      </w:r>
      <w:proofErr w:type="spellEnd"/>
      <w:r w:rsidRPr="00F74E27">
        <w:rPr>
          <w:rFonts w:ascii="Arial" w:hAnsi="Arial" w:cs="Arial"/>
          <w:sz w:val="22"/>
          <w:szCs w:val="22"/>
        </w:rPr>
        <w:t xml:space="preserve">. 109640.026. Shared decision-making in general practice: development of a complex health care intervention targeting multiple long-term conditions. </w:t>
      </w:r>
      <w:r w:rsidRPr="00F74E27">
        <w:rPr>
          <w:rFonts w:ascii="Arial" w:hAnsi="Arial" w:cs="Arial"/>
          <w:i/>
          <w:iCs/>
          <w:sz w:val="22"/>
          <w:szCs w:val="22"/>
        </w:rPr>
        <w:t>Patient Education and Counseling</w:t>
      </w:r>
      <w:r w:rsidRPr="00F74E27">
        <w:rPr>
          <w:rFonts w:ascii="Arial" w:hAnsi="Arial" w:cs="Arial"/>
          <w:sz w:val="22"/>
          <w:szCs w:val="22"/>
        </w:rPr>
        <w:t xml:space="preserve">, p. 109640. </w:t>
      </w:r>
      <w:hyperlink r:id="rId8" w:tgtFrame="_blank" w:history="1">
        <w:r w:rsidRPr="00F74E27">
          <w:rPr>
            <w:rStyle w:val="Hyperlink"/>
            <w:rFonts w:ascii="Arial" w:hAnsi="Arial" w:cs="Arial"/>
            <w:sz w:val="22"/>
            <w:szCs w:val="22"/>
          </w:rPr>
          <w:t>https://doi.org/10.1016/j.pec.2026.109640</w:t>
        </w:r>
      </w:hyperlink>
    </w:p>
    <w:p w14:paraId="77297366"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Chernoff, R.A., Messineo, G., Kim, S., Pizano, D., </w:t>
      </w:r>
      <w:proofErr w:type="spellStart"/>
      <w:r w:rsidRPr="00F74E27">
        <w:rPr>
          <w:rFonts w:ascii="Arial" w:hAnsi="Arial" w:cs="Arial"/>
          <w:sz w:val="22"/>
          <w:szCs w:val="22"/>
        </w:rPr>
        <w:t>Korouri</w:t>
      </w:r>
      <w:proofErr w:type="spellEnd"/>
      <w:r w:rsidRPr="00F74E27">
        <w:rPr>
          <w:rFonts w:ascii="Arial" w:hAnsi="Arial" w:cs="Arial"/>
          <w:sz w:val="22"/>
          <w:szCs w:val="22"/>
        </w:rPr>
        <w:t xml:space="preserve">, S., Danovitch, I., and </w:t>
      </w:r>
      <w:proofErr w:type="spellStart"/>
      <w:r w:rsidRPr="00F74E27">
        <w:rPr>
          <w:rFonts w:ascii="Arial" w:hAnsi="Arial" w:cs="Arial"/>
          <w:sz w:val="22"/>
          <w:szCs w:val="22"/>
        </w:rPr>
        <w:t>IsHak</w:t>
      </w:r>
      <w:proofErr w:type="spellEnd"/>
      <w:r w:rsidRPr="00F74E27">
        <w:rPr>
          <w:rFonts w:ascii="Arial" w:hAnsi="Arial" w:cs="Arial"/>
          <w:sz w:val="22"/>
          <w:szCs w:val="22"/>
        </w:rPr>
        <w:t xml:space="preserve">, W.W., 2022. Psychosocial interventions for patients with heart failure and their impact on depression, anxiety, quality of life, morbidity, and mortality: a systematic review and meta-analysis. </w:t>
      </w:r>
      <w:r w:rsidRPr="00F74E27">
        <w:rPr>
          <w:rFonts w:ascii="Arial" w:hAnsi="Arial" w:cs="Arial"/>
          <w:i/>
          <w:iCs/>
          <w:sz w:val="22"/>
          <w:szCs w:val="22"/>
        </w:rPr>
        <w:t>Biopsychosocial Science and Medicine</w:t>
      </w:r>
      <w:r w:rsidRPr="00F74E27">
        <w:rPr>
          <w:rFonts w:ascii="Arial" w:hAnsi="Arial" w:cs="Arial"/>
          <w:sz w:val="22"/>
          <w:szCs w:val="22"/>
        </w:rPr>
        <w:t xml:space="preserve">, </w:t>
      </w:r>
      <w:r w:rsidRPr="00F74E27">
        <w:rPr>
          <w:rFonts w:ascii="Arial" w:hAnsi="Arial" w:cs="Arial"/>
          <w:i/>
          <w:iCs/>
          <w:sz w:val="22"/>
          <w:szCs w:val="22"/>
        </w:rPr>
        <w:t>84(5), pp.</w:t>
      </w:r>
      <w:r w:rsidRPr="00F74E27">
        <w:rPr>
          <w:rFonts w:ascii="Arial" w:hAnsi="Arial" w:cs="Arial"/>
          <w:sz w:val="22"/>
          <w:szCs w:val="22"/>
        </w:rPr>
        <w:t xml:space="preserve"> 560-580. </w:t>
      </w:r>
      <w:hyperlink r:id="rId9" w:tgtFrame="_blank" w:history="1">
        <w:r w:rsidRPr="00F74E27">
          <w:rPr>
            <w:rStyle w:val="Hyperlink"/>
            <w:rFonts w:ascii="Arial" w:hAnsi="Arial" w:cs="Arial"/>
            <w:sz w:val="22"/>
            <w:szCs w:val="22"/>
          </w:rPr>
          <w:t>https://doi.org/10.1097/PSY.0000000000001073</w:t>
        </w:r>
      </w:hyperlink>
    </w:p>
    <w:p w14:paraId="0C3D0FD0"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Cusmano, I., Loguercio, M., Di Salvo, F., Gonella, S., Ambrosetti, M., and Morici, N., 2025. Fostering interconnected care in heart failure: a call to action for a comprehensive assessment and management of the patient’s journey. </w:t>
      </w:r>
      <w:r w:rsidRPr="00F74E27">
        <w:rPr>
          <w:rFonts w:ascii="Arial" w:hAnsi="Arial" w:cs="Arial"/>
          <w:i/>
          <w:iCs/>
          <w:sz w:val="22"/>
          <w:szCs w:val="22"/>
        </w:rPr>
        <w:t>Internal and Emergency Medicine</w:t>
      </w:r>
      <w:r w:rsidRPr="00F74E27">
        <w:rPr>
          <w:rFonts w:ascii="Arial" w:hAnsi="Arial" w:cs="Arial"/>
          <w:sz w:val="22"/>
          <w:szCs w:val="22"/>
        </w:rPr>
        <w:t xml:space="preserve">, </w:t>
      </w:r>
      <w:r w:rsidRPr="00F74E27">
        <w:rPr>
          <w:rFonts w:ascii="Arial" w:hAnsi="Arial" w:cs="Arial"/>
          <w:i/>
          <w:iCs/>
          <w:sz w:val="22"/>
          <w:szCs w:val="22"/>
        </w:rPr>
        <w:t>20</w:t>
      </w:r>
      <w:r w:rsidRPr="00F74E27">
        <w:rPr>
          <w:rFonts w:ascii="Arial" w:hAnsi="Arial" w:cs="Arial"/>
          <w:sz w:val="22"/>
          <w:szCs w:val="22"/>
        </w:rPr>
        <w:t xml:space="preserve">(8), pp.2307-2318. </w:t>
      </w:r>
      <w:hyperlink r:id="rId10" w:tgtFrame="_blank" w:history="1">
        <w:r w:rsidRPr="00F74E27">
          <w:rPr>
            <w:rStyle w:val="Hyperlink"/>
            <w:rFonts w:ascii="Arial" w:hAnsi="Arial" w:cs="Arial"/>
            <w:sz w:val="22"/>
            <w:szCs w:val="22"/>
          </w:rPr>
          <w:t>https://doi.org/10.1007/s11739-025-04102-2</w:t>
        </w:r>
      </w:hyperlink>
    </w:p>
    <w:p w14:paraId="1D944680"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Dugal, J.K., Malhi, A.S., Ramazani, N., Yee, B., </w:t>
      </w:r>
      <w:proofErr w:type="spellStart"/>
      <w:r w:rsidRPr="00F74E27">
        <w:rPr>
          <w:rFonts w:ascii="Arial" w:hAnsi="Arial" w:cs="Arial"/>
          <w:sz w:val="22"/>
          <w:szCs w:val="22"/>
        </w:rPr>
        <w:t>Dicaro</w:t>
      </w:r>
      <w:proofErr w:type="spellEnd"/>
      <w:r w:rsidRPr="00F74E27">
        <w:rPr>
          <w:rFonts w:ascii="Arial" w:hAnsi="Arial" w:cs="Arial"/>
          <w:sz w:val="22"/>
          <w:szCs w:val="22"/>
        </w:rPr>
        <w:t xml:space="preserve">, M.V., and Lei, K., 2024. Non-pharmacological therapy in heart failure and management of heart failure in special populations—a review. </w:t>
      </w:r>
      <w:r w:rsidRPr="00F74E27">
        <w:rPr>
          <w:rFonts w:ascii="Arial" w:hAnsi="Arial" w:cs="Arial"/>
          <w:i/>
          <w:iCs/>
          <w:sz w:val="22"/>
          <w:szCs w:val="22"/>
        </w:rPr>
        <w:t>Journal of clinical medicine</w:t>
      </w:r>
      <w:r w:rsidRPr="00F74E27">
        <w:rPr>
          <w:rFonts w:ascii="Arial" w:hAnsi="Arial" w:cs="Arial"/>
          <w:sz w:val="22"/>
          <w:szCs w:val="22"/>
        </w:rPr>
        <w:t xml:space="preserve">, </w:t>
      </w:r>
      <w:r w:rsidRPr="00F74E27">
        <w:rPr>
          <w:rFonts w:ascii="Arial" w:hAnsi="Arial" w:cs="Arial"/>
          <w:i/>
          <w:iCs/>
          <w:sz w:val="22"/>
          <w:szCs w:val="22"/>
        </w:rPr>
        <w:t>13</w:t>
      </w:r>
      <w:r w:rsidRPr="00F74E27">
        <w:rPr>
          <w:rFonts w:ascii="Arial" w:hAnsi="Arial" w:cs="Arial"/>
          <w:sz w:val="22"/>
          <w:szCs w:val="22"/>
        </w:rPr>
        <w:t xml:space="preserve">(22), p.6993. </w:t>
      </w:r>
      <w:hyperlink r:id="rId11" w:tgtFrame="_blank" w:history="1">
        <w:r w:rsidRPr="00F74E27">
          <w:rPr>
            <w:rStyle w:val="Hyperlink"/>
            <w:rFonts w:ascii="Arial" w:hAnsi="Arial" w:cs="Arial"/>
            <w:sz w:val="22"/>
            <w:szCs w:val="22"/>
          </w:rPr>
          <w:t>https://doi.org/10.3390/jcm13226993</w:t>
        </w:r>
      </w:hyperlink>
    </w:p>
    <w:p w14:paraId="5C616F38" w14:textId="77777777" w:rsidR="007E2EDA" w:rsidRPr="00F74E27" w:rsidRDefault="007E2EDA" w:rsidP="007E2EDA">
      <w:pPr>
        <w:spacing w:line="360" w:lineRule="auto"/>
        <w:ind w:left="720" w:hanging="720"/>
        <w:jc w:val="both"/>
        <w:rPr>
          <w:rFonts w:ascii="Arial" w:hAnsi="Arial" w:cs="Arial"/>
          <w:sz w:val="22"/>
          <w:szCs w:val="22"/>
        </w:rPr>
      </w:pPr>
      <w:proofErr w:type="spellStart"/>
      <w:r w:rsidRPr="00F74E27">
        <w:rPr>
          <w:rFonts w:ascii="Arial" w:hAnsi="Arial" w:cs="Arial"/>
          <w:sz w:val="22"/>
          <w:szCs w:val="22"/>
        </w:rPr>
        <w:t>Furmenti</w:t>
      </w:r>
      <w:proofErr w:type="spellEnd"/>
      <w:r w:rsidRPr="00F74E27">
        <w:rPr>
          <w:rFonts w:ascii="Arial" w:hAnsi="Arial" w:cs="Arial"/>
          <w:sz w:val="22"/>
          <w:szCs w:val="22"/>
        </w:rPr>
        <w:t xml:space="preserve">, M.F., Bertarelli, G., and </w:t>
      </w:r>
      <w:proofErr w:type="spellStart"/>
      <w:r w:rsidRPr="00F74E27">
        <w:rPr>
          <w:rFonts w:ascii="Arial" w:hAnsi="Arial" w:cs="Arial"/>
          <w:sz w:val="22"/>
          <w:szCs w:val="22"/>
        </w:rPr>
        <w:t>Ferrè</w:t>
      </w:r>
      <w:proofErr w:type="spellEnd"/>
      <w:r w:rsidRPr="00F74E27">
        <w:rPr>
          <w:rFonts w:ascii="Arial" w:hAnsi="Arial" w:cs="Arial"/>
          <w:sz w:val="22"/>
          <w:szCs w:val="22"/>
        </w:rPr>
        <w:t xml:space="preserve">, F., 2025. Person-centered care in oncological home services: a scoping review of patients’ and caregivers’ experience and needs. </w:t>
      </w:r>
      <w:r w:rsidRPr="00F74E27">
        <w:rPr>
          <w:rFonts w:ascii="Arial" w:hAnsi="Arial" w:cs="Arial"/>
          <w:i/>
          <w:iCs/>
          <w:sz w:val="22"/>
          <w:szCs w:val="22"/>
        </w:rPr>
        <w:t>BMC health services research</w:t>
      </w:r>
      <w:r w:rsidRPr="00F74E27">
        <w:rPr>
          <w:rFonts w:ascii="Arial" w:hAnsi="Arial" w:cs="Arial"/>
          <w:sz w:val="22"/>
          <w:szCs w:val="22"/>
        </w:rPr>
        <w:t xml:space="preserve">, </w:t>
      </w:r>
      <w:r w:rsidRPr="00F74E27">
        <w:rPr>
          <w:rFonts w:ascii="Arial" w:hAnsi="Arial" w:cs="Arial"/>
          <w:i/>
          <w:iCs/>
          <w:sz w:val="22"/>
          <w:szCs w:val="22"/>
        </w:rPr>
        <w:t>25</w:t>
      </w:r>
      <w:r w:rsidRPr="00F74E27">
        <w:rPr>
          <w:rFonts w:ascii="Arial" w:hAnsi="Arial" w:cs="Arial"/>
          <w:sz w:val="22"/>
          <w:szCs w:val="22"/>
        </w:rPr>
        <w:t xml:space="preserve">(1), p.232. </w:t>
      </w:r>
      <w:hyperlink r:id="rId12" w:tgtFrame="_blank" w:history="1">
        <w:r w:rsidRPr="00F74E27">
          <w:rPr>
            <w:rStyle w:val="Hyperlink"/>
            <w:rFonts w:ascii="Arial" w:hAnsi="Arial" w:cs="Arial"/>
            <w:sz w:val="22"/>
            <w:szCs w:val="22"/>
          </w:rPr>
          <w:t>https://doi.org/10.1186/s12913-024-12058-w</w:t>
        </w:r>
      </w:hyperlink>
    </w:p>
    <w:p w14:paraId="20F4A591"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lastRenderedPageBreak/>
        <w:t xml:space="preserve">Gallo, G. and Savoia, C., 2024. Hypertension and heart failure: from pathophysiology to treatment. </w:t>
      </w:r>
      <w:r w:rsidRPr="00F74E27">
        <w:rPr>
          <w:rFonts w:ascii="Arial" w:hAnsi="Arial" w:cs="Arial"/>
          <w:i/>
          <w:iCs/>
          <w:sz w:val="22"/>
          <w:szCs w:val="22"/>
        </w:rPr>
        <w:t>International Journal of Molecular Sciences,</w:t>
      </w:r>
      <w:r w:rsidRPr="00F74E27">
        <w:rPr>
          <w:rFonts w:ascii="Arial" w:hAnsi="Arial" w:cs="Arial"/>
          <w:sz w:val="22"/>
          <w:szCs w:val="22"/>
        </w:rPr>
        <w:t xml:space="preserve"> </w:t>
      </w:r>
      <w:r w:rsidRPr="00F74E27">
        <w:rPr>
          <w:rFonts w:ascii="Arial" w:hAnsi="Arial" w:cs="Arial"/>
          <w:i/>
          <w:iCs/>
          <w:sz w:val="22"/>
          <w:szCs w:val="22"/>
        </w:rPr>
        <w:t>25</w:t>
      </w:r>
      <w:r w:rsidRPr="00F74E27">
        <w:rPr>
          <w:rFonts w:ascii="Arial" w:hAnsi="Arial" w:cs="Arial"/>
          <w:sz w:val="22"/>
          <w:szCs w:val="22"/>
        </w:rPr>
        <w:t xml:space="preserve">(12), p.6661. </w:t>
      </w:r>
      <w:hyperlink r:id="rId13" w:tgtFrame="_blank" w:history="1">
        <w:r w:rsidRPr="00F74E27">
          <w:rPr>
            <w:rStyle w:val="Hyperlink"/>
            <w:rFonts w:ascii="Arial" w:hAnsi="Arial" w:cs="Arial"/>
            <w:sz w:val="22"/>
            <w:szCs w:val="22"/>
          </w:rPr>
          <w:t>https://doi.org/10.3390/ijms25126661</w:t>
        </w:r>
      </w:hyperlink>
    </w:p>
    <w:p w14:paraId="64806691"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Gongora Salazar, P., 2024. </w:t>
      </w:r>
      <w:r w:rsidRPr="00F74E27">
        <w:rPr>
          <w:rFonts w:ascii="Arial" w:hAnsi="Arial" w:cs="Arial"/>
          <w:i/>
          <w:iCs/>
          <w:sz w:val="22"/>
          <w:szCs w:val="22"/>
        </w:rPr>
        <w:t>Supporting the local decision-making process in England in the context of integrated care</w:t>
      </w:r>
      <w:r w:rsidRPr="00F74E27">
        <w:rPr>
          <w:rFonts w:ascii="Arial" w:hAnsi="Arial" w:cs="Arial"/>
          <w:sz w:val="22"/>
          <w:szCs w:val="22"/>
        </w:rPr>
        <w:t xml:space="preserve"> (Doctoral dissertation, University of Oxford). </w:t>
      </w:r>
      <w:hyperlink r:id="rId14" w:tgtFrame="_blank" w:history="1">
        <w:r w:rsidRPr="00F74E27">
          <w:rPr>
            <w:rStyle w:val="Hyperlink"/>
            <w:rFonts w:ascii="Arial" w:hAnsi="Arial" w:cs="Arial"/>
            <w:sz w:val="22"/>
            <w:szCs w:val="22"/>
          </w:rPr>
          <w:t>https://ora.ox.ac.uk/objects/uuid:3211f0db-d390-44a5-9f73-48681d6b06b1</w:t>
        </w:r>
      </w:hyperlink>
    </w:p>
    <w:p w14:paraId="2CEBC00A" w14:textId="77777777" w:rsidR="007E2EDA" w:rsidRPr="00F74E27" w:rsidRDefault="007E2EDA" w:rsidP="007E2EDA">
      <w:pPr>
        <w:spacing w:line="360" w:lineRule="auto"/>
        <w:ind w:left="720" w:hanging="720"/>
        <w:jc w:val="both"/>
        <w:rPr>
          <w:rFonts w:ascii="Arial" w:hAnsi="Arial" w:cs="Arial"/>
          <w:sz w:val="22"/>
          <w:szCs w:val="22"/>
        </w:rPr>
      </w:pPr>
      <w:proofErr w:type="spellStart"/>
      <w:r w:rsidRPr="00F74E27">
        <w:rPr>
          <w:rFonts w:ascii="Arial" w:hAnsi="Arial" w:cs="Arial"/>
          <w:sz w:val="22"/>
          <w:szCs w:val="22"/>
        </w:rPr>
        <w:t>Guleria</w:t>
      </w:r>
      <w:proofErr w:type="spellEnd"/>
      <w:r w:rsidRPr="00F74E27">
        <w:rPr>
          <w:rFonts w:ascii="Arial" w:hAnsi="Arial" w:cs="Arial"/>
          <w:sz w:val="22"/>
          <w:szCs w:val="22"/>
        </w:rPr>
        <w:t xml:space="preserve">, R., Singh, A., Majmudar, H. P., Ang, Z. Y., &amp; Awasthi, P. (2025). Evidence-Based Management of Heart Failure: Clinical Impact and National Health Service Implications. </w:t>
      </w:r>
      <w:r w:rsidRPr="00F74E27">
        <w:rPr>
          <w:rFonts w:ascii="Arial" w:hAnsi="Arial" w:cs="Arial"/>
          <w:i/>
          <w:iCs/>
          <w:sz w:val="22"/>
          <w:szCs w:val="22"/>
        </w:rPr>
        <w:t>Cureus</w:t>
      </w:r>
      <w:r w:rsidRPr="00F74E27">
        <w:rPr>
          <w:rFonts w:ascii="Arial" w:hAnsi="Arial" w:cs="Arial"/>
          <w:sz w:val="22"/>
          <w:szCs w:val="22"/>
        </w:rPr>
        <w:t xml:space="preserve">, </w:t>
      </w:r>
      <w:r w:rsidRPr="00F74E27">
        <w:rPr>
          <w:rFonts w:ascii="Arial" w:hAnsi="Arial" w:cs="Arial"/>
          <w:i/>
          <w:iCs/>
          <w:sz w:val="22"/>
          <w:szCs w:val="22"/>
        </w:rPr>
        <w:t>17</w:t>
      </w:r>
      <w:r w:rsidRPr="00F74E27">
        <w:rPr>
          <w:rFonts w:ascii="Arial" w:hAnsi="Arial" w:cs="Arial"/>
          <w:sz w:val="22"/>
          <w:szCs w:val="22"/>
        </w:rPr>
        <w:t xml:space="preserve">(9), e92735. </w:t>
      </w:r>
      <w:hyperlink r:id="rId15" w:tgtFrame="_blank" w:history="1">
        <w:r w:rsidRPr="00F74E27">
          <w:rPr>
            <w:rStyle w:val="Hyperlink"/>
            <w:rFonts w:ascii="Arial" w:hAnsi="Arial" w:cs="Arial"/>
            <w:sz w:val="22"/>
            <w:szCs w:val="22"/>
          </w:rPr>
          <w:t>https://doi.org/10.7759/cureus.92735</w:t>
        </w:r>
      </w:hyperlink>
    </w:p>
    <w:p w14:paraId="6B3300AB"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Harris, J. and Mayo, P. 2026. Heart failure self-management with the House of Care model. </w:t>
      </w:r>
      <w:r w:rsidRPr="00F74E27">
        <w:rPr>
          <w:rFonts w:ascii="Arial" w:hAnsi="Arial" w:cs="Arial"/>
          <w:i/>
          <w:iCs/>
          <w:sz w:val="22"/>
          <w:szCs w:val="22"/>
        </w:rPr>
        <w:t>CPD Launchpad.</w:t>
      </w:r>
      <w:r w:rsidRPr="00F74E27">
        <w:rPr>
          <w:rFonts w:ascii="Arial" w:hAnsi="Arial" w:cs="Arial"/>
          <w:sz w:val="22"/>
          <w:szCs w:val="22"/>
        </w:rPr>
        <w:t xml:space="preserve"> </w:t>
      </w:r>
      <w:hyperlink r:id="rId16" w:tgtFrame="_blank" w:history="1">
        <w:r w:rsidRPr="00F74E27">
          <w:rPr>
            <w:rStyle w:val="Hyperlink"/>
            <w:rFonts w:ascii="Arial" w:hAnsi="Arial" w:cs="Arial"/>
            <w:sz w:val="22"/>
            <w:szCs w:val="22"/>
          </w:rPr>
          <w:t>https://www.cpd-launchpad.co.uk/summary/5033</w:t>
        </w:r>
      </w:hyperlink>
    </w:p>
    <w:p w14:paraId="1EAD9370"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Health and Social Care Committee. 2023. Integrated Care Systems: autonomy and accountability. </w:t>
      </w:r>
      <w:r w:rsidRPr="00F74E27">
        <w:rPr>
          <w:rFonts w:ascii="Arial" w:hAnsi="Arial" w:cs="Arial"/>
          <w:i/>
          <w:iCs/>
          <w:sz w:val="22"/>
          <w:szCs w:val="22"/>
        </w:rPr>
        <w:t>UK Parliament.</w:t>
      </w:r>
      <w:r w:rsidRPr="00F74E27">
        <w:rPr>
          <w:rFonts w:ascii="Arial" w:hAnsi="Arial" w:cs="Arial"/>
          <w:sz w:val="22"/>
          <w:szCs w:val="22"/>
        </w:rPr>
        <w:t xml:space="preserve"> </w:t>
      </w:r>
      <w:hyperlink r:id="rId17" w:tgtFrame="_blank" w:history="1">
        <w:r w:rsidRPr="00F74E27">
          <w:rPr>
            <w:rStyle w:val="Hyperlink"/>
            <w:rFonts w:ascii="Arial" w:hAnsi="Arial" w:cs="Arial"/>
            <w:sz w:val="22"/>
            <w:szCs w:val="22"/>
          </w:rPr>
          <w:t>https://publications.parliament.uk/pa/cm5803/cmselect/cmhealth/587/report.html</w:t>
        </w:r>
      </w:hyperlink>
    </w:p>
    <w:p w14:paraId="03FDF826"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Isaac, J.P., Gormley, K.J., Goswami, N., </w:t>
      </w:r>
      <w:proofErr w:type="spellStart"/>
      <w:r w:rsidRPr="00F74E27">
        <w:rPr>
          <w:rFonts w:ascii="Arial" w:hAnsi="Arial" w:cs="Arial"/>
          <w:sz w:val="22"/>
          <w:szCs w:val="22"/>
        </w:rPr>
        <w:t>AbuRuz</w:t>
      </w:r>
      <w:proofErr w:type="spellEnd"/>
      <w:r w:rsidRPr="00F74E27">
        <w:rPr>
          <w:rFonts w:ascii="Arial" w:hAnsi="Arial" w:cs="Arial"/>
          <w:sz w:val="22"/>
          <w:szCs w:val="22"/>
        </w:rPr>
        <w:t xml:space="preserve">, M., </w:t>
      </w:r>
      <w:proofErr w:type="spellStart"/>
      <w:r w:rsidRPr="00F74E27">
        <w:rPr>
          <w:rFonts w:ascii="Arial" w:hAnsi="Arial" w:cs="Arial"/>
          <w:sz w:val="22"/>
          <w:szCs w:val="22"/>
        </w:rPr>
        <w:t>Abdulnaby</w:t>
      </w:r>
      <w:proofErr w:type="spellEnd"/>
      <w:r w:rsidRPr="00F74E27">
        <w:rPr>
          <w:rFonts w:ascii="Arial" w:hAnsi="Arial" w:cs="Arial"/>
          <w:sz w:val="22"/>
          <w:szCs w:val="22"/>
        </w:rPr>
        <w:t xml:space="preserve">, E., Rothwell, A., Carandang, M.T., and Hamdan, p. 606757. Perspectives on Fall Prevention Among Older Patients and Healthcare Providers in UAE Hospitals: A Qualitative Study. </w:t>
      </w:r>
      <w:r w:rsidRPr="00F74E27">
        <w:rPr>
          <w:rFonts w:ascii="Arial" w:hAnsi="Arial" w:cs="Arial"/>
          <w:i/>
          <w:iCs/>
          <w:sz w:val="22"/>
          <w:szCs w:val="22"/>
        </w:rPr>
        <w:t>Clinical Interventions in Aging</w:t>
      </w:r>
      <w:r w:rsidRPr="00F74E27">
        <w:rPr>
          <w:rFonts w:ascii="Arial" w:hAnsi="Arial" w:cs="Arial"/>
          <w:sz w:val="22"/>
          <w:szCs w:val="22"/>
        </w:rPr>
        <w:t xml:space="preserve">, p. 606757. </w:t>
      </w:r>
      <w:hyperlink r:id="rId18" w:tgtFrame="_blank" w:history="1">
        <w:r w:rsidRPr="00F74E27">
          <w:rPr>
            <w:rStyle w:val="Hyperlink"/>
            <w:rFonts w:ascii="Arial" w:hAnsi="Arial" w:cs="Arial"/>
            <w:sz w:val="22"/>
            <w:szCs w:val="22"/>
          </w:rPr>
          <w:t>https://doi.org/10.2147/CIA.S606757</w:t>
        </w:r>
      </w:hyperlink>
    </w:p>
    <w:p w14:paraId="41256FB8"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Kroenke, K., Corrigan, J.D., Ralston, R.K., Zafonte, R., Brunner, R.C., </w:t>
      </w:r>
      <w:proofErr w:type="spellStart"/>
      <w:r w:rsidRPr="00F74E27">
        <w:rPr>
          <w:rFonts w:ascii="Arial" w:hAnsi="Arial" w:cs="Arial"/>
          <w:sz w:val="22"/>
          <w:szCs w:val="22"/>
        </w:rPr>
        <w:t>Giacino</w:t>
      </w:r>
      <w:proofErr w:type="spellEnd"/>
      <w:r w:rsidRPr="00F74E27">
        <w:rPr>
          <w:rFonts w:ascii="Arial" w:hAnsi="Arial" w:cs="Arial"/>
          <w:sz w:val="22"/>
          <w:szCs w:val="22"/>
        </w:rPr>
        <w:t xml:space="preserve">, J.T., Hoffman, J.M., </w:t>
      </w:r>
      <w:proofErr w:type="gramStart"/>
      <w:r w:rsidRPr="00F74E27">
        <w:rPr>
          <w:rFonts w:ascii="Arial" w:hAnsi="Arial" w:cs="Arial"/>
          <w:sz w:val="22"/>
          <w:szCs w:val="22"/>
        </w:rPr>
        <w:t>Esterov, D., Cifu</w:t>
      </w:r>
      <w:proofErr w:type="gramEnd"/>
      <w:r w:rsidRPr="00F74E27">
        <w:rPr>
          <w:rFonts w:ascii="Arial" w:hAnsi="Arial" w:cs="Arial"/>
          <w:sz w:val="22"/>
          <w:szCs w:val="22"/>
        </w:rPr>
        <w:t xml:space="preserve">, D.X., Mellick, D.C., and Bell, K., 2024. Effectiveness of care models for chronic disease management: A scoping review of systematic reviews. </w:t>
      </w:r>
      <w:r w:rsidRPr="00F74E27">
        <w:rPr>
          <w:rFonts w:ascii="Arial" w:hAnsi="Arial" w:cs="Arial"/>
          <w:i/>
          <w:iCs/>
          <w:sz w:val="22"/>
          <w:szCs w:val="22"/>
        </w:rPr>
        <w:t>PM&amp;R</w:t>
      </w:r>
      <w:r w:rsidRPr="00F74E27">
        <w:rPr>
          <w:rFonts w:ascii="Arial" w:hAnsi="Arial" w:cs="Arial"/>
          <w:sz w:val="22"/>
          <w:szCs w:val="22"/>
        </w:rPr>
        <w:t xml:space="preserve">, </w:t>
      </w:r>
      <w:r w:rsidRPr="00F74E27">
        <w:rPr>
          <w:rFonts w:ascii="Arial" w:hAnsi="Arial" w:cs="Arial"/>
          <w:i/>
          <w:iCs/>
          <w:sz w:val="22"/>
          <w:szCs w:val="22"/>
        </w:rPr>
        <w:t>16</w:t>
      </w:r>
      <w:r w:rsidRPr="00F74E27">
        <w:rPr>
          <w:rFonts w:ascii="Arial" w:hAnsi="Arial" w:cs="Arial"/>
          <w:sz w:val="22"/>
          <w:szCs w:val="22"/>
        </w:rPr>
        <w:t xml:space="preserve">(2), pp.174-189. </w:t>
      </w:r>
      <w:hyperlink r:id="rId19" w:tgtFrame="_blank" w:history="1">
        <w:r w:rsidRPr="00F74E27">
          <w:rPr>
            <w:rStyle w:val="Hyperlink"/>
            <w:rFonts w:ascii="Arial" w:hAnsi="Arial" w:cs="Arial"/>
            <w:sz w:val="22"/>
            <w:szCs w:val="22"/>
          </w:rPr>
          <w:t>https://doi.org/10.1002/pmrj.13027</w:t>
        </w:r>
      </w:hyperlink>
    </w:p>
    <w:p w14:paraId="543BBC3C" w14:textId="77777777" w:rsidR="007E2EDA" w:rsidRPr="00F74E27" w:rsidRDefault="007E2EDA" w:rsidP="007E2EDA">
      <w:pPr>
        <w:spacing w:line="360" w:lineRule="auto"/>
        <w:ind w:left="720" w:hanging="720"/>
        <w:jc w:val="both"/>
        <w:rPr>
          <w:rFonts w:ascii="Arial" w:hAnsi="Arial" w:cs="Arial"/>
          <w:sz w:val="22"/>
          <w:szCs w:val="22"/>
        </w:rPr>
      </w:pPr>
      <w:proofErr w:type="spellStart"/>
      <w:r w:rsidRPr="00F74E27">
        <w:rPr>
          <w:rFonts w:ascii="Arial" w:hAnsi="Arial" w:cs="Arial"/>
          <w:sz w:val="22"/>
          <w:szCs w:val="22"/>
        </w:rPr>
        <w:t>Krówczyńska</w:t>
      </w:r>
      <w:proofErr w:type="spellEnd"/>
      <w:r w:rsidRPr="00F74E27">
        <w:rPr>
          <w:rFonts w:ascii="Arial" w:hAnsi="Arial" w:cs="Arial"/>
          <w:sz w:val="22"/>
          <w:szCs w:val="22"/>
        </w:rPr>
        <w:t xml:space="preserve">, D. and Jankowska-Polańska, B., 2022. Polish nurses’ knowledge of heart failure self-management principles. </w:t>
      </w:r>
      <w:r w:rsidRPr="00F74E27">
        <w:rPr>
          <w:rFonts w:ascii="Arial" w:hAnsi="Arial" w:cs="Arial"/>
          <w:i/>
          <w:iCs/>
          <w:sz w:val="22"/>
          <w:szCs w:val="22"/>
        </w:rPr>
        <w:t>International Journal of Environmental Research and Public Health,</w:t>
      </w:r>
      <w:r w:rsidRPr="00F74E27">
        <w:rPr>
          <w:rFonts w:ascii="Arial" w:hAnsi="Arial" w:cs="Arial"/>
          <w:sz w:val="22"/>
          <w:szCs w:val="22"/>
        </w:rPr>
        <w:t xml:space="preserve"> </w:t>
      </w:r>
      <w:r w:rsidRPr="00F74E27">
        <w:rPr>
          <w:rFonts w:ascii="Arial" w:hAnsi="Arial" w:cs="Arial"/>
          <w:i/>
          <w:iCs/>
          <w:sz w:val="22"/>
          <w:szCs w:val="22"/>
        </w:rPr>
        <w:t>19</w:t>
      </w:r>
      <w:r w:rsidRPr="00F74E27">
        <w:rPr>
          <w:rFonts w:ascii="Arial" w:hAnsi="Arial" w:cs="Arial"/>
          <w:sz w:val="22"/>
          <w:szCs w:val="22"/>
        </w:rPr>
        <w:t xml:space="preserve">(3), p.1327. </w:t>
      </w:r>
      <w:hyperlink r:id="rId20" w:tgtFrame="_blank" w:history="1">
        <w:r w:rsidRPr="00F74E27">
          <w:rPr>
            <w:rStyle w:val="Hyperlink"/>
            <w:rFonts w:ascii="Arial" w:hAnsi="Arial" w:cs="Arial"/>
            <w:sz w:val="22"/>
            <w:szCs w:val="22"/>
          </w:rPr>
          <w:t>https://doi.org/10.3390/ijerph19031327</w:t>
        </w:r>
      </w:hyperlink>
    </w:p>
    <w:p w14:paraId="12B13433"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NICE. 2025. </w:t>
      </w:r>
      <w:r w:rsidRPr="00F74E27">
        <w:rPr>
          <w:rFonts w:ascii="Arial" w:hAnsi="Arial" w:cs="Arial"/>
          <w:i/>
          <w:iCs/>
          <w:sz w:val="22"/>
          <w:szCs w:val="22"/>
        </w:rPr>
        <w:t>Chronic heart failure in adults: diagnosis and management</w:t>
      </w:r>
      <w:r w:rsidRPr="00F74E27">
        <w:rPr>
          <w:rFonts w:ascii="Arial" w:hAnsi="Arial" w:cs="Arial"/>
          <w:sz w:val="22"/>
          <w:szCs w:val="22"/>
        </w:rPr>
        <w:t xml:space="preserve">. </w:t>
      </w:r>
      <w:hyperlink r:id="rId21" w:tgtFrame="_blank" w:history="1">
        <w:r w:rsidRPr="00F74E27">
          <w:rPr>
            <w:rStyle w:val="Hyperlink"/>
            <w:rFonts w:ascii="Arial" w:hAnsi="Arial" w:cs="Arial"/>
            <w:sz w:val="22"/>
            <w:szCs w:val="22"/>
          </w:rPr>
          <w:t>https://www.nice.org.uk/guidance/ng106/chapter/recommendations</w:t>
        </w:r>
      </w:hyperlink>
    </w:p>
    <w:p w14:paraId="332C394F"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Niklasson, A., Maher, J., Patil, R., Sillén, H., Chen, J., Gwaltney, C., and Rydén, A., 2022. Living with heart failure: patient experiences and implications for physical activity and daily living. </w:t>
      </w:r>
      <w:r w:rsidRPr="00F74E27">
        <w:rPr>
          <w:rFonts w:ascii="Arial" w:hAnsi="Arial" w:cs="Arial"/>
          <w:i/>
          <w:iCs/>
          <w:sz w:val="22"/>
          <w:szCs w:val="22"/>
        </w:rPr>
        <w:t>ESC heart failure</w:t>
      </w:r>
      <w:r w:rsidRPr="00F74E27">
        <w:rPr>
          <w:rFonts w:ascii="Arial" w:hAnsi="Arial" w:cs="Arial"/>
          <w:sz w:val="22"/>
          <w:szCs w:val="22"/>
        </w:rPr>
        <w:t xml:space="preserve">, </w:t>
      </w:r>
      <w:r w:rsidRPr="00F74E27">
        <w:rPr>
          <w:rFonts w:ascii="Arial" w:hAnsi="Arial" w:cs="Arial"/>
          <w:i/>
          <w:iCs/>
          <w:sz w:val="22"/>
          <w:szCs w:val="22"/>
        </w:rPr>
        <w:t>9</w:t>
      </w:r>
      <w:r w:rsidRPr="00F74E27">
        <w:rPr>
          <w:rFonts w:ascii="Arial" w:hAnsi="Arial" w:cs="Arial"/>
          <w:sz w:val="22"/>
          <w:szCs w:val="22"/>
        </w:rPr>
        <w:t xml:space="preserve">(2), pp.1206-1215. </w:t>
      </w:r>
      <w:hyperlink r:id="rId22" w:tgtFrame="_blank" w:history="1">
        <w:r w:rsidRPr="00F74E27">
          <w:rPr>
            <w:rStyle w:val="Hyperlink"/>
            <w:rFonts w:ascii="Arial" w:hAnsi="Arial" w:cs="Arial"/>
            <w:sz w:val="22"/>
            <w:szCs w:val="22"/>
          </w:rPr>
          <w:t>https://doi.org/10.1002/ehf2.13795</w:t>
        </w:r>
      </w:hyperlink>
    </w:p>
    <w:p w14:paraId="429F48B1" w14:textId="77777777" w:rsidR="007E2EDA" w:rsidRPr="00F74E27" w:rsidRDefault="007E2EDA" w:rsidP="007E2EDA">
      <w:pPr>
        <w:spacing w:line="360" w:lineRule="auto"/>
        <w:ind w:left="720" w:hanging="720"/>
        <w:jc w:val="both"/>
        <w:rPr>
          <w:rFonts w:ascii="Arial" w:hAnsi="Arial" w:cs="Arial"/>
          <w:sz w:val="22"/>
          <w:szCs w:val="22"/>
        </w:rPr>
      </w:pPr>
      <w:proofErr w:type="spellStart"/>
      <w:r w:rsidRPr="00F74E27">
        <w:rPr>
          <w:rFonts w:ascii="Arial" w:hAnsi="Arial" w:cs="Arial"/>
          <w:sz w:val="22"/>
          <w:szCs w:val="22"/>
        </w:rPr>
        <w:t>Nurmansyah</w:t>
      </w:r>
      <w:proofErr w:type="spellEnd"/>
      <w:r w:rsidRPr="00F74E27">
        <w:rPr>
          <w:rFonts w:ascii="Arial" w:hAnsi="Arial" w:cs="Arial"/>
          <w:sz w:val="22"/>
          <w:szCs w:val="22"/>
        </w:rPr>
        <w:t xml:space="preserve">, M.I., La Caze, A., Edmunds, K., Wardani, R.K., and </w:t>
      </w:r>
      <w:proofErr w:type="spellStart"/>
      <w:r w:rsidRPr="00F74E27">
        <w:rPr>
          <w:rFonts w:ascii="Arial" w:hAnsi="Arial" w:cs="Arial"/>
          <w:sz w:val="22"/>
          <w:szCs w:val="22"/>
        </w:rPr>
        <w:t>Tuffaha</w:t>
      </w:r>
      <w:proofErr w:type="spellEnd"/>
      <w:r w:rsidRPr="00F74E27">
        <w:rPr>
          <w:rFonts w:ascii="Arial" w:hAnsi="Arial" w:cs="Arial"/>
          <w:sz w:val="22"/>
          <w:szCs w:val="22"/>
        </w:rPr>
        <w:t xml:space="preserve">, H., 2026. Implementation of Primary Care Based Chronic Disease Management Programs for Hypertensive and Type 2 Diabetes Mellitus Patients: A Scoping Review. </w:t>
      </w:r>
      <w:r w:rsidRPr="00F74E27">
        <w:rPr>
          <w:rFonts w:ascii="Arial" w:hAnsi="Arial" w:cs="Arial"/>
          <w:i/>
          <w:iCs/>
          <w:sz w:val="22"/>
          <w:szCs w:val="22"/>
        </w:rPr>
        <w:t>Advances in Public Health</w:t>
      </w:r>
      <w:r w:rsidRPr="00F74E27">
        <w:rPr>
          <w:rFonts w:ascii="Arial" w:hAnsi="Arial" w:cs="Arial"/>
          <w:sz w:val="22"/>
          <w:szCs w:val="22"/>
        </w:rPr>
        <w:t xml:space="preserve">, </w:t>
      </w:r>
      <w:r w:rsidRPr="00F74E27">
        <w:rPr>
          <w:rFonts w:ascii="Arial" w:hAnsi="Arial" w:cs="Arial"/>
          <w:i/>
          <w:iCs/>
          <w:sz w:val="22"/>
          <w:szCs w:val="22"/>
        </w:rPr>
        <w:t>2026</w:t>
      </w:r>
      <w:r w:rsidRPr="00F74E27">
        <w:rPr>
          <w:rFonts w:ascii="Arial" w:hAnsi="Arial" w:cs="Arial"/>
          <w:sz w:val="22"/>
          <w:szCs w:val="22"/>
        </w:rPr>
        <w:t xml:space="preserve">(1), p.4224560. </w:t>
      </w:r>
      <w:hyperlink r:id="rId23" w:tgtFrame="_blank" w:history="1">
        <w:r w:rsidRPr="00F74E27">
          <w:rPr>
            <w:rStyle w:val="Hyperlink"/>
            <w:rFonts w:ascii="Arial" w:hAnsi="Arial" w:cs="Arial"/>
            <w:sz w:val="22"/>
            <w:szCs w:val="22"/>
          </w:rPr>
          <w:t>https://doi.org/10.1155/adph/4224560</w:t>
        </w:r>
      </w:hyperlink>
    </w:p>
    <w:p w14:paraId="73B48298"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lastRenderedPageBreak/>
        <w:t xml:space="preserve">Pedroni, C., Djuric, O., Bassi, M.C., Mione, L., </w:t>
      </w:r>
      <w:proofErr w:type="spellStart"/>
      <w:r w:rsidRPr="00F74E27">
        <w:rPr>
          <w:rFonts w:ascii="Arial" w:hAnsi="Arial" w:cs="Arial"/>
          <w:sz w:val="22"/>
          <w:szCs w:val="22"/>
        </w:rPr>
        <w:t>Caleffi</w:t>
      </w:r>
      <w:proofErr w:type="spellEnd"/>
      <w:r w:rsidRPr="00F74E27">
        <w:rPr>
          <w:rFonts w:ascii="Arial" w:hAnsi="Arial" w:cs="Arial"/>
          <w:sz w:val="22"/>
          <w:szCs w:val="22"/>
        </w:rPr>
        <w:t xml:space="preserve">, D., Testa, G., Prandi, C., Navazio, A., and Giorgi Rossi, P., 2023, April. Elements characterizing multicomponent interventions used to improve disease management models and clinical pathways in acute and chronic heart failure: a scoping review. In </w:t>
      </w:r>
      <w:r w:rsidRPr="00F74E27">
        <w:rPr>
          <w:rFonts w:ascii="Arial" w:hAnsi="Arial" w:cs="Arial"/>
          <w:i/>
          <w:iCs/>
          <w:sz w:val="22"/>
          <w:szCs w:val="22"/>
        </w:rPr>
        <w:t>Healthcare</w:t>
      </w:r>
      <w:r w:rsidRPr="00F74E27">
        <w:rPr>
          <w:rFonts w:ascii="Arial" w:hAnsi="Arial" w:cs="Arial"/>
          <w:sz w:val="22"/>
          <w:szCs w:val="22"/>
        </w:rPr>
        <w:t xml:space="preserve"> (Vol. 11, No. 9, p. 1227). MDPI. </w:t>
      </w:r>
      <w:hyperlink r:id="rId24" w:tgtFrame="_blank" w:history="1">
        <w:r w:rsidRPr="00F74E27">
          <w:rPr>
            <w:rStyle w:val="Hyperlink"/>
            <w:rFonts w:ascii="Arial" w:hAnsi="Arial" w:cs="Arial"/>
            <w:sz w:val="22"/>
            <w:szCs w:val="22"/>
          </w:rPr>
          <w:t>https://doi.org/10.3390/healthcare11091227</w:t>
        </w:r>
      </w:hyperlink>
    </w:p>
    <w:p w14:paraId="6F02E851"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Ruiz-Garcia, A., Serrano-Cumplido, A., Escobar-Cervantes, C., Arranz-Martinez, E., </w:t>
      </w:r>
      <w:proofErr w:type="spellStart"/>
      <w:r w:rsidRPr="00F74E27">
        <w:rPr>
          <w:rFonts w:ascii="Arial" w:hAnsi="Arial" w:cs="Arial"/>
          <w:sz w:val="22"/>
          <w:szCs w:val="22"/>
        </w:rPr>
        <w:t>Turegano</w:t>
      </w:r>
      <w:proofErr w:type="spellEnd"/>
      <w:r w:rsidRPr="00F74E27">
        <w:rPr>
          <w:rFonts w:ascii="Arial" w:hAnsi="Arial" w:cs="Arial"/>
          <w:sz w:val="22"/>
          <w:szCs w:val="22"/>
        </w:rPr>
        <w:t xml:space="preserve">-Yedro, M., and Pallares-Carratala, V., 2023. Heart failure prevalence rates and its association with other cardiovascular diseases and chronic kidney disease: SIMETAP-HF study. </w:t>
      </w:r>
      <w:r w:rsidRPr="00F74E27">
        <w:rPr>
          <w:rFonts w:ascii="Arial" w:hAnsi="Arial" w:cs="Arial"/>
          <w:i/>
          <w:iCs/>
          <w:sz w:val="22"/>
          <w:szCs w:val="22"/>
        </w:rPr>
        <w:t>Journal of Clinical Medicine</w:t>
      </w:r>
      <w:r w:rsidRPr="00F74E27">
        <w:rPr>
          <w:rFonts w:ascii="Arial" w:hAnsi="Arial" w:cs="Arial"/>
          <w:sz w:val="22"/>
          <w:szCs w:val="22"/>
        </w:rPr>
        <w:t xml:space="preserve">, </w:t>
      </w:r>
      <w:r w:rsidRPr="00F74E27">
        <w:rPr>
          <w:rFonts w:ascii="Arial" w:hAnsi="Arial" w:cs="Arial"/>
          <w:i/>
          <w:iCs/>
          <w:sz w:val="22"/>
          <w:szCs w:val="22"/>
        </w:rPr>
        <w:t>12</w:t>
      </w:r>
      <w:r w:rsidRPr="00F74E27">
        <w:rPr>
          <w:rFonts w:ascii="Arial" w:hAnsi="Arial" w:cs="Arial"/>
          <w:sz w:val="22"/>
          <w:szCs w:val="22"/>
        </w:rPr>
        <w:t xml:space="preserve">(15), p.4924. </w:t>
      </w:r>
      <w:hyperlink r:id="rId25" w:tgtFrame="_blank" w:history="1">
        <w:r w:rsidRPr="00F74E27">
          <w:rPr>
            <w:rStyle w:val="Hyperlink"/>
            <w:rFonts w:ascii="Arial" w:hAnsi="Arial" w:cs="Arial"/>
            <w:sz w:val="22"/>
            <w:szCs w:val="22"/>
          </w:rPr>
          <w:t>https://www.mdpi.com/2077-0383/12/15/4924</w:t>
        </w:r>
      </w:hyperlink>
    </w:p>
    <w:p w14:paraId="5D97693B"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Rywik, T., </w:t>
      </w:r>
      <w:proofErr w:type="spellStart"/>
      <w:r w:rsidRPr="00F74E27">
        <w:rPr>
          <w:rFonts w:ascii="Arial" w:hAnsi="Arial" w:cs="Arial"/>
          <w:sz w:val="22"/>
          <w:szCs w:val="22"/>
        </w:rPr>
        <w:t>Wiśniewska</w:t>
      </w:r>
      <w:proofErr w:type="spellEnd"/>
      <w:r w:rsidRPr="00F74E27">
        <w:rPr>
          <w:rFonts w:ascii="Arial" w:hAnsi="Arial" w:cs="Arial"/>
          <w:sz w:val="22"/>
          <w:szCs w:val="22"/>
        </w:rPr>
        <w:t xml:space="preserve">, A., </w:t>
      </w:r>
      <w:proofErr w:type="spellStart"/>
      <w:r w:rsidRPr="00F74E27">
        <w:rPr>
          <w:rFonts w:ascii="Arial" w:hAnsi="Arial" w:cs="Arial"/>
          <w:sz w:val="22"/>
          <w:szCs w:val="22"/>
        </w:rPr>
        <w:t>Cegłowska</w:t>
      </w:r>
      <w:proofErr w:type="spellEnd"/>
      <w:r w:rsidRPr="00F74E27">
        <w:rPr>
          <w:rFonts w:ascii="Arial" w:hAnsi="Arial" w:cs="Arial"/>
          <w:sz w:val="22"/>
          <w:szCs w:val="22"/>
        </w:rPr>
        <w:t xml:space="preserve">, U., </w:t>
      </w:r>
      <w:proofErr w:type="spellStart"/>
      <w:r w:rsidRPr="00F74E27">
        <w:rPr>
          <w:rFonts w:ascii="Arial" w:hAnsi="Arial" w:cs="Arial"/>
          <w:sz w:val="22"/>
          <w:szCs w:val="22"/>
        </w:rPr>
        <w:t>Drohomirecka</w:t>
      </w:r>
      <w:proofErr w:type="spellEnd"/>
      <w:r w:rsidRPr="00F74E27">
        <w:rPr>
          <w:rFonts w:ascii="Arial" w:hAnsi="Arial" w:cs="Arial"/>
          <w:sz w:val="22"/>
          <w:szCs w:val="22"/>
        </w:rPr>
        <w:t xml:space="preserve">, A., </w:t>
      </w:r>
      <w:proofErr w:type="spellStart"/>
      <w:r w:rsidRPr="00F74E27">
        <w:rPr>
          <w:rFonts w:ascii="Arial" w:hAnsi="Arial" w:cs="Arial"/>
          <w:sz w:val="22"/>
          <w:szCs w:val="22"/>
        </w:rPr>
        <w:t>Topór-Mądry</w:t>
      </w:r>
      <w:proofErr w:type="spellEnd"/>
      <w:r w:rsidRPr="00F74E27">
        <w:rPr>
          <w:rFonts w:ascii="Arial" w:hAnsi="Arial" w:cs="Arial"/>
          <w:sz w:val="22"/>
          <w:szCs w:val="22"/>
        </w:rPr>
        <w:t xml:space="preserve">, R., Łazarczyk, H., </w:t>
      </w:r>
      <w:proofErr w:type="spellStart"/>
      <w:r w:rsidRPr="00F74E27">
        <w:rPr>
          <w:rFonts w:ascii="Arial" w:hAnsi="Arial" w:cs="Arial"/>
          <w:sz w:val="22"/>
          <w:szCs w:val="22"/>
        </w:rPr>
        <w:t>Połaska</w:t>
      </w:r>
      <w:proofErr w:type="spellEnd"/>
      <w:r w:rsidRPr="00F74E27">
        <w:rPr>
          <w:rFonts w:ascii="Arial" w:hAnsi="Arial" w:cs="Arial"/>
          <w:sz w:val="22"/>
          <w:szCs w:val="22"/>
        </w:rPr>
        <w:t xml:space="preserve">, P., Zieliński, T., and </w:t>
      </w:r>
      <w:proofErr w:type="spellStart"/>
      <w:r w:rsidRPr="00F74E27">
        <w:rPr>
          <w:rFonts w:ascii="Arial" w:hAnsi="Arial" w:cs="Arial"/>
          <w:sz w:val="22"/>
          <w:szCs w:val="22"/>
        </w:rPr>
        <w:t>Doryńska</w:t>
      </w:r>
      <w:proofErr w:type="spellEnd"/>
      <w:r w:rsidRPr="00F74E27">
        <w:rPr>
          <w:rFonts w:ascii="Arial" w:hAnsi="Arial" w:cs="Arial"/>
          <w:sz w:val="22"/>
          <w:szCs w:val="22"/>
        </w:rPr>
        <w:t xml:space="preserve">, A., 2023. Heart failure with reduced, mildly reduced, and preserved ejection fraction: Outcomes and predictors of prognosis. </w:t>
      </w:r>
      <w:r w:rsidRPr="00F74E27">
        <w:rPr>
          <w:rFonts w:ascii="Arial" w:hAnsi="Arial" w:cs="Arial"/>
          <w:i/>
          <w:iCs/>
          <w:sz w:val="22"/>
          <w:szCs w:val="22"/>
        </w:rPr>
        <w:t>Polish archives of internal medicine</w:t>
      </w:r>
      <w:r w:rsidRPr="00F74E27">
        <w:rPr>
          <w:rFonts w:ascii="Arial" w:hAnsi="Arial" w:cs="Arial"/>
          <w:sz w:val="22"/>
          <w:szCs w:val="22"/>
        </w:rPr>
        <w:t xml:space="preserve">. </w:t>
      </w:r>
      <w:hyperlink r:id="rId26" w:tgtFrame="_blank" w:history="1">
        <w:r w:rsidRPr="00F74E27">
          <w:rPr>
            <w:rStyle w:val="Hyperlink"/>
            <w:rFonts w:ascii="Arial" w:hAnsi="Arial" w:cs="Arial"/>
            <w:sz w:val="22"/>
            <w:szCs w:val="22"/>
          </w:rPr>
          <w:t>https://doi.org/10.20452/pamw.16522</w:t>
        </w:r>
      </w:hyperlink>
    </w:p>
    <w:p w14:paraId="14ACD560"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Sapna, F.N.U., Raveena, F.N.U., Chandio, M., Bai, K., Sayyar, M., </w:t>
      </w:r>
      <w:proofErr w:type="spellStart"/>
      <w:r w:rsidRPr="00F74E27">
        <w:rPr>
          <w:rFonts w:ascii="Arial" w:hAnsi="Arial" w:cs="Arial"/>
          <w:sz w:val="22"/>
          <w:szCs w:val="22"/>
        </w:rPr>
        <w:t>Varrassi</w:t>
      </w:r>
      <w:proofErr w:type="spellEnd"/>
      <w:r w:rsidRPr="00F74E27">
        <w:rPr>
          <w:rFonts w:ascii="Arial" w:hAnsi="Arial" w:cs="Arial"/>
          <w:sz w:val="22"/>
          <w:szCs w:val="22"/>
        </w:rPr>
        <w:t xml:space="preserve">, G., Khatri, M., Kumar, S., and Mohamad, T., 2023. Advancements in heart failure management: a comprehensive narrative review of emerging therapies. </w:t>
      </w:r>
      <w:r w:rsidRPr="00F74E27">
        <w:rPr>
          <w:rFonts w:ascii="Arial" w:hAnsi="Arial" w:cs="Arial"/>
          <w:i/>
          <w:iCs/>
          <w:sz w:val="22"/>
          <w:szCs w:val="22"/>
        </w:rPr>
        <w:t>Cureus</w:t>
      </w:r>
      <w:r w:rsidRPr="00F74E27">
        <w:rPr>
          <w:rFonts w:ascii="Arial" w:hAnsi="Arial" w:cs="Arial"/>
          <w:sz w:val="22"/>
          <w:szCs w:val="22"/>
        </w:rPr>
        <w:t xml:space="preserve">, </w:t>
      </w:r>
      <w:r w:rsidRPr="00F74E27">
        <w:rPr>
          <w:rFonts w:ascii="Arial" w:hAnsi="Arial" w:cs="Arial"/>
          <w:i/>
          <w:iCs/>
          <w:sz w:val="22"/>
          <w:szCs w:val="22"/>
        </w:rPr>
        <w:t>15</w:t>
      </w:r>
      <w:r w:rsidRPr="00F74E27">
        <w:rPr>
          <w:rFonts w:ascii="Arial" w:hAnsi="Arial" w:cs="Arial"/>
          <w:sz w:val="22"/>
          <w:szCs w:val="22"/>
        </w:rPr>
        <w:t xml:space="preserve">(10). </w:t>
      </w:r>
      <w:hyperlink r:id="rId27" w:tgtFrame="_blank" w:history="1">
        <w:r w:rsidRPr="00F74E27">
          <w:rPr>
            <w:rStyle w:val="Hyperlink"/>
            <w:rFonts w:ascii="Arial" w:hAnsi="Arial" w:cs="Arial"/>
            <w:sz w:val="22"/>
            <w:szCs w:val="22"/>
          </w:rPr>
          <w:t>https://doi.org/10.7759/cureus.46486</w:t>
        </w:r>
      </w:hyperlink>
    </w:p>
    <w:p w14:paraId="45828EA7"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Savarese, G., Becher, P.M., Lund, L.H., Seferovic, P., Rosano, G.M., and Coats, A.J., 2022. Global burden of heart failure: a comprehensive and updated review of epidemiology. </w:t>
      </w:r>
      <w:r w:rsidRPr="00F74E27">
        <w:rPr>
          <w:rFonts w:ascii="Arial" w:hAnsi="Arial" w:cs="Arial"/>
          <w:i/>
          <w:iCs/>
          <w:sz w:val="22"/>
          <w:szCs w:val="22"/>
        </w:rPr>
        <w:t>Cardiovascular research</w:t>
      </w:r>
      <w:r w:rsidRPr="00F74E27">
        <w:rPr>
          <w:rFonts w:ascii="Arial" w:hAnsi="Arial" w:cs="Arial"/>
          <w:sz w:val="22"/>
          <w:szCs w:val="22"/>
        </w:rPr>
        <w:t xml:space="preserve">, </w:t>
      </w:r>
      <w:r w:rsidRPr="00F74E27">
        <w:rPr>
          <w:rFonts w:ascii="Arial" w:hAnsi="Arial" w:cs="Arial"/>
          <w:i/>
          <w:iCs/>
          <w:sz w:val="22"/>
          <w:szCs w:val="22"/>
        </w:rPr>
        <w:t>118</w:t>
      </w:r>
      <w:r w:rsidRPr="00F74E27">
        <w:rPr>
          <w:rFonts w:ascii="Arial" w:hAnsi="Arial" w:cs="Arial"/>
          <w:sz w:val="22"/>
          <w:szCs w:val="22"/>
        </w:rPr>
        <w:t xml:space="preserve">(17), pp.3272-3287. </w:t>
      </w:r>
      <w:hyperlink r:id="rId28" w:tgtFrame="_blank" w:history="1">
        <w:r w:rsidRPr="00F74E27">
          <w:rPr>
            <w:rStyle w:val="Hyperlink"/>
            <w:rFonts w:ascii="Arial" w:hAnsi="Arial" w:cs="Arial"/>
            <w:sz w:val="22"/>
            <w:szCs w:val="22"/>
          </w:rPr>
          <w:t>https://doi.org/10.1093/cvr/cvac013</w:t>
        </w:r>
      </w:hyperlink>
    </w:p>
    <w:p w14:paraId="3CA78126"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Severino, P., D’Amato, A., Prosperi, S., Mariani, M.V., Cestie, C., Myftari, V., Francia, A.L., Marek-Iannucci, S., Manzi, G., Filomena, D., and </w:t>
      </w:r>
      <w:proofErr w:type="spellStart"/>
      <w:r w:rsidRPr="00F74E27">
        <w:rPr>
          <w:rFonts w:ascii="Arial" w:hAnsi="Arial" w:cs="Arial"/>
          <w:sz w:val="22"/>
          <w:szCs w:val="22"/>
        </w:rPr>
        <w:t>Maestrini</w:t>
      </w:r>
      <w:proofErr w:type="spellEnd"/>
      <w:r w:rsidRPr="00F74E27">
        <w:rPr>
          <w:rFonts w:ascii="Arial" w:hAnsi="Arial" w:cs="Arial"/>
          <w:sz w:val="22"/>
          <w:szCs w:val="22"/>
        </w:rPr>
        <w:t xml:space="preserve">, V., 2025. The Early Pharmacological Strategy with </w:t>
      </w:r>
      <w:proofErr w:type="spellStart"/>
      <w:r w:rsidRPr="00F74E27">
        <w:rPr>
          <w:rFonts w:ascii="Arial" w:hAnsi="Arial" w:cs="Arial"/>
          <w:sz w:val="22"/>
          <w:szCs w:val="22"/>
        </w:rPr>
        <w:t>Inodilator</w:t>
      </w:r>
      <w:proofErr w:type="spellEnd"/>
      <w:r w:rsidRPr="00F74E27">
        <w:rPr>
          <w:rFonts w:ascii="Arial" w:hAnsi="Arial" w:cs="Arial"/>
          <w:sz w:val="22"/>
          <w:szCs w:val="22"/>
        </w:rPr>
        <w:t>, Beta-blockers, Mineralocorticoid Receptor Antagonists, Sodium-glucose CoTransporter-2 Inhibitors, and Angiotensin Receptor-</w:t>
      </w:r>
      <w:proofErr w:type="spellStart"/>
      <w:r w:rsidRPr="00F74E27">
        <w:rPr>
          <w:rFonts w:ascii="Arial" w:hAnsi="Arial" w:cs="Arial"/>
          <w:sz w:val="22"/>
          <w:szCs w:val="22"/>
        </w:rPr>
        <w:t>Neprylisin</w:t>
      </w:r>
      <w:proofErr w:type="spellEnd"/>
      <w:r w:rsidRPr="00F74E27">
        <w:rPr>
          <w:rFonts w:ascii="Arial" w:hAnsi="Arial" w:cs="Arial"/>
          <w:sz w:val="22"/>
          <w:szCs w:val="22"/>
        </w:rPr>
        <w:t xml:space="preserve"> Inhibitors in Acute Heart Failure (PENTA-HF). </w:t>
      </w:r>
      <w:r w:rsidRPr="00F74E27">
        <w:rPr>
          <w:rFonts w:ascii="Arial" w:hAnsi="Arial" w:cs="Arial"/>
          <w:i/>
          <w:iCs/>
          <w:sz w:val="22"/>
          <w:szCs w:val="22"/>
        </w:rPr>
        <w:t>Current Vascular Pharmacology</w:t>
      </w:r>
      <w:r w:rsidRPr="00F74E27">
        <w:rPr>
          <w:rFonts w:ascii="Arial" w:hAnsi="Arial" w:cs="Arial"/>
          <w:sz w:val="22"/>
          <w:szCs w:val="22"/>
        </w:rPr>
        <w:t xml:space="preserve">, </w:t>
      </w:r>
      <w:r w:rsidRPr="00F74E27">
        <w:rPr>
          <w:rFonts w:ascii="Arial" w:hAnsi="Arial" w:cs="Arial"/>
          <w:i/>
          <w:iCs/>
          <w:sz w:val="22"/>
          <w:szCs w:val="22"/>
        </w:rPr>
        <w:t>23</w:t>
      </w:r>
      <w:r w:rsidRPr="00F74E27">
        <w:rPr>
          <w:rFonts w:ascii="Arial" w:hAnsi="Arial" w:cs="Arial"/>
          <w:sz w:val="22"/>
          <w:szCs w:val="22"/>
        </w:rPr>
        <w:t xml:space="preserve">(3), pp.213-223. </w:t>
      </w:r>
      <w:hyperlink r:id="rId29" w:tgtFrame="_blank" w:history="1">
        <w:r w:rsidRPr="00F74E27">
          <w:rPr>
            <w:rStyle w:val="Hyperlink"/>
            <w:rFonts w:ascii="Arial" w:hAnsi="Arial" w:cs="Arial"/>
            <w:sz w:val="22"/>
            <w:szCs w:val="22"/>
          </w:rPr>
          <w:t>https://doi.org/10.2174/0115701611334141241217044516</w:t>
        </w:r>
      </w:hyperlink>
    </w:p>
    <w:p w14:paraId="0112588A" w14:textId="77777777" w:rsidR="007E2EDA" w:rsidRPr="00F74E27" w:rsidRDefault="007E2EDA" w:rsidP="007E2EDA">
      <w:pPr>
        <w:spacing w:line="360" w:lineRule="auto"/>
        <w:ind w:left="720" w:hanging="720"/>
        <w:jc w:val="both"/>
        <w:rPr>
          <w:rFonts w:ascii="Arial" w:hAnsi="Arial" w:cs="Arial"/>
          <w:sz w:val="22"/>
          <w:szCs w:val="22"/>
        </w:rPr>
      </w:pPr>
      <w:proofErr w:type="spellStart"/>
      <w:r w:rsidRPr="00F74E27">
        <w:rPr>
          <w:rFonts w:ascii="Arial" w:hAnsi="Arial" w:cs="Arial"/>
          <w:sz w:val="22"/>
          <w:szCs w:val="22"/>
        </w:rPr>
        <w:t>Suthershinii</w:t>
      </w:r>
      <w:proofErr w:type="spellEnd"/>
      <w:r w:rsidRPr="00F74E27">
        <w:rPr>
          <w:rFonts w:ascii="Arial" w:hAnsi="Arial" w:cs="Arial"/>
          <w:sz w:val="22"/>
          <w:szCs w:val="22"/>
        </w:rPr>
        <w:t xml:space="preserve">, G., Tan, W.A., Lee, A.R.Y.B., and Chen, M.Z., 2022. Behavioral interventions for the patient–caregiver unit in patients with chronic heart failure: a systematic review of caregiver outcomes. </w:t>
      </w:r>
      <w:r w:rsidRPr="00F74E27">
        <w:rPr>
          <w:rFonts w:ascii="Arial" w:hAnsi="Arial" w:cs="Arial"/>
          <w:i/>
          <w:iCs/>
          <w:sz w:val="22"/>
          <w:szCs w:val="22"/>
        </w:rPr>
        <w:t>Journal of Multidisciplinary Healthcare</w:t>
      </w:r>
      <w:r w:rsidRPr="00F74E27">
        <w:rPr>
          <w:rFonts w:ascii="Arial" w:hAnsi="Arial" w:cs="Arial"/>
          <w:sz w:val="22"/>
          <w:szCs w:val="22"/>
        </w:rPr>
        <w:t xml:space="preserve">, </w:t>
      </w:r>
      <w:r w:rsidRPr="00F74E27">
        <w:rPr>
          <w:rFonts w:ascii="Arial" w:hAnsi="Arial" w:cs="Arial"/>
          <w:i/>
          <w:iCs/>
          <w:sz w:val="22"/>
          <w:szCs w:val="22"/>
        </w:rPr>
        <w:t>15</w:t>
      </w:r>
      <w:r w:rsidRPr="00F74E27">
        <w:rPr>
          <w:rFonts w:ascii="Arial" w:hAnsi="Arial" w:cs="Arial"/>
          <w:sz w:val="22"/>
          <w:szCs w:val="22"/>
        </w:rPr>
        <w:t xml:space="preserve">, p. 921. </w:t>
      </w:r>
      <w:hyperlink r:id="rId30" w:tgtFrame="_blank" w:history="1">
        <w:r w:rsidRPr="00F74E27">
          <w:rPr>
            <w:rStyle w:val="Hyperlink"/>
            <w:rFonts w:ascii="Arial" w:hAnsi="Arial" w:cs="Arial"/>
            <w:sz w:val="22"/>
            <w:szCs w:val="22"/>
          </w:rPr>
          <w:t>https://doi.org/10.2147/JMDH.S357179</w:t>
        </w:r>
      </w:hyperlink>
    </w:p>
    <w:p w14:paraId="37DB4F6B"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The NHS Alliance. 2026. </w:t>
      </w:r>
      <w:r w:rsidRPr="00F74E27">
        <w:rPr>
          <w:rFonts w:ascii="Arial" w:hAnsi="Arial" w:cs="Arial"/>
          <w:i/>
          <w:iCs/>
          <w:sz w:val="22"/>
          <w:szCs w:val="22"/>
        </w:rPr>
        <w:t>Improving cardiovascular disease prevention across systems</w:t>
      </w:r>
      <w:r w:rsidRPr="00F74E27">
        <w:rPr>
          <w:rFonts w:ascii="Arial" w:hAnsi="Arial" w:cs="Arial"/>
          <w:sz w:val="22"/>
          <w:szCs w:val="22"/>
        </w:rPr>
        <w:t xml:space="preserve">. </w:t>
      </w:r>
      <w:hyperlink r:id="rId31" w:tgtFrame="_blank" w:history="1">
        <w:r w:rsidRPr="00F74E27">
          <w:rPr>
            <w:rStyle w:val="Hyperlink"/>
            <w:rFonts w:ascii="Arial" w:hAnsi="Arial" w:cs="Arial"/>
            <w:sz w:val="22"/>
            <w:szCs w:val="22"/>
          </w:rPr>
          <w:t>https://thenhsalliance.org/resources/improving-cardiovascular-disease-prevention-across-systems</w:t>
        </w:r>
      </w:hyperlink>
    </w:p>
    <w:p w14:paraId="738298EE"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lastRenderedPageBreak/>
        <w:t xml:space="preserve">Vanneste, A., Barbier, L., </w:t>
      </w:r>
      <w:proofErr w:type="spellStart"/>
      <w:r w:rsidRPr="00F74E27">
        <w:rPr>
          <w:rFonts w:ascii="Arial" w:hAnsi="Arial" w:cs="Arial"/>
          <w:sz w:val="22"/>
          <w:szCs w:val="22"/>
        </w:rPr>
        <w:t>Missotten</w:t>
      </w:r>
      <w:proofErr w:type="spellEnd"/>
      <w:r w:rsidRPr="00F74E27">
        <w:rPr>
          <w:rFonts w:ascii="Arial" w:hAnsi="Arial" w:cs="Arial"/>
          <w:sz w:val="22"/>
          <w:szCs w:val="22"/>
        </w:rPr>
        <w:t xml:space="preserve">, R., Desmet, T., </w:t>
      </w:r>
      <w:proofErr w:type="spellStart"/>
      <w:r w:rsidRPr="00F74E27">
        <w:rPr>
          <w:rFonts w:ascii="Arial" w:hAnsi="Arial" w:cs="Arial"/>
          <w:sz w:val="22"/>
          <w:szCs w:val="22"/>
        </w:rPr>
        <w:t>Droogne</w:t>
      </w:r>
      <w:proofErr w:type="spellEnd"/>
      <w:r w:rsidRPr="00F74E27">
        <w:rPr>
          <w:rFonts w:ascii="Arial" w:hAnsi="Arial" w:cs="Arial"/>
          <w:sz w:val="22"/>
          <w:szCs w:val="22"/>
        </w:rPr>
        <w:t xml:space="preserve">, W., Michelsen, S., Sinnaeve, P., </w:t>
      </w:r>
      <w:proofErr w:type="spellStart"/>
      <w:r w:rsidRPr="00F74E27">
        <w:rPr>
          <w:rFonts w:ascii="Arial" w:hAnsi="Arial" w:cs="Arial"/>
          <w:sz w:val="22"/>
          <w:szCs w:val="22"/>
        </w:rPr>
        <w:t>Adriaenssens</w:t>
      </w:r>
      <w:proofErr w:type="spellEnd"/>
      <w:r w:rsidRPr="00F74E27">
        <w:rPr>
          <w:rFonts w:ascii="Arial" w:hAnsi="Arial" w:cs="Arial"/>
          <w:sz w:val="22"/>
          <w:szCs w:val="22"/>
        </w:rPr>
        <w:t xml:space="preserve">, T., Huys, I., and Janssens, R., 2024. Heart failure patients' perspectives on treatment outcomes and unmet medical needs: A qualitative preference study. </w:t>
      </w:r>
      <w:r w:rsidRPr="00F74E27">
        <w:rPr>
          <w:rFonts w:ascii="Arial" w:hAnsi="Arial" w:cs="Arial"/>
          <w:i/>
          <w:iCs/>
          <w:sz w:val="22"/>
          <w:szCs w:val="22"/>
        </w:rPr>
        <w:t>ESC heart failure</w:t>
      </w:r>
      <w:r w:rsidRPr="00F74E27">
        <w:rPr>
          <w:rFonts w:ascii="Arial" w:hAnsi="Arial" w:cs="Arial"/>
          <w:sz w:val="22"/>
          <w:szCs w:val="22"/>
        </w:rPr>
        <w:t xml:space="preserve">, </w:t>
      </w:r>
      <w:r w:rsidRPr="00F74E27">
        <w:rPr>
          <w:rFonts w:ascii="Arial" w:hAnsi="Arial" w:cs="Arial"/>
          <w:i/>
          <w:iCs/>
          <w:sz w:val="22"/>
          <w:szCs w:val="22"/>
        </w:rPr>
        <w:t>11</w:t>
      </w:r>
      <w:r w:rsidRPr="00F74E27">
        <w:rPr>
          <w:rFonts w:ascii="Arial" w:hAnsi="Arial" w:cs="Arial"/>
          <w:sz w:val="22"/>
          <w:szCs w:val="22"/>
        </w:rPr>
        <w:t xml:space="preserve">(5), pp.3075-3084. </w:t>
      </w:r>
      <w:hyperlink r:id="rId32" w:tgtFrame="_blank" w:history="1">
        <w:r w:rsidRPr="00F74E27">
          <w:rPr>
            <w:rStyle w:val="Hyperlink"/>
            <w:rFonts w:ascii="Arial" w:hAnsi="Arial" w:cs="Arial"/>
            <w:sz w:val="22"/>
            <w:szCs w:val="22"/>
          </w:rPr>
          <w:t>https://doi.org/10.1002/ehf2.14891</w:t>
        </w:r>
      </w:hyperlink>
    </w:p>
    <w:p w14:paraId="7431DEB0"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Xu, Y., Liu, Y., Kang, Y., Wang, D., Zhou, Y., Wu, L., and Yuan, L., 2024. Experiences of family caregivers of patients with end-of-life cancer during the transition from hospital to home palliative care: a qualitative study. </w:t>
      </w:r>
      <w:r w:rsidRPr="00F74E27">
        <w:rPr>
          <w:rFonts w:ascii="Arial" w:hAnsi="Arial" w:cs="Arial"/>
          <w:i/>
          <w:iCs/>
          <w:sz w:val="22"/>
          <w:szCs w:val="22"/>
        </w:rPr>
        <w:t>BMC palliative care</w:t>
      </w:r>
      <w:r w:rsidRPr="00F74E27">
        <w:rPr>
          <w:rFonts w:ascii="Arial" w:hAnsi="Arial" w:cs="Arial"/>
          <w:sz w:val="22"/>
          <w:szCs w:val="22"/>
        </w:rPr>
        <w:t xml:space="preserve">, </w:t>
      </w:r>
      <w:r w:rsidRPr="00F74E27">
        <w:rPr>
          <w:rFonts w:ascii="Arial" w:hAnsi="Arial" w:cs="Arial"/>
          <w:i/>
          <w:iCs/>
          <w:sz w:val="22"/>
          <w:szCs w:val="22"/>
        </w:rPr>
        <w:t>23</w:t>
      </w:r>
      <w:r w:rsidRPr="00F74E27">
        <w:rPr>
          <w:rFonts w:ascii="Arial" w:hAnsi="Arial" w:cs="Arial"/>
          <w:sz w:val="22"/>
          <w:szCs w:val="22"/>
        </w:rPr>
        <w:t xml:space="preserve">(1), p.230. </w:t>
      </w:r>
      <w:hyperlink r:id="rId33" w:tgtFrame="_blank" w:history="1">
        <w:r w:rsidRPr="00F74E27">
          <w:rPr>
            <w:rStyle w:val="Hyperlink"/>
            <w:rFonts w:ascii="Arial" w:hAnsi="Arial" w:cs="Arial"/>
            <w:sz w:val="22"/>
            <w:szCs w:val="22"/>
          </w:rPr>
          <w:t>https://doi.org/10.1186/s12904-024-01559-4</w:t>
        </w:r>
      </w:hyperlink>
    </w:p>
    <w:p w14:paraId="38390C6F" w14:textId="77777777" w:rsidR="007E2EDA" w:rsidRPr="00F74E27" w:rsidRDefault="007E2EDA" w:rsidP="007E2EDA">
      <w:pPr>
        <w:spacing w:line="360" w:lineRule="auto"/>
        <w:ind w:left="720" w:hanging="720"/>
        <w:jc w:val="both"/>
        <w:rPr>
          <w:rFonts w:ascii="Arial" w:hAnsi="Arial" w:cs="Arial"/>
          <w:sz w:val="22"/>
          <w:szCs w:val="22"/>
        </w:rPr>
      </w:pPr>
      <w:r w:rsidRPr="00F74E27">
        <w:rPr>
          <w:rFonts w:ascii="Arial" w:hAnsi="Arial" w:cs="Arial"/>
          <w:sz w:val="22"/>
          <w:szCs w:val="22"/>
        </w:rPr>
        <w:t xml:space="preserve">Zaher, W., Della Rocca, D.G., Pannone, L., </w:t>
      </w:r>
      <w:proofErr w:type="spellStart"/>
      <w:r w:rsidRPr="00F74E27">
        <w:rPr>
          <w:rFonts w:ascii="Arial" w:hAnsi="Arial" w:cs="Arial"/>
          <w:sz w:val="22"/>
          <w:szCs w:val="22"/>
        </w:rPr>
        <w:t>Boveda</w:t>
      </w:r>
      <w:proofErr w:type="spellEnd"/>
      <w:r w:rsidRPr="00F74E27">
        <w:rPr>
          <w:rFonts w:ascii="Arial" w:hAnsi="Arial" w:cs="Arial"/>
          <w:sz w:val="22"/>
          <w:szCs w:val="22"/>
        </w:rPr>
        <w:t xml:space="preserve">, S., de </w:t>
      </w:r>
      <w:proofErr w:type="spellStart"/>
      <w:r w:rsidRPr="00F74E27">
        <w:rPr>
          <w:rFonts w:ascii="Arial" w:hAnsi="Arial" w:cs="Arial"/>
          <w:sz w:val="22"/>
          <w:szCs w:val="22"/>
        </w:rPr>
        <w:t>Asmundis</w:t>
      </w:r>
      <w:proofErr w:type="spellEnd"/>
      <w:r w:rsidRPr="00F74E27">
        <w:rPr>
          <w:rFonts w:ascii="Arial" w:hAnsi="Arial" w:cs="Arial"/>
          <w:sz w:val="22"/>
          <w:szCs w:val="22"/>
        </w:rPr>
        <w:t xml:space="preserve">, C., </w:t>
      </w:r>
      <w:proofErr w:type="spellStart"/>
      <w:r w:rsidRPr="00F74E27">
        <w:rPr>
          <w:rFonts w:ascii="Arial" w:hAnsi="Arial" w:cs="Arial"/>
          <w:sz w:val="22"/>
          <w:szCs w:val="22"/>
        </w:rPr>
        <w:t>Chierchia</w:t>
      </w:r>
      <w:proofErr w:type="spellEnd"/>
      <w:r w:rsidRPr="00F74E27">
        <w:rPr>
          <w:rFonts w:ascii="Arial" w:hAnsi="Arial" w:cs="Arial"/>
          <w:sz w:val="22"/>
          <w:szCs w:val="22"/>
        </w:rPr>
        <w:t xml:space="preserve">, G.B., and Sorgente, A., 2024. Anti-arrhythmic effects of heart failure guideline-directed medical therapy and their role in the prevention of sudden cardiac death: from beta-blockers to sodium-glucose cotransporter 2 inhibitors and beyond. </w:t>
      </w:r>
      <w:r w:rsidRPr="00F74E27">
        <w:rPr>
          <w:rFonts w:ascii="Arial" w:hAnsi="Arial" w:cs="Arial"/>
          <w:i/>
          <w:iCs/>
          <w:sz w:val="22"/>
          <w:szCs w:val="22"/>
        </w:rPr>
        <w:t>Journal of Clinical Medicine</w:t>
      </w:r>
      <w:r w:rsidRPr="00F74E27">
        <w:rPr>
          <w:rFonts w:ascii="Arial" w:hAnsi="Arial" w:cs="Arial"/>
          <w:sz w:val="22"/>
          <w:szCs w:val="22"/>
        </w:rPr>
        <w:t xml:space="preserve">, </w:t>
      </w:r>
      <w:r w:rsidRPr="00F74E27">
        <w:rPr>
          <w:rFonts w:ascii="Arial" w:hAnsi="Arial" w:cs="Arial"/>
          <w:i/>
          <w:iCs/>
          <w:sz w:val="22"/>
          <w:szCs w:val="22"/>
        </w:rPr>
        <w:t>13</w:t>
      </w:r>
      <w:r w:rsidRPr="00F74E27">
        <w:rPr>
          <w:rFonts w:ascii="Arial" w:hAnsi="Arial" w:cs="Arial"/>
          <w:sz w:val="22"/>
          <w:szCs w:val="22"/>
        </w:rPr>
        <w:t xml:space="preserve">(5), p.1316. </w:t>
      </w:r>
      <w:hyperlink r:id="rId34" w:tgtFrame="_blank" w:history="1">
        <w:r w:rsidRPr="00F74E27">
          <w:rPr>
            <w:rStyle w:val="Hyperlink"/>
            <w:rFonts w:ascii="Arial" w:hAnsi="Arial" w:cs="Arial"/>
            <w:sz w:val="22"/>
            <w:szCs w:val="22"/>
          </w:rPr>
          <w:t>https://doi.org/10.3390/jcm13051316</w:t>
        </w:r>
      </w:hyperlink>
    </w:p>
    <w:p w14:paraId="7F9ED9F5"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0C1C91D4"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3F133560"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5EF38907"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3FDCB3A0"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10E3D20D"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0EFDF6CC"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3FF19AD2"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32CD324C"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050F5672"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3873F5CF" w14:textId="77777777" w:rsidR="007E2EDA" w:rsidRPr="00F74E27" w:rsidRDefault="007E2EDA" w:rsidP="007E2EDA">
      <w:pPr>
        <w:spacing w:line="360" w:lineRule="auto"/>
        <w:ind w:firstLine="0"/>
        <w:jc w:val="both"/>
        <w:rPr>
          <w:rFonts w:ascii="Arial" w:hAnsi="Arial" w:cs="Arial"/>
          <w:sz w:val="22"/>
          <w:szCs w:val="22"/>
        </w:rPr>
      </w:pPr>
      <w:r w:rsidRPr="00F74E27">
        <w:rPr>
          <w:rFonts w:ascii="Arial" w:hAnsi="Arial" w:cs="Arial"/>
          <w:sz w:val="22"/>
          <w:szCs w:val="22"/>
        </w:rPr>
        <w:t> </w:t>
      </w:r>
    </w:p>
    <w:p w14:paraId="53A9C7FC" w14:textId="77777777" w:rsidR="007E2EDA" w:rsidRPr="00F74E27" w:rsidRDefault="007E2EDA" w:rsidP="007E2EDA">
      <w:pPr>
        <w:spacing w:line="360" w:lineRule="auto"/>
        <w:ind w:firstLine="0"/>
        <w:jc w:val="both"/>
        <w:rPr>
          <w:rFonts w:ascii="Arial" w:hAnsi="Arial" w:cs="Arial"/>
          <w:sz w:val="22"/>
          <w:szCs w:val="22"/>
        </w:rPr>
      </w:pPr>
    </w:p>
    <w:p w14:paraId="5D4F3095" w14:textId="77777777" w:rsidR="00CB5CA4" w:rsidRDefault="00CB5CA4"/>
    <w:sectPr w:rsidR="00CB5CA4" w:rsidSect="007E2EDA">
      <w:headerReference w:type="default" r:id="rId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96953887"/>
      <w:docPartObj>
        <w:docPartGallery w:val="Page Numbers (Top of Page)"/>
        <w:docPartUnique/>
      </w:docPartObj>
    </w:sdtPr>
    <w:sdtEndPr>
      <w:rPr>
        <w:noProof/>
      </w:rPr>
    </w:sdtEndPr>
    <w:sdtContent>
      <w:p w14:paraId="3369FAD2" w14:textId="77777777" w:rsidR="007E2EDA" w:rsidRPr="00475CDA" w:rsidRDefault="007E2EDA">
        <w:pPr>
          <w:pStyle w:val="Header"/>
          <w:jc w:val="right"/>
          <w:rPr>
            <w:rFonts w:ascii="Arial" w:hAnsi="Arial" w:cs="Arial"/>
          </w:rPr>
        </w:pPr>
        <w:r w:rsidRPr="00475CDA">
          <w:rPr>
            <w:rFonts w:ascii="Arial" w:hAnsi="Arial" w:cs="Arial"/>
          </w:rPr>
          <w:fldChar w:fldCharType="begin"/>
        </w:r>
        <w:r w:rsidRPr="00475CDA">
          <w:rPr>
            <w:rFonts w:ascii="Arial" w:hAnsi="Arial" w:cs="Arial"/>
          </w:rPr>
          <w:instrText xml:space="preserve"> PAGE   \* MERGEFORMAT </w:instrText>
        </w:r>
        <w:r w:rsidRPr="00475CDA">
          <w:rPr>
            <w:rFonts w:ascii="Arial" w:hAnsi="Arial" w:cs="Arial"/>
          </w:rPr>
          <w:fldChar w:fldCharType="separate"/>
        </w:r>
        <w:r w:rsidRPr="00475CDA">
          <w:rPr>
            <w:rFonts w:ascii="Arial" w:hAnsi="Arial" w:cs="Arial"/>
            <w:noProof/>
          </w:rPr>
          <w:t>2</w:t>
        </w:r>
        <w:r w:rsidRPr="00475CDA">
          <w:rPr>
            <w:rFonts w:ascii="Arial" w:hAnsi="Arial" w:cs="Arial"/>
            <w:noProof/>
          </w:rPr>
          <w:fldChar w:fldCharType="end"/>
        </w:r>
      </w:p>
    </w:sdtContent>
  </w:sdt>
  <w:p w14:paraId="03C80FD4" w14:textId="77777777" w:rsidR="007E2EDA" w:rsidRPr="00475CDA" w:rsidRDefault="007E2EDA">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EDA"/>
    <w:rsid w:val="0045405F"/>
    <w:rsid w:val="007E2EDA"/>
    <w:rsid w:val="00CB5CA4"/>
    <w:rsid w:val="00F25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B7014"/>
  <w15:chartTrackingRefBased/>
  <w15:docId w15:val="{2C16EDF3-1A7B-41C0-B290-1BF5FC849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EDA"/>
    <w:pPr>
      <w:spacing w:after="0" w:line="480" w:lineRule="auto"/>
      <w:ind w:firstLine="720"/>
    </w:pPr>
    <w:rPr>
      <w:sz w:val="24"/>
      <w:szCs w:val="24"/>
      <w:lang w:val="en-US"/>
    </w:rPr>
  </w:style>
  <w:style w:type="paragraph" w:styleId="Heading1">
    <w:name w:val="heading 1"/>
    <w:basedOn w:val="Normal"/>
    <w:next w:val="Normal"/>
    <w:link w:val="Heading1Char"/>
    <w:uiPriority w:val="9"/>
    <w:qFormat/>
    <w:rsid w:val="007E2EDA"/>
    <w:pPr>
      <w:keepNext/>
      <w:keepLines/>
      <w:spacing w:before="360" w:after="80" w:line="259" w:lineRule="auto"/>
      <w:ind w:firstLine="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7E2EDA"/>
    <w:pPr>
      <w:keepNext/>
      <w:keepLines/>
      <w:spacing w:before="160" w:after="80" w:line="259" w:lineRule="auto"/>
      <w:ind w:firstLine="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7E2EDA"/>
    <w:pPr>
      <w:keepNext/>
      <w:keepLines/>
      <w:spacing w:before="160" w:after="80" w:line="259" w:lineRule="auto"/>
      <w:ind w:firstLine="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7E2EDA"/>
    <w:pPr>
      <w:keepNext/>
      <w:keepLines/>
      <w:spacing w:before="80" w:after="40" w:line="259" w:lineRule="auto"/>
      <w:ind w:firstLine="0"/>
      <w:outlineLvl w:val="3"/>
    </w:pPr>
    <w:rPr>
      <w:rFonts w:eastAsiaTheme="majorEastAsia" w:cstheme="majorBidi"/>
      <w:i/>
      <w:iCs/>
      <w:color w:val="0F4761" w:themeColor="accent1" w:themeShade="BF"/>
      <w:sz w:val="22"/>
      <w:szCs w:val="22"/>
      <w:lang w:val="en-GB"/>
    </w:rPr>
  </w:style>
  <w:style w:type="paragraph" w:styleId="Heading5">
    <w:name w:val="heading 5"/>
    <w:basedOn w:val="Normal"/>
    <w:next w:val="Normal"/>
    <w:link w:val="Heading5Char"/>
    <w:uiPriority w:val="9"/>
    <w:semiHidden/>
    <w:unhideWhenUsed/>
    <w:qFormat/>
    <w:rsid w:val="007E2EDA"/>
    <w:pPr>
      <w:keepNext/>
      <w:keepLines/>
      <w:spacing w:before="80" w:after="40" w:line="259" w:lineRule="auto"/>
      <w:ind w:firstLine="0"/>
      <w:outlineLvl w:val="4"/>
    </w:pPr>
    <w:rPr>
      <w:rFonts w:eastAsiaTheme="majorEastAsia" w:cstheme="majorBidi"/>
      <w:color w:val="0F4761" w:themeColor="accent1" w:themeShade="BF"/>
      <w:sz w:val="22"/>
      <w:szCs w:val="22"/>
      <w:lang w:val="en-GB"/>
    </w:rPr>
  </w:style>
  <w:style w:type="paragraph" w:styleId="Heading6">
    <w:name w:val="heading 6"/>
    <w:basedOn w:val="Normal"/>
    <w:next w:val="Normal"/>
    <w:link w:val="Heading6Char"/>
    <w:uiPriority w:val="9"/>
    <w:semiHidden/>
    <w:unhideWhenUsed/>
    <w:qFormat/>
    <w:rsid w:val="007E2EDA"/>
    <w:pPr>
      <w:keepNext/>
      <w:keepLines/>
      <w:spacing w:before="40" w:line="259" w:lineRule="auto"/>
      <w:ind w:firstLine="0"/>
      <w:outlineLvl w:val="5"/>
    </w:pPr>
    <w:rPr>
      <w:rFonts w:eastAsiaTheme="majorEastAsia" w:cstheme="majorBidi"/>
      <w:i/>
      <w:iCs/>
      <w:color w:val="595959" w:themeColor="text1" w:themeTint="A6"/>
      <w:sz w:val="22"/>
      <w:szCs w:val="22"/>
      <w:lang w:val="en-GB"/>
    </w:rPr>
  </w:style>
  <w:style w:type="paragraph" w:styleId="Heading7">
    <w:name w:val="heading 7"/>
    <w:basedOn w:val="Normal"/>
    <w:next w:val="Normal"/>
    <w:link w:val="Heading7Char"/>
    <w:uiPriority w:val="9"/>
    <w:semiHidden/>
    <w:unhideWhenUsed/>
    <w:qFormat/>
    <w:rsid w:val="007E2EDA"/>
    <w:pPr>
      <w:keepNext/>
      <w:keepLines/>
      <w:spacing w:before="40" w:line="259" w:lineRule="auto"/>
      <w:ind w:firstLine="0"/>
      <w:outlineLvl w:val="6"/>
    </w:pPr>
    <w:rPr>
      <w:rFonts w:eastAsiaTheme="majorEastAsia" w:cstheme="majorBidi"/>
      <w:color w:val="595959" w:themeColor="text1" w:themeTint="A6"/>
      <w:sz w:val="22"/>
      <w:szCs w:val="22"/>
      <w:lang w:val="en-GB"/>
    </w:rPr>
  </w:style>
  <w:style w:type="paragraph" w:styleId="Heading8">
    <w:name w:val="heading 8"/>
    <w:basedOn w:val="Normal"/>
    <w:next w:val="Normal"/>
    <w:link w:val="Heading8Char"/>
    <w:uiPriority w:val="9"/>
    <w:semiHidden/>
    <w:unhideWhenUsed/>
    <w:qFormat/>
    <w:rsid w:val="007E2EDA"/>
    <w:pPr>
      <w:keepNext/>
      <w:keepLines/>
      <w:spacing w:line="259" w:lineRule="auto"/>
      <w:ind w:firstLine="0"/>
      <w:outlineLvl w:val="7"/>
    </w:pPr>
    <w:rPr>
      <w:rFonts w:eastAsiaTheme="majorEastAsia" w:cstheme="majorBidi"/>
      <w:i/>
      <w:iCs/>
      <w:color w:val="272727" w:themeColor="text1" w:themeTint="D8"/>
      <w:sz w:val="22"/>
      <w:szCs w:val="22"/>
      <w:lang w:val="en-GB"/>
    </w:rPr>
  </w:style>
  <w:style w:type="paragraph" w:styleId="Heading9">
    <w:name w:val="heading 9"/>
    <w:basedOn w:val="Normal"/>
    <w:next w:val="Normal"/>
    <w:link w:val="Heading9Char"/>
    <w:uiPriority w:val="9"/>
    <w:semiHidden/>
    <w:unhideWhenUsed/>
    <w:qFormat/>
    <w:rsid w:val="007E2EDA"/>
    <w:pPr>
      <w:keepNext/>
      <w:keepLines/>
      <w:spacing w:line="259" w:lineRule="auto"/>
      <w:ind w:firstLine="0"/>
      <w:outlineLvl w:val="8"/>
    </w:pPr>
    <w:rPr>
      <w:rFonts w:eastAsiaTheme="majorEastAsia" w:cstheme="majorBidi"/>
      <w:color w:val="272727" w:themeColor="text1" w:themeTint="D8"/>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E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2E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E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E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E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EDA"/>
    <w:rPr>
      <w:rFonts w:eastAsiaTheme="majorEastAsia" w:cstheme="majorBidi"/>
      <w:color w:val="272727" w:themeColor="text1" w:themeTint="D8"/>
    </w:rPr>
  </w:style>
  <w:style w:type="paragraph" w:styleId="Title">
    <w:name w:val="Title"/>
    <w:basedOn w:val="Normal"/>
    <w:next w:val="Normal"/>
    <w:link w:val="TitleChar"/>
    <w:uiPriority w:val="10"/>
    <w:qFormat/>
    <w:rsid w:val="007E2EDA"/>
    <w:pPr>
      <w:spacing w:after="80" w:line="240" w:lineRule="auto"/>
      <w:ind w:firstLine="0"/>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7E2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EDA"/>
    <w:pPr>
      <w:numPr>
        <w:ilvl w:val="1"/>
      </w:numPr>
      <w:spacing w:after="160" w:line="259" w:lineRule="auto"/>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7E2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EDA"/>
    <w:pPr>
      <w:spacing w:before="160" w:after="160" w:line="259" w:lineRule="auto"/>
      <w:ind w:firstLine="0"/>
      <w:jc w:val="center"/>
    </w:pPr>
    <w:rPr>
      <w:i/>
      <w:iCs/>
      <w:color w:val="404040" w:themeColor="text1" w:themeTint="BF"/>
      <w:sz w:val="22"/>
      <w:szCs w:val="22"/>
      <w:lang w:val="en-GB"/>
    </w:rPr>
  </w:style>
  <w:style w:type="character" w:customStyle="1" w:styleId="QuoteChar">
    <w:name w:val="Quote Char"/>
    <w:basedOn w:val="DefaultParagraphFont"/>
    <w:link w:val="Quote"/>
    <w:uiPriority w:val="29"/>
    <w:rsid w:val="007E2EDA"/>
    <w:rPr>
      <w:i/>
      <w:iCs/>
      <w:color w:val="404040" w:themeColor="text1" w:themeTint="BF"/>
    </w:rPr>
  </w:style>
  <w:style w:type="paragraph" w:styleId="ListParagraph">
    <w:name w:val="List Paragraph"/>
    <w:basedOn w:val="Normal"/>
    <w:uiPriority w:val="34"/>
    <w:qFormat/>
    <w:rsid w:val="007E2EDA"/>
    <w:pPr>
      <w:spacing w:after="160" w:line="259" w:lineRule="auto"/>
      <w:ind w:left="720" w:firstLine="0"/>
      <w:contextualSpacing/>
    </w:pPr>
    <w:rPr>
      <w:sz w:val="22"/>
      <w:szCs w:val="22"/>
      <w:lang w:val="en-GB"/>
    </w:rPr>
  </w:style>
  <w:style w:type="character" w:styleId="IntenseEmphasis">
    <w:name w:val="Intense Emphasis"/>
    <w:basedOn w:val="DefaultParagraphFont"/>
    <w:uiPriority w:val="21"/>
    <w:qFormat/>
    <w:rsid w:val="007E2EDA"/>
    <w:rPr>
      <w:i/>
      <w:iCs/>
      <w:color w:val="0F4761" w:themeColor="accent1" w:themeShade="BF"/>
    </w:rPr>
  </w:style>
  <w:style w:type="paragraph" w:styleId="IntenseQuote">
    <w:name w:val="Intense Quote"/>
    <w:basedOn w:val="Normal"/>
    <w:next w:val="Normal"/>
    <w:link w:val="IntenseQuoteChar"/>
    <w:uiPriority w:val="30"/>
    <w:qFormat/>
    <w:rsid w:val="007E2EDA"/>
    <w:pPr>
      <w:pBdr>
        <w:top w:val="single" w:sz="4" w:space="10" w:color="0F4761" w:themeColor="accent1" w:themeShade="BF"/>
        <w:bottom w:val="single" w:sz="4" w:space="10" w:color="0F4761" w:themeColor="accent1" w:themeShade="BF"/>
      </w:pBdr>
      <w:spacing w:before="360" w:after="360" w:line="259" w:lineRule="auto"/>
      <w:ind w:left="864" w:right="864" w:firstLine="0"/>
      <w:jc w:val="center"/>
    </w:pPr>
    <w:rPr>
      <w:i/>
      <w:iCs/>
      <w:color w:val="0F4761" w:themeColor="accent1" w:themeShade="BF"/>
      <w:sz w:val="22"/>
      <w:szCs w:val="22"/>
      <w:lang w:val="en-GB"/>
    </w:rPr>
  </w:style>
  <w:style w:type="character" w:customStyle="1" w:styleId="IntenseQuoteChar">
    <w:name w:val="Intense Quote Char"/>
    <w:basedOn w:val="DefaultParagraphFont"/>
    <w:link w:val="IntenseQuote"/>
    <w:uiPriority w:val="30"/>
    <w:rsid w:val="007E2EDA"/>
    <w:rPr>
      <w:i/>
      <w:iCs/>
      <w:color w:val="0F4761" w:themeColor="accent1" w:themeShade="BF"/>
    </w:rPr>
  </w:style>
  <w:style w:type="character" w:styleId="IntenseReference">
    <w:name w:val="Intense Reference"/>
    <w:basedOn w:val="DefaultParagraphFont"/>
    <w:uiPriority w:val="32"/>
    <w:qFormat/>
    <w:rsid w:val="007E2EDA"/>
    <w:rPr>
      <w:b/>
      <w:bCs/>
      <w:smallCaps/>
      <w:color w:val="0F4761" w:themeColor="accent1" w:themeShade="BF"/>
      <w:spacing w:val="5"/>
    </w:rPr>
  </w:style>
  <w:style w:type="character" w:styleId="Hyperlink">
    <w:name w:val="Hyperlink"/>
    <w:basedOn w:val="DefaultParagraphFont"/>
    <w:uiPriority w:val="99"/>
    <w:unhideWhenUsed/>
    <w:rsid w:val="007E2EDA"/>
    <w:rPr>
      <w:color w:val="467886" w:themeColor="hyperlink"/>
      <w:u w:val="single"/>
    </w:rPr>
  </w:style>
  <w:style w:type="paragraph" w:styleId="Header">
    <w:name w:val="header"/>
    <w:basedOn w:val="Normal"/>
    <w:link w:val="HeaderChar"/>
    <w:uiPriority w:val="99"/>
    <w:unhideWhenUsed/>
    <w:rsid w:val="007E2EDA"/>
    <w:pPr>
      <w:tabs>
        <w:tab w:val="center" w:pos="4680"/>
        <w:tab w:val="right" w:pos="9360"/>
      </w:tabs>
      <w:spacing w:line="240" w:lineRule="auto"/>
    </w:pPr>
  </w:style>
  <w:style w:type="character" w:customStyle="1" w:styleId="HeaderChar">
    <w:name w:val="Header Char"/>
    <w:basedOn w:val="DefaultParagraphFont"/>
    <w:link w:val="Header"/>
    <w:uiPriority w:val="99"/>
    <w:rsid w:val="007E2EDA"/>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ms25126661" TargetMode="External"/><Relationship Id="rId18" Type="http://schemas.openxmlformats.org/officeDocument/2006/relationships/hyperlink" Target="https://doi.org/10.2147/CIA.S606757" TargetMode="External"/><Relationship Id="rId26" Type="http://schemas.openxmlformats.org/officeDocument/2006/relationships/hyperlink" Target="https://doi.org/10.20452/pamw.16522" TargetMode="External"/><Relationship Id="rId21" Type="http://schemas.openxmlformats.org/officeDocument/2006/relationships/hyperlink" Target="https://www.nice.org.uk/guidance/ng106/chapter/recommendations" TargetMode="External"/><Relationship Id="rId34" Type="http://schemas.openxmlformats.org/officeDocument/2006/relationships/hyperlink" Target="https://doi.org/10.3390/jcm13051316" TargetMode="External"/><Relationship Id="rId7" Type="http://schemas.openxmlformats.org/officeDocument/2006/relationships/hyperlink" Target="https://www.bhf.org.uk/for-professionals/healthcare-professionals/innovation-in-care/person-centred-care-and-the-house-of-care" TargetMode="External"/><Relationship Id="rId12" Type="http://schemas.openxmlformats.org/officeDocument/2006/relationships/hyperlink" Target="https://doi.org/10.1186/s12913-024-12058-w" TargetMode="External"/><Relationship Id="rId17" Type="http://schemas.openxmlformats.org/officeDocument/2006/relationships/hyperlink" Target="https://publications.parliament.uk/pa/cm5803/cmselect/cmhealth/587/report.html" TargetMode="External"/><Relationship Id="rId25" Type="http://schemas.openxmlformats.org/officeDocument/2006/relationships/hyperlink" Target="https://www.mdpi.com/2077-0383/12/15/4924" TargetMode="External"/><Relationship Id="rId33" Type="http://schemas.openxmlformats.org/officeDocument/2006/relationships/hyperlink" Target="https://doi.org/10.1186/s12904-024-01559-4" TargetMode="External"/><Relationship Id="rId2" Type="http://schemas.openxmlformats.org/officeDocument/2006/relationships/settings" Target="settings.xml"/><Relationship Id="rId16" Type="http://schemas.openxmlformats.org/officeDocument/2006/relationships/hyperlink" Target="https://www.cpd-launchpad.co.uk/summary/5033" TargetMode="External"/><Relationship Id="rId20" Type="http://schemas.openxmlformats.org/officeDocument/2006/relationships/hyperlink" Target="https://doi.org/10.3390/ijerph19031327" TargetMode="External"/><Relationship Id="rId29" Type="http://schemas.openxmlformats.org/officeDocument/2006/relationships/hyperlink" Target="https://doi.org/10.2174/0115701611334141241217044516" TargetMode="External"/><Relationship Id="rId1" Type="http://schemas.openxmlformats.org/officeDocument/2006/relationships/styles" Target="styles.xml"/><Relationship Id="rId6" Type="http://schemas.openxmlformats.org/officeDocument/2006/relationships/hyperlink" Target="https://www.bhf.org.uk/what-we-do/our-research/heart-conditions-research/heart-failure-research" TargetMode="External"/><Relationship Id="rId11" Type="http://schemas.openxmlformats.org/officeDocument/2006/relationships/hyperlink" Target="https://doi.org/10.3390/jcm13226993" TargetMode="External"/><Relationship Id="rId24" Type="http://schemas.openxmlformats.org/officeDocument/2006/relationships/hyperlink" Target="https://doi.org/10.3390/healthcare11091227" TargetMode="External"/><Relationship Id="rId32" Type="http://schemas.openxmlformats.org/officeDocument/2006/relationships/hyperlink" Target="https://doi.org/10.1002/ehf2.14891" TargetMode="External"/><Relationship Id="rId37" Type="http://schemas.openxmlformats.org/officeDocument/2006/relationships/theme" Target="theme/theme1.xml"/><Relationship Id="rId5" Type="http://schemas.openxmlformats.org/officeDocument/2006/relationships/hyperlink" Target="https://doi.org/10.1038/s41569-023-00941-8" TargetMode="External"/><Relationship Id="rId15" Type="http://schemas.openxmlformats.org/officeDocument/2006/relationships/hyperlink" Target="https://doi.org/10.7759/cureus.92735" TargetMode="External"/><Relationship Id="rId23" Type="http://schemas.openxmlformats.org/officeDocument/2006/relationships/hyperlink" Target="https://doi.org/10.1155/adph/4224560" TargetMode="External"/><Relationship Id="rId28" Type="http://schemas.openxmlformats.org/officeDocument/2006/relationships/hyperlink" Target="https://doi.org/10.1093/cvr/cvac013" TargetMode="External"/><Relationship Id="rId36" Type="http://schemas.openxmlformats.org/officeDocument/2006/relationships/fontTable" Target="fontTable.xml"/><Relationship Id="rId10" Type="http://schemas.openxmlformats.org/officeDocument/2006/relationships/hyperlink" Target="https://doi.org/10.1007/s11739-025-04102-2" TargetMode="External"/><Relationship Id="rId19" Type="http://schemas.openxmlformats.org/officeDocument/2006/relationships/hyperlink" Target="https://doi.org/10.1002/pmrj.13027" TargetMode="External"/><Relationship Id="rId31" Type="http://schemas.openxmlformats.org/officeDocument/2006/relationships/hyperlink" Target="https://thenhsalliance.org/resources/improving-cardiovascular-disease-prevention-across-systems" TargetMode="External"/><Relationship Id="rId4" Type="http://schemas.openxmlformats.org/officeDocument/2006/relationships/hyperlink" Target="https://doi.org/10.1111/hsc.13913" TargetMode="External"/><Relationship Id="rId9" Type="http://schemas.openxmlformats.org/officeDocument/2006/relationships/hyperlink" Target="https://doi.org/10.1097/PSY.0000000000001073" TargetMode="External"/><Relationship Id="rId14" Type="http://schemas.openxmlformats.org/officeDocument/2006/relationships/hyperlink" Target="https://ora.ox.ac.uk/objects/uuid:3211f0db-d390-44a5-9f73-48681d6b06b1" TargetMode="External"/><Relationship Id="rId22" Type="http://schemas.openxmlformats.org/officeDocument/2006/relationships/hyperlink" Target="https://doi.org/10.1002/ehf2.13795" TargetMode="External"/><Relationship Id="rId27" Type="http://schemas.openxmlformats.org/officeDocument/2006/relationships/hyperlink" Target="https://doi.org/10.7759/cureus.46486" TargetMode="External"/><Relationship Id="rId30" Type="http://schemas.openxmlformats.org/officeDocument/2006/relationships/hyperlink" Target="https://doi.org/10.2147/JMDH.S357179" TargetMode="External"/><Relationship Id="rId35" Type="http://schemas.openxmlformats.org/officeDocument/2006/relationships/header" Target="header1.xml"/><Relationship Id="rId8" Type="http://schemas.openxmlformats.org/officeDocument/2006/relationships/hyperlink" Target="https://doi.org/10.1016/j.pec.2026.10964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5028</Words>
  <Characters>28662</Characters>
  <Application>Microsoft Office Word</Application>
  <DocSecurity>0</DocSecurity>
  <Lines>238</Lines>
  <Paragraphs>67</Paragraphs>
  <ScaleCrop>false</ScaleCrop>
  <Company/>
  <LinksUpToDate>false</LinksUpToDate>
  <CharactersWithSpaces>33623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Fadumo Omar</dc:creator>
  <cp:keywords/>
  <dc:description/>
  <cp:lastModifiedBy>Fadumo Omar</cp:lastModifiedBy>
  <cp:revision>1</cp:revision>
  <dcterms:created xsi:type="dcterms:W3CDTF">2026-10-19T15:37:00Z</dcterms:created>
  <dcterms:modified xsi:type="dcterms:W3CDTF">2026-10-19T15:39:00Z</dcterms:modified>
</cp:coreProperties>
</file>