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D7564" w14:textId="0E1AE27D" w:rsidR="00525D77" w:rsidRDefault="00F67878" w:rsidP="0096073A">
      <w:pPr>
        <w:spacing w:line="360" w:lineRule="auto"/>
      </w:pPr>
      <w:r>
        <w:t>HPGR7023</w:t>
      </w:r>
    </w:p>
    <w:p w14:paraId="2C1534DB" w14:textId="6339E472" w:rsidR="00F67878" w:rsidRDefault="00F67878" w:rsidP="0096073A">
      <w:pPr>
        <w:spacing w:line="360" w:lineRule="auto"/>
      </w:pPr>
      <w:r>
        <w:t>Charles-Elizabeth Boyles</w:t>
      </w:r>
    </w:p>
    <w:p w14:paraId="2846C5A4" w14:textId="77777777" w:rsidR="00F67878" w:rsidRDefault="00F67878" w:rsidP="0096073A">
      <w:pPr>
        <w:spacing w:line="360" w:lineRule="auto"/>
      </w:pPr>
    </w:p>
    <w:p w14:paraId="5CBD64E2" w14:textId="1AB2AB21" w:rsidR="00F67878" w:rsidRDefault="00F67878" w:rsidP="0096073A">
      <w:pPr>
        <w:spacing w:line="360" w:lineRule="auto"/>
      </w:pPr>
      <w:r>
        <w:rPr>
          <w:i/>
          <w:iCs/>
          <w:u w:val="single"/>
        </w:rPr>
        <w:t>Argonautica</w:t>
      </w:r>
      <w:r>
        <w:rPr>
          <w:u w:val="single"/>
        </w:rPr>
        <w:t xml:space="preserve"> 4.421-51 Commentary</w:t>
      </w:r>
    </w:p>
    <w:p w14:paraId="031F7450" w14:textId="77777777" w:rsidR="00F67878" w:rsidRDefault="00F67878" w:rsidP="0096073A">
      <w:pPr>
        <w:spacing w:line="360" w:lineRule="auto"/>
      </w:pPr>
    </w:p>
    <w:p w14:paraId="40E55452" w14:textId="7FE67556" w:rsidR="00C5026D" w:rsidRDefault="00C5026D" w:rsidP="0096073A">
      <w:pPr>
        <w:spacing w:line="360" w:lineRule="auto"/>
      </w:pPr>
      <w:r>
        <w:t>421-451 – Jason and Medea conspire to lure</w:t>
      </w:r>
      <w:r w:rsidR="00DD6408">
        <w:t xml:space="preserve"> Medea’s brother,</w:t>
      </w:r>
      <w:r>
        <w:t xml:space="preserve"> </w:t>
      </w:r>
      <w:proofErr w:type="spellStart"/>
      <w:r>
        <w:t>Apsyrtus</w:t>
      </w:r>
      <w:proofErr w:type="spellEnd"/>
      <w:r w:rsidR="00DD6408">
        <w:t>,</w:t>
      </w:r>
      <w:r>
        <w:t xml:space="preserve"> </w:t>
      </w:r>
      <w:r w:rsidR="00DD6408">
        <w:t>away from his men</w:t>
      </w:r>
      <w:r>
        <w:t xml:space="preserve"> to kill him</w:t>
      </w:r>
      <w:r w:rsidR="00DD6408">
        <w:t xml:space="preserve"> in the wake of </w:t>
      </w:r>
      <w:proofErr w:type="spellStart"/>
      <w:r w:rsidR="00DD6408">
        <w:t>Apsyrtus</w:t>
      </w:r>
      <w:proofErr w:type="spellEnd"/>
      <w:r w:rsidR="00DD6408">
        <w:t>’ being dispatched to retrieve Medea and the fleece</w:t>
      </w:r>
      <w:r>
        <w:t xml:space="preserve">. Jason will give him </w:t>
      </w:r>
      <w:proofErr w:type="spellStart"/>
      <w:r>
        <w:t>Hypsipyle’s</w:t>
      </w:r>
      <w:proofErr w:type="spellEnd"/>
      <w:r>
        <w:t xml:space="preserve"> cloak, among other things, while Medea plans to lie to the heralds and claim that Argus</w:t>
      </w:r>
      <w:r w:rsidR="00801188">
        <w:t xml:space="preserve">, son of Phrixus, and his brothers </w:t>
      </w:r>
      <w:r>
        <w:t>made off with her</w:t>
      </w:r>
      <w:r w:rsidR="00801188">
        <w:t>,</w:t>
      </w:r>
      <w:r w:rsidR="006149D8">
        <w:t xml:space="preserve"> and then to</w:t>
      </w:r>
      <w:r>
        <w:t xml:space="preserve"> scatter drugs on the wind to </w:t>
      </w:r>
      <w:r w:rsidR="00801188">
        <w:t xml:space="preserve">encourage the Colchians to </w:t>
      </w:r>
      <w:r w:rsidR="006149D8">
        <w:t>do as she wants them to do</w:t>
      </w:r>
      <w:r w:rsidR="00801188">
        <w:t>.</w:t>
      </w:r>
      <w:r>
        <w:t xml:space="preserve"> The passage ends with an apostrophe to Eros</w:t>
      </w:r>
      <w:r w:rsidR="00296626">
        <w:t xml:space="preserve"> before </w:t>
      </w:r>
      <w:r w:rsidR="00DD6408">
        <w:t xml:space="preserve">Apollonius (referred to hereafter as </w:t>
      </w:r>
      <w:proofErr w:type="spellStart"/>
      <w:r w:rsidR="00405A92">
        <w:t>Apoll</w:t>
      </w:r>
      <w:proofErr w:type="spellEnd"/>
      <w:r w:rsidR="00405A92">
        <w:t>. Rhod.</w:t>
      </w:r>
      <w:r w:rsidR="00DD6408">
        <w:t>)</w:t>
      </w:r>
      <w:r w:rsidR="00296626">
        <w:t xml:space="preserve"> indicates that </w:t>
      </w:r>
      <w:proofErr w:type="spellStart"/>
      <w:r w:rsidR="00296626">
        <w:t>Apsyrtus</w:t>
      </w:r>
      <w:proofErr w:type="spellEnd"/>
      <w:r w:rsidR="00296626">
        <w:t>’ death will follow immediately</w:t>
      </w:r>
      <w:r w:rsidR="00DD6408">
        <w:t xml:space="preserve"> – which it does, in </w:t>
      </w:r>
      <w:r w:rsidR="00235CA8">
        <w:t>memorable</w:t>
      </w:r>
      <w:r w:rsidR="00DD6408">
        <w:t xml:space="preserve"> fashion, before Medea flees with the Argonauts back to Greece.</w:t>
      </w:r>
    </w:p>
    <w:p w14:paraId="52BE0444" w14:textId="3EE1DDAA" w:rsidR="00F67878" w:rsidRDefault="00F67878" w:rsidP="0096073A">
      <w:pPr>
        <w:spacing w:line="360" w:lineRule="auto"/>
      </w:pPr>
      <w:r>
        <w:t xml:space="preserve">423-4 – </w:t>
      </w:r>
      <w:r w:rsidR="00801188">
        <w:t>The enveloping quality and luxurious nature of the red-purple cloak</w:t>
      </w:r>
      <w:r>
        <w:t xml:space="preserve"> (</w:t>
      </w:r>
      <w:r w:rsidRPr="00F67878">
        <w:t>πέπ</w:t>
      </w:r>
      <w:proofErr w:type="spellStart"/>
      <w:r w:rsidRPr="00F67878">
        <w:t>λον</w:t>
      </w:r>
      <w:proofErr w:type="spellEnd"/>
      <w:r>
        <w:t xml:space="preserve">… </w:t>
      </w:r>
      <w:r w:rsidRPr="00F67878">
        <w:t>π</w:t>
      </w:r>
      <w:proofErr w:type="spellStart"/>
      <w:r w:rsidRPr="00F67878">
        <w:t>ορφύρεον</w:t>
      </w:r>
      <w:proofErr w:type="spellEnd"/>
      <w:r>
        <w:t xml:space="preserve">) </w:t>
      </w:r>
      <w:r w:rsidR="00801188">
        <w:t xml:space="preserve">is emphasized </w:t>
      </w:r>
      <w:r>
        <w:t>by means of enjambment</w:t>
      </w:r>
      <w:r w:rsidR="00C5026D">
        <w:t xml:space="preserve">; that </w:t>
      </w:r>
      <w:proofErr w:type="spellStart"/>
      <w:r w:rsidR="00405A92">
        <w:t>Apoll</w:t>
      </w:r>
      <w:proofErr w:type="spellEnd"/>
      <w:r w:rsidR="00405A92">
        <w:t xml:space="preserve">. Rhod. </w:t>
      </w:r>
      <w:r w:rsidR="00C5026D">
        <w:t xml:space="preserve">devotes a full line’s worth of words to the cloak </w:t>
      </w:r>
      <w:r w:rsidR="00801188">
        <w:t>underscores</w:t>
      </w:r>
      <w:r w:rsidR="00C5026D">
        <w:t xml:space="preserve"> its importance and the pedigree </w:t>
      </w:r>
      <w:proofErr w:type="spellStart"/>
      <w:r w:rsidR="00405A92">
        <w:t>Apoll</w:t>
      </w:r>
      <w:proofErr w:type="spellEnd"/>
      <w:r w:rsidR="00405A92">
        <w:t xml:space="preserve">. Rhod. </w:t>
      </w:r>
      <w:r w:rsidR="00C5026D">
        <w:t>is about to give us for it.</w:t>
      </w:r>
      <w:r w:rsidR="009A39E3">
        <w:t xml:space="preserve"> </w:t>
      </w:r>
      <w:r w:rsidR="00042F2A">
        <w:t xml:space="preserve">Jason, as a hero, is as linked to robes as Achilles is to </w:t>
      </w:r>
      <w:r w:rsidR="00235CA8">
        <w:t>his shield</w:t>
      </w:r>
      <w:r w:rsidR="00042F2A">
        <w:t xml:space="preserve">: not only is he given a magnificent robe at the very outset of the story (1.721-67), but as </w:t>
      </w:r>
      <w:r w:rsidR="009A39E3">
        <w:t xml:space="preserve">Mooney </w:t>
      </w:r>
      <w:r w:rsidR="004862F9">
        <w:t>reminds us</w:t>
      </w:r>
      <w:r w:rsidR="009A39E3">
        <w:rPr>
          <w:rStyle w:val="FootnoteReference"/>
        </w:rPr>
        <w:footnoteReference w:id="1"/>
      </w:r>
      <w:r w:rsidR="009A39E3">
        <w:t xml:space="preserve"> this is the same garment Jason donned before his offerings to Hecate at 3.</w:t>
      </w:r>
      <w:r w:rsidR="00BC029F">
        <w:t xml:space="preserve">1191-1224, with the cloak itself mentioned specifically at 3.1204-6, </w:t>
      </w:r>
      <w:r w:rsidR="003D7470">
        <w:t xml:space="preserve">which </w:t>
      </w:r>
      <w:r w:rsidR="004862F9">
        <w:t xml:space="preserve">implicates it in the ongoing </w:t>
      </w:r>
      <w:r w:rsidR="00BC029F">
        <w:t>emphasis</w:t>
      </w:r>
      <w:r w:rsidR="004862F9">
        <w:t xml:space="preserve"> o</w:t>
      </w:r>
      <w:r w:rsidR="00BC029F">
        <w:t>n</w:t>
      </w:r>
      <w:r w:rsidR="004862F9">
        <w:t xml:space="preserve"> Medea’s abilities as directly linked to Hecate.</w:t>
      </w:r>
      <w:r w:rsidR="00DE225E">
        <w:t xml:space="preserve"> Dyck </w:t>
      </w:r>
      <w:r w:rsidR="00042F2A">
        <w:t>notes</w:t>
      </w:r>
      <w:r w:rsidR="00DE225E">
        <w:t xml:space="preserve"> the transformation of the cloak from a love-gift to Jason into a tool of treachery</w:t>
      </w:r>
      <w:r w:rsidR="00042F2A">
        <w:t>: given to him by a romantic conquest as a memento of their relationship, the robe will now be used in much the same way as the robe Euripides’ Medea uses to kill Jason’s new love.</w:t>
      </w:r>
      <w:r w:rsidR="00042F2A">
        <w:rPr>
          <w:rStyle w:val="FootnoteReference"/>
        </w:rPr>
        <w:footnoteReference w:id="2"/>
      </w:r>
      <w:r w:rsidR="00042F2A">
        <w:t xml:space="preserve"> The divine pedigree of the </w:t>
      </w:r>
      <w:r w:rsidR="00042F2A" w:rsidRPr="00F67878">
        <w:t>πέπ</w:t>
      </w:r>
      <w:proofErr w:type="spellStart"/>
      <w:r w:rsidR="00042F2A" w:rsidRPr="00F67878">
        <w:t>λος</w:t>
      </w:r>
      <w:proofErr w:type="spellEnd"/>
      <w:r w:rsidR="00042F2A">
        <w:t>, of which we are informed in the lines immediately following, reinforce</w:t>
      </w:r>
      <w:r w:rsidR="00235CA8">
        <w:t>s</w:t>
      </w:r>
      <w:r w:rsidR="00042F2A">
        <w:t xml:space="preserve"> the parallel to Medea’s gift to Creon’s daughter in the Euripides play, where she maintains that the </w:t>
      </w:r>
      <w:r w:rsidR="00042F2A" w:rsidRPr="00F67878">
        <w:t>πέπ</w:t>
      </w:r>
      <w:proofErr w:type="spellStart"/>
      <w:r w:rsidR="00042F2A" w:rsidRPr="00F67878">
        <w:t>λος</w:t>
      </w:r>
      <w:proofErr w:type="spellEnd"/>
      <w:r w:rsidR="00042F2A">
        <w:t xml:space="preserve"> she gives to Jason’s new wife came down to her from her grandfather, Helios himself (Eur. M</w:t>
      </w:r>
      <w:r w:rsidR="00235CA8">
        <w:t>ed</w:t>
      </w:r>
      <w:r w:rsidR="00042F2A">
        <w:t xml:space="preserve">. 956), but by separating the use of poisons from the robe, as well as by invoking a chthonic deity in place of a sidereal one, </w:t>
      </w:r>
      <w:proofErr w:type="spellStart"/>
      <w:r w:rsidR="00405A92">
        <w:t>Apoll</w:t>
      </w:r>
      <w:proofErr w:type="spellEnd"/>
      <w:r w:rsidR="00405A92">
        <w:t xml:space="preserve">. Rhod. </w:t>
      </w:r>
      <w:r w:rsidR="00042F2A">
        <w:lastRenderedPageBreak/>
        <w:t xml:space="preserve">both complicates and plants the seeds of the revenge Medea will ultimately take in the earlier, but by </w:t>
      </w:r>
      <w:proofErr w:type="spellStart"/>
      <w:r w:rsidR="00405A92">
        <w:t>Apoll</w:t>
      </w:r>
      <w:proofErr w:type="spellEnd"/>
      <w:r w:rsidR="00405A92">
        <w:t xml:space="preserve">. </w:t>
      </w:r>
      <w:proofErr w:type="spellStart"/>
      <w:r w:rsidR="00405A92">
        <w:t>Rhod.</w:t>
      </w:r>
      <w:r w:rsidR="00042F2A">
        <w:t>’s</w:t>
      </w:r>
      <w:proofErr w:type="spellEnd"/>
      <w:r w:rsidR="00042F2A">
        <w:t xml:space="preserve"> day still widespread, version.</w:t>
      </w:r>
    </w:p>
    <w:p w14:paraId="462F1E6E" w14:textId="14F6BF06" w:rsidR="00F67878" w:rsidRDefault="00F67878" w:rsidP="0096073A">
      <w:pPr>
        <w:spacing w:line="360" w:lineRule="auto"/>
      </w:pPr>
      <w:r>
        <w:t xml:space="preserve">426 – </w:t>
      </w:r>
      <w:proofErr w:type="spellStart"/>
      <w:r>
        <w:t>Thoas</w:t>
      </w:r>
      <w:proofErr w:type="spellEnd"/>
      <w:r>
        <w:t xml:space="preserve"> is </w:t>
      </w:r>
      <w:r w:rsidR="00C5026D">
        <w:t>Dionysus’ son</w:t>
      </w:r>
      <w:r w:rsidR="00DD6408">
        <w:t xml:space="preserve"> and </w:t>
      </w:r>
      <w:proofErr w:type="spellStart"/>
      <w:r w:rsidR="00DD6408">
        <w:t>Hypsipyle’s</w:t>
      </w:r>
      <w:proofErr w:type="spellEnd"/>
      <w:r w:rsidR="00DD6408">
        <w:t xml:space="preserve"> father</w:t>
      </w:r>
      <w:r w:rsidR="00C5026D">
        <w:t xml:space="preserve">; the reader </w:t>
      </w:r>
      <w:r w:rsidR="004862F9">
        <w:t>learned of</w:t>
      </w:r>
      <w:r w:rsidR="00C5026D">
        <w:t xml:space="preserve"> him in </w:t>
      </w:r>
      <w:r w:rsidR="00F901E2">
        <w:rPr>
          <w:i/>
          <w:iCs/>
        </w:rPr>
        <w:t>Arg</w:t>
      </w:r>
      <w:r w:rsidR="00F901E2">
        <w:t>. 1</w:t>
      </w:r>
      <w:r w:rsidR="004862F9">
        <w:t>.</w:t>
      </w:r>
      <w:r w:rsidR="00801188">
        <w:t>6</w:t>
      </w:r>
      <w:r w:rsidR="00BC029F">
        <w:t xml:space="preserve">20-6 </w:t>
      </w:r>
      <w:r w:rsidR="00801188">
        <w:t xml:space="preserve">as the deposed and exiled king of the </w:t>
      </w:r>
      <w:proofErr w:type="spellStart"/>
      <w:r w:rsidR="00801188">
        <w:t>Lemnians</w:t>
      </w:r>
      <w:proofErr w:type="spellEnd"/>
      <w:r w:rsidR="00801188">
        <w:t xml:space="preserve">, expelled by </w:t>
      </w:r>
      <w:proofErr w:type="spellStart"/>
      <w:r w:rsidR="00801188">
        <w:t>Hysipyle</w:t>
      </w:r>
      <w:proofErr w:type="spellEnd"/>
      <w:r w:rsidR="00801188">
        <w:t xml:space="preserve"> when the </w:t>
      </w:r>
      <w:proofErr w:type="spellStart"/>
      <w:r w:rsidR="00801188">
        <w:t>Lemnian</w:t>
      </w:r>
      <w:proofErr w:type="spellEnd"/>
      <w:r w:rsidR="00801188">
        <w:t xml:space="preserve"> women rose up and killed their men. </w:t>
      </w:r>
      <w:proofErr w:type="spellStart"/>
      <w:r w:rsidR="00801188">
        <w:t>Thoas</w:t>
      </w:r>
      <w:proofErr w:type="spellEnd"/>
      <w:r w:rsidR="00801188">
        <w:t>’ own exile</w:t>
      </w:r>
      <w:r w:rsidR="00715402">
        <w:t xml:space="preserve">, however, was an act of pious mercy, offering an inverted reflection of the flight Medea is about to undertake after the decidedly impious act of fratricide. </w:t>
      </w:r>
    </w:p>
    <w:p w14:paraId="60FEE313" w14:textId="1547FE40" w:rsidR="00F67878" w:rsidRDefault="00F67878" w:rsidP="0096073A">
      <w:pPr>
        <w:spacing w:line="360" w:lineRule="auto"/>
      </w:pPr>
      <w:r>
        <w:t>429 –</w:t>
      </w:r>
      <w:r w:rsidRPr="00F67878">
        <w:t xml:space="preserve"> </w:t>
      </w:r>
      <w:proofErr w:type="spellStart"/>
      <w:r w:rsidRPr="00F67878">
        <w:t>ἐμ</w:t>
      </w:r>
      <w:proofErr w:type="spellEnd"/>
      <w:r w:rsidRPr="00F67878">
        <w:t>πλήσειας</w:t>
      </w:r>
      <w:r>
        <w:t xml:space="preserve">, in the second person, </w:t>
      </w:r>
      <w:r w:rsidR="00401B60">
        <w:t xml:space="preserve">look out at the reader, pointing ahead to </w:t>
      </w:r>
      <w:proofErr w:type="spellStart"/>
      <w:r w:rsidR="00405A92">
        <w:t>Apoll</w:t>
      </w:r>
      <w:proofErr w:type="spellEnd"/>
      <w:r w:rsidR="00405A92">
        <w:t xml:space="preserve">. </w:t>
      </w:r>
      <w:proofErr w:type="spellStart"/>
      <w:r w:rsidR="00405A92">
        <w:t>Rhod.</w:t>
      </w:r>
      <w:r w:rsidR="00401B60">
        <w:t>’s</w:t>
      </w:r>
      <w:proofErr w:type="spellEnd"/>
      <w:r w:rsidR="00401B60">
        <w:t xml:space="preserve"> deliberative question and remark on what will follow in the story at 4.450-1, but the use of the second person in a generalizing way feels fresh, in keeping with </w:t>
      </w:r>
      <w:proofErr w:type="spellStart"/>
      <w:r w:rsidR="00405A92">
        <w:t>Apoll</w:t>
      </w:r>
      <w:proofErr w:type="spellEnd"/>
      <w:r w:rsidR="00405A92">
        <w:t xml:space="preserve">. </w:t>
      </w:r>
      <w:proofErr w:type="spellStart"/>
      <w:r w:rsidR="00405A92">
        <w:t>Rhod.</w:t>
      </w:r>
      <w:r w:rsidR="00401B60">
        <w:t>’s</w:t>
      </w:r>
      <w:proofErr w:type="spellEnd"/>
      <w:r w:rsidR="00401B60">
        <w:t xml:space="preserve"> propensity to keep the reader close to the action of telling the story, turning away from the action to reflect on the story as it’s being told. </w:t>
      </w:r>
      <w:r w:rsidR="00B04D58">
        <w:t xml:space="preserve">The use of the potential optative in the aorist further serves the point: not even the elite readership </w:t>
      </w:r>
      <w:proofErr w:type="spellStart"/>
      <w:r w:rsidR="00405A92">
        <w:t>Apoll</w:t>
      </w:r>
      <w:proofErr w:type="spellEnd"/>
      <w:r w:rsidR="00405A92">
        <w:t xml:space="preserve">. Rhod. </w:t>
      </w:r>
      <w:r w:rsidR="00B04D58">
        <w:t>might expect would be able to resist the smell and the feeling of the cloak</w:t>
      </w:r>
      <w:r w:rsidR="0088284E">
        <w:t xml:space="preserve">. Hunter notes </w:t>
      </w:r>
      <w:proofErr w:type="gramStart"/>
      <w:r w:rsidR="0088284E">
        <w:t>this, and</w:t>
      </w:r>
      <w:proofErr w:type="gramEnd"/>
      <w:r w:rsidR="0088284E">
        <w:t xml:space="preserve"> draws attention to parallels with Jason’s cloak in 1.725-6 and 1.765-7.</w:t>
      </w:r>
      <w:r w:rsidR="0088284E">
        <w:rPr>
          <w:rStyle w:val="FootnoteReference"/>
        </w:rPr>
        <w:footnoteReference w:id="3"/>
      </w:r>
      <w:r w:rsidR="0088284E">
        <w:t xml:space="preserve"> These passages, too, feature second-person aorist </w:t>
      </w:r>
      <w:proofErr w:type="spellStart"/>
      <w:r w:rsidR="0088284E">
        <w:t>optatives</w:t>
      </w:r>
      <w:proofErr w:type="spellEnd"/>
      <w:r w:rsidR="0088284E">
        <w:t xml:space="preserve"> – </w:t>
      </w:r>
      <w:proofErr w:type="spellStart"/>
      <w:r w:rsidR="0088284E" w:rsidRPr="0088284E">
        <w:t>μετ</w:t>
      </w:r>
      <w:proofErr w:type="spellEnd"/>
      <w:r w:rsidR="0088284E" w:rsidRPr="0088284E">
        <w:t>αβλέψειας</w:t>
      </w:r>
      <w:r w:rsidR="0088284E">
        <w:t xml:space="preserve"> and </w:t>
      </w:r>
      <w:proofErr w:type="spellStart"/>
      <w:r w:rsidR="0088284E" w:rsidRPr="0088284E">
        <w:t>θηήσ</w:t>
      </w:r>
      <w:proofErr w:type="spellEnd"/>
      <w:r w:rsidR="0088284E" w:rsidRPr="0088284E">
        <w:t>αιο</w:t>
      </w:r>
      <w:r w:rsidR="0088284E">
        <w:t>, respectively – explicitly telling the reader how they would respond on perceiving, in one way or another, the qualities of Jason’s cloak.</w:t>
      </w:r>
      <w:r w:rsidR="00497723">
        <w:t xml:space="preserve"> In this way, </w:t>
      </w:r>
      <w:proofErr w:type="spellStart"/>
      <w:r w:rsidR="00235CA8">
        <w:t>Apoll</w:t>
      </w:r>
      <w:proofErr w:type="spellEnd"/>
      <w:r w:rsidR="00235CA8">
        <w:t xml:space="preserve">. Rhod. </w:t>
      </w:r>
      <w:proofErr w:type="gramStart"/>
      <w:r w:rsidR="00497723">
        <w:t>is able to</w:t>
      </w:r>
      <w:proofErr w:type="gramEnd"/>
      <w:r w:rsidR="00497723">
        <w:t xml:space="preserve"> lean on the experience of his readership, encouraging them to consider real luxuries they may have encountered and apply that experience to his description. In the passage under current consideration, it is worth bearing in mind that, when the time does come to kill </w:t>
      </w:r>
      <w:proofErr w:type="spellStart"/>
      <w:r w:rsidR="00497723">
        <w:t>Apsyrtus</w:t>
      </w:r>
      <w:proofErr w:type="spellEnd"/>
      <w:r w:rsidR="00497723">
        <w:t>, Medea cannot bring herself to look upon the action, and draws her veil against it (4.465-7) – the reader might perceive these luxurious items, but they are tools to an evil Medea herself can neither look on or speak of (as mentioned at 4.736-7).</w:t>
      </w:r>
    </w:p>
    <w:p w14:paraId="2570F566" w14:textId="28E324A8" w:rsidR="002E4BD8" w:rsidRDefault="002E4BD8" w:rsidP="0096073A">
      <w:pPr>
        <w:spacing w:line="360" w:lineRule="auto"/>
      </w:pPr>
      <w:r>
        <w:t xml:space="preserve">430-4 – </w:t>
      </w:r>
      <w:proofErr w:type="spellStart"/>
      <w:r w:rsidR="00405A92">
        <w:t>Apoll</w:t>
      </w:r>
      <w:proofErr w:type="spellEnd"/>
      <w:r w:rsidR="00405A92">
        <w:t xml:space="preserve">. Rhod. </w:t>
      </w:r>
      <w:r>
        <w:t xml:space="preserve">offers a portrait of Dionysus, doubly intoxicated by wine and ambrosia, fondling Ariadne’s breasts after her deposit on Dia by Theseus. </w:t>
      </w:r>
      <w:r w:rsidR="00A47E23">
        <w:t xml:space="preserve">Although </w:t>
      </w:r>
      <w:r w:rsidR="00235CA8">
        <w:t xml:space="preserve">it comes at </w:t>
      </w:r>
      <w:r w:rsidR="00A47E23">
        <w:t>divine</w:t>
      </w:r>
      <w:r w:rsidR="00235CA8">
        <w:t xml:space="preserve"> hands</w:t>
      </w:r>
      <w:r w:rsidR="00A47E23">
        <w:t xml:space="preserve">, </w:t>
      </w:r>
      <w:proofErr w:type="spellStart"/>
      <w:r w:rsidR="00405A92">
        <w:t>Apoll</w:t>
      </w:r>
      <w:proofErr w:type="spellEnd"/>
      <w:r w:rsidR="00405A92">
        <w:t xml:space="preserve">. Rhod. </w:t>
      </w:r>
      <w:r w:rsidR="00A47E23">
        <w:t xml:space="preserve">nonetheless paints a picture of relative humiliation and abandonment of Ariadne, so linked by now with Medea (as discussed below), but the sequence allows him to invert and remake Medea’s eventual fate: while Ariadne has little agency in this vignette, </w:t>
      </w:r>
      <w:r w:rsidR="00A47E23">
        <w:lastRenderedPageBreak/>
        <w:t>relegated as she is to the genitive, she too has been abandoned by her lover to the mercy of some god. Medea</w:t>
      </w:r>
      <w:r w:rsidR="006149D8">
        <w:t xml:space="preserve"> </w:t>
      </w:r>
      <w:r w:rsidR="00A47E23">
        <w:t>will</w:t>
      </w:r>
      <w:r w:rsidR="006149D8">
        <w:t xml:space="preserve"> in her turn</w:t>
      </w:r>
      <w:r w:rsidR="00A47E23">
        <w:t xml:space="preserve"> cast herself on divine mercy at the climax of Euripides’ play. </w:t>
      </w:r>
    </w:p>
    <w:p w14:paraId="112B953A" w14:textId="2730CD23" w:rsidR="00F67878" w:rsidRDefault="00F67878" w:rsidP="0096073A">
      <w:pPr>
        <w:spacing w:line="360" w:lineRule="auto"/>
      </w:pPr>
      <w:r>
        <w:t xml:space="preserve">431 – </w:t>
      </w:r>
      <w:proofErr w:type="spellStart"/>
      <w:r w:rsidRPr="00F67878">
        <w:t>Νυσήιος</w:t>
      </w:r>
      <w:proofErr w:type="spellEnd"/>
      <w:r w:rsidR="005D2B3D">
        <w:t xml:space="preserve">, the island of Nysa, is </w:t>
      </w:r>
      <w:r w:rsidR="002E4BD8">
        <w:t>intimately linked with Dionysus, though</w:t>
      </w:r>
      <w:r w:rsidR="005D2B3D">
        <w:t xml:space="preserve"> Hunter notes that its specific location is unclear</w:t>
      </w:r>
      <w:r w:rsidR="00660574">
        <w:t>.</w:t>
      </w:r>
      <w:r w:rsidR="00660574">
        <w:rPr>
          <w:rStyle w:val="FootnoteReference"/>
        </w:rPr>
        <w:footnoteReference w:id="4"/>
      </w:r>
      <w:r w:rsidR="002E4BD8">
        <w:t xml:space="preserve"> Hulse expands on this lack of clarity, noting that many </w:t>
      </w:r>
      <w:proofErr w:type="spellStart"/>
      <w:r w:rsidR="002E4BD8">
        <w:t>Nysas</w:t>
      </w:r>
      <w:proofErr w:type="spellEnd"/>
      <w:r w:rsidR="002E4BD8">
        <w:t xml:space="preserve"> were identified and, further, that </w:t>
      </w:r>
      <w:proofErr w:type="spellStart"/>
      <w:r w:rsidR="002E4BD8">
        <w:t>Nysan</w:t>
      </w:r>
      <w:proofErr w:type="spellEnd"/>
      <w:r w:rsidR="002E4BD8">
        <w:t xml:space="preserve"> Dionysus was identified with Osiris as part of “the Alexandrian poetic strategy of relocating mythological locations and events from Mainland Greece to the Southern Mediterranean and the north-eastern coast of Africa.”</w:t>
      </w:r>
      <w:r w:rsidR="002E4BD8">
        <w:rPr>
          <w:rStyle w:val="FootnoteReference"/>
        </w:rPr>
        <w:footnoteReference w:id="5"/>
      </w:r>
    </w:p>
    <w:p w14:paraId="141ADAAB" w14:textId="39F4EF47" w:rsidR="005E6231" w:rsidRPr="00C16825" w:rsidRDefault="005E6231" w:rsidP="0096073A">
      <w:pPr>
        <w:spacing w:line="360" w:lineRule="auto"/>
      </w:pPr>
      <w:r>
        <w:t>432 – Hulse points out</w:t>
      </w:r>
      <w:r>
        <w:rPr>
          <w:rStyle w:val="FootnoteReference"/>
        </w:rPr>
        <w:footnoteReference w:id="6"/>
      </w:r>
      <w:r>
        <w:t xml:space="preserve"> the rarity of </w:t>
      </w:r>
      <w:proofErr w:type="spellStart"/>
      <w:r w:rsidRPr="005E6231">
        <w:t>ἀκροχάλιξ</w:t>
      </w:r>
      <w:proofErr w:type="spellEnd"/>
      <w:r w:rsidRPr="005E6231">
        <w:t xml:space="preserve"> </w:t>
      </w:r>
      <w:proofErr w:type="spellStart"/>
      <w:r w:rsidRPr="005E6231">
        <w:t>οἴνῳ</w:t>
      </w:r>
      <w:proofErr w:type="spellEnd"/>
      <w:r>
        <w:t xml:space="preserve">, appearing only one other time in the corpus, suggesting that we can safely read </w:t>
      </w:r>
      <w:proofErr w:type="spellStart"/>
      <w:r w:rsidRPr="005E6231">
        <w:t>ἀκροχάλιξ</w:t>
      </w:r>
      <w:proofErr w:type="spellEnd"/>
      <w:r>
        <w:t xml:space="preserve"> to mean something along the lines of “very drunk,” an assertion with which Hunter seems to agree.</w:t>
      </w:r>
      <w:r>
        <w:rPr>
          <w:rStyle w:val="FootnoteReference"/>
        </w:rPr>
        <w:footnoteReference w:id="7"/>
      </w:r>
      <w:r w:rsidR="00C16825">
        <w:t xml:space="preserve"> The scene of indolent, drunken behavior makes a stark contrast to the tension of the scene it interrupts, and additionally contrasts Medea’s incredible agency with Ariadne’s relative lack of it. </w:t>
      </w:r>
    </w:p>
    <w:p w14:paraId="62D85D0A" w14:textId="17DFBC5E" w:rsidR="00F67878" w:rsidRPr="001467B2" w:rsidRDefault="00F67878" w:rsidP="0096073A">
      <w:pPr>
        <w:spacing w:line="360" w:lineRule="auto"/>
      </w:pPr>
      <w:r>
        <w:t xml:space="preserve">433 – </w:t>
      </w:r>
      <w:r w:rsidRPr="00F67878">
        <w:t>πα</w:t>
      </w:r>
      <w:proofErr w:type="spellStart"/>
      <w:r w:rsidRPr="00F67878">
        <w:t>ρθενικῆς</w:t>
      </w:r>
      <w:proofErr w:type="spellEnd"/>
      <w:r w:rsidRPr="00F67878">
        <w:t xml:space="preserve"> </w:t>
      </w:r>
      <w:proofErr w:type="spellStart"/>
      <w:r w:rsidRPr="00F67878">
        <w:t>Μινωίδος</w:t>
      </w:r>
      <w:proofErr w:type="spellEnd"/>
      <w:r>
        <w:t xml:space="preserve"> is Ariadne, the daughter of King Minos, and half-sister of the Minotaur.</w:t>
      </w:r>
      <w:r w:rsidR="00660574">
        <w:t xml:space="preserve"> This is one of several parallels </w:t>
      </w:r>
      <w:proofErr w:type="spellStart"/>
      <w:r w:rsidR="00405A92">
        <w:t>Apoll</w:t>
      </w:r>
      <w:proofErr w:type="spellEnd"/>
      <w:r w:rsidR="00405A92">
        <w:t xml:space="preserve">. Rhod. </w:t>
      </w:r>
      <w:r w:rsidR="00660574">
        <w:t>draws between Medea and Ariadne</w:t>
      </w:r>
      <w:r w:rsidR="002A225B">
        <w:t>; an instance is noted</w:t>
      </w:r>
      <w:r w:rsidR="00660574">
        <w:t xml:space="preserve"> below, at 435 and 445, as well as, in </w:t>
      </w:r>
      <w:r w:rsidR="00660574">
        <w:rPr>
          <w:i/>
          <w:iCs/>
        </w:rPr>
        <w:t>Arg</w:t>
      </w:r>
      <w:r w:rsidR="00660574">
        <w:t>.</w:t>
      </w:r>
      <w:r w:rsidR="002A225B">
        <w:t xml:space="preserve"> 3.</w:t>
      </w:r>
      <w:r w:rsidR="006C7E41">
        <w:t>997</w:t>
      </w:r>
      <w:r w:rsidR="002A225B">
        <w:t>-</w:t>
      </w:r>
      <w:r w:rsidR="006C7E41">
        <w:t>1004</w:t>
      </w:r>
      <w:r w:rsidR="006149D8">
        <w:t xml:space="preserve"> and</w:t>
      </w:r>
      <w:r w:rsidR="002A225B">
        <w:t xml:space="preserve"> 3.1</w:t>
      </w:r>
      <w:r w:rsidR="006C7E41">
        <w:t xml:space="preserve">096-1101, </w:t>
      </w:r>
      <w:r w:rsidR="002A225B">
        <w:t>when Jason seeks to persuade Medea to his cause.</w:t>
      </w:r>
      <w:r w:rsidR="0051195D">
        <w:t xml:space="preserve"> </w:t>
      </w:r>
      <w:r w:rsidR="00042F2A">
        <w:t xml:space="preserve">Dyck points out that, in Jason’s earlier reference to Ariadne, he </w:t>
      </w:r>
      <w:r w:rsidR="001467B2">
        <w:t>specifically did not include the coda to Ariadne’s entanglement with Theseus, even when Medea pressed him for it</w:t>
      </w:r>
      <w:r w:rsidR="00235CA8">
        <w:t>;</w:t>
      </w:r>
      <w:r w:rsidR="001467B2">
        <w:rPr>
          <w:rStyle w:val="FootnoteReference"/>
        </w:rPr>
        <w:footnoteReference w:id="8"/>
      </w:r>
      <w:r w:rsidR="001467B2">
        <w:t xml:space="preserve"> </w:t>
      </w:r>
      <w:proofErr w:type="spellStart"/>
      <w:r w:rsidR="00405A92">
        <w:t>Apoll</w:t>
      </w:r>
      <w:proofErr w:type="spellEnd"/>
      <w:r w:rsidR="00405A92">
        <w:t xml:space="preserve">. Rhod. </w:t>
      </w:r>
      <w:r w:rsidR="001467B2">
        <w:t>now portrays the consequences of that relationship. Hunter</w:t>
      </w:r>
      <w:r w:rsidR="00235CA8">
        <w:t xml:space="preserve"> </w:t>
      </w:r>
      <w:r w:rsidR="00235CA8">
        <w:t>notes</w:t>
      </w:r>
      <w:r w:rsidR="001467B2">
        <w:rPr>
          <w:rStyle w:val="FootnoteReference"/>
        </w:rPr>
        <w:footnoteReference w:id="9"/>
      </w:r>
      <w:r w:rsidR="001467B2">
        <w:t xml:space="preserve"> that this line is very much in reference to </w:t>
      </w:r>
      <w:r w:rsidR="001467B2">
        <w:rPr>
          <w:i/>
          <w:iCs/>
        </w:rPr>
        <w:t>Od</w:t>
      </w:r>
      <w:r w:rsidR="001467B2">
        <w:t xml:space="preserve">. 11.321-5, which appears as part of Odysseus’ narration of his look into the land of the dead, where there is no </w:t>
      </w:r>
      <w:proofErr w:type="gramStart"/>
      <w:r w:rsidR="001467B2">
        <w:t>particular implication</w:t>
      </w:r>
      <w:proofErr w:type="gramEnd"/>
      <w:r w:rsidR="001467B2">
        <w:t xml:space="preserve"> of duplicity on Theseus’ part.</w:t>
      </w:r>
      <w:r w:rsidR="00F262BA">
        <w:t xml:space="preserve"> Hulse points out the Homeric reference, and </w:t>
      </w:r>
      <w:r w:rsidR="00235CA8">
        <w:t>further</w:t>
      </w:r>
      <w:r w:rsidR="00F262BA">
        <w:t xml:space="preserve"> says that this version of events seems to be </w:t>
      </w:r>
      <w:r w:rsidR="00235CA8">
        <w:t xml:space="preserve">at odds </w:t>
      </w:r>
      <w:r w:rsidR="00F262BA">
        <w:t xml:space="preserve">with the sequence of events detailed in Callimachus’ fragmentary </w:t>
      </w:r>
      <w:proofErr w:type="spellStart"/>
      <w:r w:rsidR="00F262BA">
        <w:rPr>
          <w:i/>
          <w:iCs/>
        </w:rPr>
        <w:t>Hecale</w:t>
      </w:r>
      <w:proofErr w:type="spellEnd"/>
      <w:r w:rsidR="00F262BA">
        <w:t>, in which Medea and Jason returned to Greece before Theseus’ adventures.</w:t>
      </w:r>
      <w:r w:rsidR="00F262BA">
        <w:rPr>
          <w:rStyle w:val="FootnoteReference"/>
        </w:rPr>
        <w:footnoteReference w:id="10"/>
      </w:r>
      <w:r w:rsidR="00F262BA">
        <w:t xml:space="preserve"> As discussed below, the tension between the actual activities of Jason and Medea, and the imperfect analogy of Ariadne and Theseus, help to propel </w:t>
      </w:r>
      <w:proofErr w:type="spellStart"/>
      <w:r w:rsidR="00405A92">
        <w:t>Apoll</w:t>
      </w:r>
      <w:proofErr w:type="spellEnd"/>
      <w:r w:rsidR="00405A92">
        <w:t xml:space="preserve">. </w:t>
      </w:r>
      <w:proofErr w:type="spellStart"/>
      <w:r w:rsidR="00405A92">
        <w:t>Rhod.</w:t>
      </w:r>
      <w:r w:rsidR="00F262BA">
        <w:t>’s</w:t>
      </w:r>
      <w:proofErr w:type="spellEnd"/>
      <w:r w:rsidR="00F262BA">
        <w:t xml:space="preserve"> Medea towards the version of her audiences would know from Euripides’ play. </w:t>
      </w:r>
    </w:p>
    <w:p w14:paraId="56072A3B" w14:textId="742317A5" w:rsidR="00F67878" w:rsidRDefault="00F67878" w:rsidP="0096073A">
      <w:pPr>
        <w:spacing w:line="360" w:lineRule="auto"/>
      </w:pPr>
      <w:r>
        <w:lastRenderedPageBreak/>
        <w:t xml:space="preserve">435 – </w:t>
      </w:r>
      <w:r w:rsidR="006149D8">
        <w:t>W</w:t>
      </w:r>
      <w:r>
        <w:t xml:space="preserve">e look towards Medea’s activities, but by signaling them only with </w:t>
      </w:r>
      <w:r w:rsidRPr="00F67878">
        <w:t>ἡ</w:t>
      </w:r>
      <w:r>
        <w:t>,</w:t>
      </w:r>
      <w:r w:rsidR="00734E9A">
        <w:t xml:space="preserve"> albeit in an emphatic position at the beginning of the line,</w:t>
      </w:r>
      <w:r>
        <w:t xml:space="preserve"> </w:t>
      </w:r>
      <w:proofErr w:type="spellStart"/>
      <w:r w:rsidR="00405A92">
        <w:t>Apoll</w:t>
      </w:r>
      <w:proofErr w:type="spellEnd"/>
      <w:r w:rsidR="00405A92">
        <w:t xml:space="preserve">. Rhod. </w:t>
      </w:r>
      <w:r w:rsidR="00F508F5">
        <w:t>uses the reader’s momentary confusion to</w:t>
      </w:r>
      <w:r>
        <w:t xml:space="preserve"> </w:t>
      </w:r>
      <w:r w:rsidR="00F508F5">
        <w:t xml:space="preserve">great effect, </w:t>
      </w:r>
      <w:r>
        <w:t>reinforc</w:t>
      </w:r>
      <w:r w:rsidR="00F508F5">
        <w:t>ing</w:t>
      </w:r>
      <w:r>
        <w:t xml:space="preserve"> </w:t>
      </w:r>
      <w:r w:rsidR="0051195D">
        <w:t>the</w:t>
      </w:r>
      <w:r>
        <w:t xml:space="preserve"> link between Ariadne, abandoned by Theseus only to be taken up by the god Dionysus, and Medea herself, who readers of </w:t>
      </w:r>
      <w:r>
        <w:rPr>
          <w:i/>
          <w:iCs/>
        </w:rPr>
        <w:t>Argonautica</w:t>
      </w:r>
      <w:r>
        <w:t xml:space="preserve"> know would</w:t>
      </w:r>
      <w:r w:rsidR="006149D8">
        <w:t>, in Euripides’ play,</w:t>
      </w:r>
      <w:r>
        <w:t xml:space="preserve"> be abandoned by Jason and taken up by the god </w:t>
      </w:r>
      <w:r w:rsidR="0051195D">
        <w:t>Helios</w:t>
      </w:r>
      <w:r>
        <w:t>, with some business in between</w:t>
      </w:r>
      <w:r w:rsidR="00721440">
        <w:t>.</w:t>
      </w:r>
      <w:r w:rsidR="00C16825">
        <w:t xml:space="preserve"> The insistence on the parallel between Medea and Ariadne looks back towards Jason’s own invocation of Ariadne’s story – albeit softened substantially to serve his point – at 3.997-1004</w:t>
      </w:r>
      <w:r w:rsidR="001467B2">
        <w:t>, as discussed above</w:t>
      </w:r>
      <w:r w:rsidR="00C16825">
        <w:t xml:space="preserve">. There, he invoked the constellation that bears her name, but immediately preceding this line, we saw the uglier side of how she came to dwell in the heavens. In this way, the analogy both matches and contrasts with the current action: Medea is facing one of several ugly actions that will lead to her eventual assumption, but </w:t>
      </w:r>
      <w:r w:rsidR="00EC2B27">
        <w:t xml:space="preserve">here, the only god invoked is Eros, and he will not help her. </w:t>
      </w:r>
    </w:p>
    <w:p w14:paraId="5900C78B" w14:textId="6C055292" w:rsidR="00C1001D" w:rsidRDefault="00F508F5" w:rsidP="0096073A">
      <w:pPr>
        <w:spacing w:line="360" w:lineRule="auto"/>
      </w:pPr>
      <w:r>
        <w:t>436 – Hunter notes</w:t>
      </w:r>
      <w:r>
        <w:rPr>
          <w:rStyle w:val="FootnoteReference"/>
        </w:rPr>
        <w:footnoteReference w:id="11"/>
      </w:r>
      <w:r>
        <w:t xml:space="preserve"> that the use of </w:t>
      </w:r>
      <w:proofErr w:type="spellStart"/>
      <w:r w:rsidRPr="00F508F5">
        <w:t>θελγέμεν</w:t>
      </w:r>
      <w:proofErr w:type="spellEnd"/>
      <w:r>
        <w:t xml:space="preserve">, as opposed to the more conventional </w:t>
      </w:r>
      <w:r w:rsidRPr="00F37882">
        <w:rPr>
          <w:rFonts w:cs="Times New Roman"/>
          <w:szCs w:val="24"/>
        </w:rPr>
        <w:t>π</w:t>
      </w:r>
      <w:proofErr w:type="spellStart"/>
      <w:r w:rsidRPr="00F37882">
        <w:rPr>
          <w:rFonts w:cs="Times New Roman"/>
          <w:szCs w:val="24"/>
        </w:rPr>
        <w:t>είθειν</w:t>
      </w:r>
      <w:proofErr w:type="spellEnd"/>
      <w:r>
        <w:rPr>
          <w:rFonts w:cs="Times New Roman"/>
          <w:szCs w:val="24"/>
        </w:rPr>
        <w:t>, highlights the magical force of Medea’s words – an aspect of her several abilities that will only become more clear in the eventual confrontation with</w:t>
      </w:r>
      <w:r w:rsidR="00596D7A">
        <w:rPr>
          <w:rFonts w:cs="Times New Roman"/>
          <w:szCs w:val="24"/>
        </w:rPr>
        <w:t xml:space="preserve"> Talos</w:t>
      </w:r>
      <w:r>
        <w:rPr>
          <w:rFonts w:cs="Times New Roman"/>
          <w:szCs w:val="24"/>
        </w:rPr>
        <w:t xml:space="preserve"> at </w:t>
      </w:r>
      <w:r w:rsidR="00596D7A">
        <w:rPr>
          <w:rFonts w:cs="Times New Roman"/>
          <w:szCs w:val="24"/>
        </w:rPr>
        <w:t>4.1660-90</w:t>
      </w:r>
      <w:r>
        <w:rPr>
          <w:rFonts w:cs="Times New Roman"/>
          <w:szCs w:val="24"/>
        </w:rPr>
        <w:t>, when the sheer weight of her gaze compels the monster’s death</w:t>
      </w:r>
      <w:r w:rsidR="00CD1A25">
        <w:rPr>
          <w:rFonts w:cs="Times New Roman"/>
          <w:szCs w:val="24"/>
        </w:rPr>
        <w:t>, and that recalls the assistance she offered to Jason against the serpent at 4.147, where the same verb described her actions</w:t>
      </w:r>
      <w:r>
        <w:rPr>
          <w:rFonts w:cs="Times New Roman"/>
          <w:szCs w:val="24"/>
        </w:rPr>
        <w:t xml:space="preserve">. Here, however, her exchange of words with the heralds sets them up to be susceptible to her </w:t>
      </w:r>
      <w:proofErr w:type="spellStart"/>
      <w:r w:rsidRPr="00F67878">
        <w:t>φάρμ</w:t>
      </w:r>
      <w:proofErr w:type="spellEnd"/>
      <w:r w:rsidRPr="00F67878">
        <w:t>ακα</w:t>
      </w:r>
      <w:r>
        <w:t xml:space="preserve"> in 4.442, as discussed below.</w:t>
      </w:r>
      <w:r w:rsidR="00C1001D">
        <w:t xml:space="preserve"> Hulse raises some concerns about this line as it appears in Race,</w:t>
      </w:r>
      <w:r w:rsidR="00C1001D">
        <w:rPr>
          <w:rStyle w:val="FootnoteReference"/>
        </w:rPr>
        <w:footnoteReference w:id="12"/>
      </w:r>
      <w:r w:rsidR="00C1001D">
        <w:t xml:space="preserve"> preferring instead </w:t>
      </w:r>
      <w:proofErr w:type="spellStart"/>
      <w:r w:rsidR="00C1001D" w:rsidRPr="00C1001D">
        <w:t>θέλγέ</w:t>
      </w:r>
      <w:proofErr w:type="spellEnd"/>
      <w:r w:rsidR="00C1001D">
        <w:t xml:space="preserve"> </w:t>
      </w:r>
      <w:proofErr w:type="spellStart"/>
      <w:r w:rsidR="00C1001D" w:rsidRPr="00C1001D">
        <w:t>μιν</w:t>
      </w:r>
      <w:proofErr w:type="spellEnd"/>
      <w:r w:rsidR="00C1001D">
        <w:t xml:space="preserve">, </w:t>
      </w:r>
      <w:proofErr w:type="spellStart"/>
      <w:r w:rsidR="00C1001D" w:rsidRPr="00C1001D">
        <w:t>εὖτ</w:t>
      </w:r>
      <w:proofErr w:type="spellEnd"/>
      <w:r w:rsidR="00C1001D" w:rsidRPr="00C1001D">
        <w:t xml:space="preserve">᾽ </w:t>
      </w:r>
      <w:proofErr w:type="spellStart"/>
      <w:r w:rsidR="00C1001D" w:rsidRPr="00C1001D">
        <w:t>ἂν</w:t>
      </w:r>
      <w:proofErr w:type="spellEnd"/>
      <w:r w:rsidR="00C1001D" w:rsidRPr="00C1001D">
        <w:t xml:space="preserve"> π</w:t>
      </w:r>
      <w:proofErr w:type="spellStart"/>
      <w:r w:rsidR="00C1001D" w:rsidRPr="00C1001D">
        <w:t>ρῶτ</w:t>
      </w:r>
      <w:proofErr w:type="spellEnd"/>
      <w:r w:rsidR="00C1001D" w:rsidRPr="00C1001D">
        <w:t xml:space="preserve">α </w:t>
      </w:r>
      <w:proofErr w:type="spellStart"/>
      <w:r w:rsidR="00C1001D" w:rsidRPr="00C1001D">
        <w:t>θεᾶς</w:t>
      </w:r>
      <w:proofErr w:type="spellEnd"/>
      <w:r w:rsidR="00C1001D" w:rsidRPr="00C1001D">
        <w:t xml:space="preserve"> </w:t>
      </w:r>
      <w:proofErr w:type="spellStart"/>
      <w:r w:rsidR="00C1001D" w:rsidRPr="00C1001D">
        <w:t>μετὰ</w:t>
      </w:r>
      <w:proofErr w:type="spellEnd"/>
      <w:r w:rsidR="00C1001D">
        <w:t xml:space="preserve"> </w:t>
      </w:r>
      <w:proofErr w:type="spellStart"/>
      <w:r w:rsidR="00C1001D" w:rsidRPr="00C1001D">
        <w:t>νηὸν</w:t>
      </w:r>
      <w:proofErr w:type="spellEnd"/>
      <w:r w:rsidR="00C1001D" w:rsidRPr="00C1001D">
        <w:t xml:space="preserve"> </w:t>
      </w:r>
      <w:proofErr w:type="spellStart"/>
      <w:r w:rsidR="00C1001D" w:rsidRPr="00C1001D">
        <w:t>ἵκητ</w:t>
      </w:r>
      <w:proofErr w:type="spellEnd"/>
      <w:r w:rsidR="00C1001D" w:rsidRPr="00C1001D">
        <w:t>αι</w:t>
      </w:r>
      <w:r w:rsidR="00C1001D">
        <w:t xml:space="preserve"> in the interests of avoiding anacoluthon and making better sense.</w:t>
      </w:r>
      <w:r w:rsidR="00C1001D">
        <w:rPr>
          <w:rStyle w:val="FootnoteReference"/>
        </w:rPr>
        <w:footnoteReference w:id="13"/>
      </w:r>
      <w:r w:rsidR="00886E2B">
        <w:t xml:space="preserve"> Mooney, for his part, accepts the anacoluthon.</w:t>
      </w:r>
      <w:r w:rsidR="00886E2B">
        <w:rPr>
          <w:rStyle w:val="FootnoteReference"/>
        </w:rPr>
        <w:footnoteReference w:id="14"/>
      </w:r>
      <w:r w:rsidR="006149D8">
        <w:t xml:space="preserve"> While the line may be confusing in its structure, the </w:t>
      </w:r>
      <w:proofErr w:type="spellStart"/>
      <w:r w:rsidR="006149D8">
        <w:t>ancoluthon</w:t>
      </w:r>
      <w:proofErr w:type="spellEnd"/>
      <w:r w:rsidR="006149D8">
        <w:t xml:space="preserve"> serves good rhetorical purpose: Medea plans to use her abilities to mislead the heralds, and combined with the confusion generated at the beginning of the sentence by the use of </w:t>
      </w:r>
      <w:r w:rsidR="006149D8" w:rsidRPr="00F67878">
        <w:t>ἡ</w:t>
      </w:r>
      <w:r w:rsidR="006149D8">
        <w:t xml:space="preserve"> alone to signal the return to Medea’s activities, the winding nature of the sentence places emphasis on Medea’s use of prevarication and misdirection in the plan the concocts with Jason. </w:t>
      </w:r>
    </w:p>
    <w:p w14:paraId="4B6B3317" w14:textId="390DB3CC" w:rsidR="00937459" w:rsidRPr="00B04B90" w:rsidRDefault="00937459" w:rsidP="0096073A">
      <w:pPr>
        <w:spacing w:line="360" w:lineRule="auto"/>
      </w:pPr>
      <w:r>
        <w:t>437-8 –</w:t>
      </w:r>
      <w:r w:rsidR="001347F0">
        <w:t xml:space="preserve"> Hulse, </w:t>
      </w:r>
      <w:r w:rsidR="00B04B90">
        <w:t>in his concern with evidence from papyri</w:t>
      </w:r>
      <w:r w:rsidR="001347F0">
        <w:t xml:space="preserve">, feels that </w:t>
      </w:r>
      <w:proofErr w:type="spellStart"/>
      <w:r w:rsidR="001347F0" w:rsidRPr="001347F0">
        <w:t>δόλον</w:t>
      </w:r>
      <w:proofErr w:type="spellEnd"/>
      <w:r w:rsidR="001347F0">
        <w:t xml:space="preserve"> is not supported by the evidence, </w:t>
      </w:r>
      <w:r w:rsidR="00B04B90">
        <w:t>offering</w:t>
      </w:r>
      <w:r w:rsidR="001347F0">
        <w:t xml:space="preserve"> no alternative reading</w:t>
      </w:r>
      <w:r w:rsidR="00B04B90">
        <w:t xml:space="preserve">, but nonetheless acknowledging that </w:t>
      </w:r>
      <w:proofErr w:type="spellStart"/>
      <w:r w:rsidR="00B04B90" w:rsidRPr="00B04B90">
        <w:t>δόλος</w:t>
      </w:r>
      <w:proofErr w:type="spellEnd"/>
      <w:r w:rsidR="00B04B90" w:rsidRPr="00B04B90">
        <w:rPr>
          <w:rStyle w:val="FootnoteReference"/>
          <w:vertAlign w:val="baseline"/>
        </w:rPr>
        <w:t xml:space="preserve"> </w:t>
      </w:r>
      <w:r w:rsidR="00B04B90">
        <w:t xml:space="preserve">is an </w:t>
      </w:r>
      <w:r w:rsidR="00B04B90">
        <w:lastRenderedPageBreak/>
        <w:t>important theme in this section of the poem.</w:t>
      </w:r>
      <w:r w:rsidR="00B04B90">
        <w:rPr>
          <w:rStyle w:val="FootnoteReference"/>
        </w:rPr>
        <w:footnoteReference w:id="15"/>
      </w:r>
      <w:r w:rsidR="00B04B90">
        <w:t xml:space="preserve"> Hunter, for his part, points to a Homeric referent (once again, in the eleventh book of the </w:t>
      </w:r>
      <w:r w:rsidR="00B04B90">
        <w:rPr>
          <w:i/>
          <w:iCs/>
        </w:rPr>
        <w:t>Odyssey</w:t>
      </w:r>
      <w:r w:rsidR="00B04B90">
        <w:t xml:space="preserve">, line 439), which </w:t>
      </w:r>
      <w:r w:rsidR="00235CA8">
        <w:t>refers to</w:t>
      </w:r>
      <w:r w:rsidR="00B04B90">
        <w:t xml:space="preserve"> Clytemnestra’s use of false gifts to lure Agamemnon to his death.</w:t>
      </w:r>
      <w:r w:rsidR="00B04B90">
        <w:rPr>
          <w:rStyle w:val="FootnoteReference"/>
        </w:rPr>
        <w:footnoteReference w:id="16"/>
      </w:r>
      <w:r w:rsidR="00B04B90">
        <w:t xml:space="preserve"> </w:t>
      </w:r>
      <w:r w:rsidR="00845C5F">
        <w:t xml:space="preserve">We have seen both Medea and Jason engage in a certain amount of </w:t>
      </w:r>
      <w:proofErr w:type="spellStart"/>
      <w:r w:rsidR="00845C5F" w:rsidRPr="00B04B90">
        <w:t>δόλος</w:t>
      </w:r>
      <w:proofErr w:type="spellEnd"/>
      <w:r w:rsidR="00845C5F">
        <w:t xml:space="preserve"> prior to this sequence: Medea carefully passes over her interest in Jason when she speaks with </w:t>
      </w:r>
      <w:proofErr w:type="spellStart"/>
      <w:r w:rsidR="00845C5F">
        <w:t>Chalciope</w:t>
      </w:r>
      <w:proofErr w:type="spellEnd"/>
      <w:r w:rsidR="00845C5F">
        <w:t xml:space="preserve"> at 3.727-39, while Jason tells Medea in no uncertain terms that he will marry her and cherish her forever if she helps him at 3.1120-30, which the reader knows is not a</w:t>
      </w:r>
      <w:r w:rsidR="009779A2">
        <w:t xml:space="preserve"> promise he will be inclined to keep. </w:t>
      </w:r>
    </w:p>
    <w:p w14:paraId="0BBD7C60" w14:textId="26948A26" w:rsidR="00F67878" w:rsidRPr="002A225B" w:rsidRDefault="00F67878" w:rsidP="0096073A">
      <w:pPr>
        <w:spacing w:line="360" w:lineRule="auto"/>
      </w:pPr>
      <w:r>
        <w:t xml:space="preserve">441 – </w:t>
      </w:r>
      <w:proofErr w:type="spellStart"/>
      <w:r w:rsidRPr="00F67878">
        <w:t>υἱῆες</w:t>
      </w:r>
      <w:proofErr w:type="spellEnd"/>
      <w:r w:rsidRPr="00F67878">
        <w:t xml:space="preserve"> </w:t>
      </w:r>
      <w:proofErr w:type="spellStart"/>
      <w:r w:rsidRPr="00F67878">
        <w:t>Φρίξοιο</w:t>
      </w:r>
      <w:proofErr w:type="spellEnd"/>
      <w:r>
        <w:t xml:space="preserve"> refers to </w:t>
      </w:r>
      <w:r w:rsidR="00660574">
        <w:t xml:space="preserve">Argus </w:t>
      </w:r>
      <w:r w:rsidR="002A225B">
        <w:t xml:space="preserve">and his brothers, Melas, </w:t>
      </w:r>
      <w:proofErr w:type="spellStart"/>
      <w:r w:rsidR="002A225B">
        <w:t>Phrontis</w:t>
      </w:r>
      <w:proofErr w:type="spellEnd"/>
      <w:r w:rsidR="002A225B">
        <w:t xml:space="preserve">, and </w:t>
      </w:r>
      <w:proofErr w:type="spellStart"/>
      <w:r w:rsidR="002A225B">
        <w:t>Cytissorus</w:t>
      </w:r>
      <w:proofErr w:type="spellEnd"/>
      <w:r w:rsidR="002A225B">
        <w:t xml:space="preserve">, who the Argonauts encountered in </w:t>
      </w:r>
      <w:r w:rsidR="002A225B">
        <w:rPr>
          <w:i/>
          <w:iCs/>
        </w:rPr>
        <w:t>Arg</w:t>
      </w:r>
      <w:r w:rsidR="002A225B">
        <w:t>. 2.1</w:t>
      </w:r>
      <w:r w:rsidR="00BC029F">
        <w:t xml:space="preserve">093-1215, </w:t>
      </w:r>
      <w:r w:rsidR="008408B4">
        <w:t xml:space="preserve">after the four of them had washed ashore in their attempt to reclaim their grandfather </w:t>
      </w:r>
      <w:proofErr w:type="spellStart"/>
      <w:r w:rsidR="008408B4">
        <w:t>Athamas</w:t>
      </w:r>
      <w:proofErr w:type="spellEnd"/>
      <w:r w:rsidR="008408B4">
        <w:t xml:space="preserve">’ property. Given that Aeetes had been a courteous host to their father, and their status as Medea’s own nephews through her sister, </w:t>
      </w:r>
      <w:proofErr w:type="spellStart"/>
      <w:r w:rsidR="008408B4">
        <w:t>Chalciope</w:t>
      </w:r>
      <w:proofErr w:type="spellEnd"/>
      <w:r w:rsidR="008408B4">
        <w:t xml:space="preserve">, the use of these characters in this way </w:t>
      </w:r>
      <w:r w:rsidR="00F901E2">
        <w:t>underscores her willingness to use close family members for her own ends – less dramatically than killing her brother, of course, but the fact remains that, on first encountering the Argonauts, Argus son of Phrixus attempted to talk them out of their plan to take the golden fleece from Aeetes</w:t>
      </w:r>
      <w:r w:rsidR="004862F9">
        <w:t>, suggesting that he still feels a measure of awe, or at least informed fear, of the Colchian king and his temper.</w:t>
      </w:r>
    </w:p>
    <w:p w14:paraId="446DA6BA" w14:textId="50D14ADD" w:rsidR="00F67878" w:rsidRDefault="00F67878" w:rsidP="0096073A">
      <w:pPr>
        <w:spacing w:line="360" w:lineRule="auto"/>
      </w:pPr>
      <w:r>
        <w:t xml:space="preserve">442 – </w:t>
      </w:r>
      <w:proofErr w:type="spellStart"/>
      <w:r w:rsidRPr="00F67878">
        <w:t>θελκτήρι</w:t>
      </w:r>
      <w:proofErr w:type="spellEnd"/>
      <w:r w:rsidRPr="00F67878">
        <w:t xml:space="preserve">α </w:t>
      </w:r>
      <w:proofErr w:type="spellStart"/>
      <w:r w:rsidR="006149D8" w:rsidRPr="00F67878">
        <w:t>φάρμ</w:t>
      </w:r>
      <w:proofErr w:type="spellEnd"/>
      <w:r w:rsidR="006149D8" w:rsidRPr="00F67878">
        <w:t>ακ</w:t>
      </w:r>
      <w:r w:rsidR="006149D8">
        <w:t>(</w:t>
      </w:r>
      <w:r w:rsidR="006149D8" w:rsidRPr="00F67878">
        <w:t>α</w:t>
      </w:r>
      <w:r w:rsidR="006149D8">
        <w:t>)</w:t>
      </w:r>
      <w:r>
        <w:t xml:space="preserve"> are </w:t>
      </w:r>
      <w:r w:rsidR="00F508F5">
        <w:t>a special forte of Medea’s</w:t>
      </w:r>
      <w:r>
        <w:t xml:space="preserve">: her use of them here is </w:t>
      </w:r>
      <w:proofErr w:type="gramStart"/>
      <w:r>
        <w:t>unsurprising, and</w:t>
      </w:r>
      <w:proofErr w:type="gramEnd"/>
      <w:r>
        <w:t xml:space="preserve"> point to subsequent uses of </w:t>
      </w:r>
      <w:proofErr w:type="spellStart"/>
      <w:r w:rsidRPr="00F67878">
        <w:t>φάρμ</w:t>
      </w:r>
      <w:proofErr w:type="spellEnd"/>
      <w:r w:rsidRPr="00F67878">
        <w:t>ακα</w:t>
      </w:r>
      <w:r>
        <w:t xml:space="preserve"> in Euripides’ play</w:t>
      </w:r>
      <w:r w:rsidR="002F7D0C">
        <w:t xml:space="preserve">, as well as referring back to her contemplation of </w:t>
      </w:r>
      <w:r w:rsidR="006149D8">
        <w:t>offering</w:t>
      </w:r>
      <w:r w:rsidR="002F7D0C">
        <w:t xml:space="preserve"> them </w:t>
      </w:r>
      <w:r w:rsidR="006149D8">
        <w:t>to</w:t>
      </w:r>
      <w:r w:rsidR="002F7D0C">
        <w:t xml:space="preserve"> Jason at 3.764</w:t>
      </w:r>
      <w:r w:rsidR="0051195D">
        <w:t>.</w:t>
      </w:r>
      <w:r w:rsidR="00937459">
        <w:t xml:space="preserve"> Along with the mention of </w:t>
      </w:r>
      <w:r w:rsidR="00EE0179">
        <w:t>enchantment (</w:t>
      </w:r>
      <w:proofErr w:type="spellStart"/>
      <w:r w:rsidR="00EE0179" w:rsidRPr="00F508F5">
        <w:t>θελγέμεν</w:t>
      </w:r>
      <w:proofErr w:type="spellEnd"/>
      <w:r w:rsidR="00EE0179">
        <w:t>) at line 436, it also looks forward to the encounter with Circe, where Medea and Jason will have to undergo ritual purification of the terrible deed they are about to carry out: when the Argonauts encounter Circe, she is in fact cleansing herself, having dreamt of blood dripping from her chamber walls as flames consume the drugs she used on strangers who arrived at her home (4.665-9), a parallel that points ahead to the outcome of the current action.</w:t>
      </w:r>
      <w:r w:rsidR="0051195D">
        <w:t xml:space="preserve"> By positioning </w:t>
      </w:r>
      <w:r w:rsidR="00497723">
        <w:t>her use of drugs and references to her rhetorical prowess</w:t>
      </w:r>
      <w:r w:rsidR="0051195D">
        <w:t xml:space="preserve"> within a few lines of each other</w:t>
      </w:r>
      <w:r w:rsidR="00937459">
        <w:t xml:space="preserve"> </w:t>
      </w:r>
      <w:r w:rsidR="0051195D">
        <w:t xml:space="preserve">as part of a plan of deception, </w:t>
      </w:r>
      <w:proofErr w:type="spellStart"/>
      <w:r w:rsidR="00405A92">
        <w:t>Apoll</w:t>
      </w:r>
      <w:proofErr w:type="spellEnd"/>
      <w:r w:rsidR="00405A92">
        <w:t xml:space="preserve">. Rhod. </w:t>
      </w:r>
      <w:r w:rsidR="0051195D">
        <w:t xml:space="preserve">points ahead to the actions of Euripides’ version of events, as noted above. </w:t>
      </w:r>
    </w:p>
    <w:p w14:paraId="311683E4" w14:textId="53B87AFB" w:rsidR="00F67878" w:rsidRDefault="00F67878" w:rsidP="0096073A">
      <w:pPr>
        <w:spacing w:line="360" w:lineRule="auto"/>
      </w:pPr>
      <w:r>
        <w:t xml:space="preserve">444 – </w:t>
      </w:r>
      <w:r w:rsidR="0069430C">
        <w:t>Medea’s power is strong enough to lure</w:t>
      </w:r>
      <w:r>
        <w:t xml:space="preserve"> </w:t>
      </w:r>
      <w:proofErr w:type="spellStart"/>
      <w:r w:rsidRPr="00F67878">
        <w:t>θῆρ</w:t>
      </w:r>
      <w:proofErr w:type="spellEnd"/>
      <w:r w:rsidRPr="00F67878">
        <w:t>α</w:t>
      </w:r>
      <w:r w:rsidR="0069430C">
        <w:t xml:space="preserve"> from the mountains; Hunter argues that the language of this line signals the apostrophe on Eros which follows, with its echoes of erotic </w:t>
      </w:r>
      <w:r w:rsidR="0069430C">
        <w:lastRenderedPageBreak/>
        <w:t>magic.</w:t>
      </w:r>
      <w:r w:rsidR="0069430C">
        <w:rPr>
          <w:rStyle w:val="FootnoteReference"/>
        </w:rPr>
        <w:footnoteReference w:id="17"/>
      </w:r>
      <w:r w:rsidR="0069430C">
        <w:t xml:space="preserve"> Hulse, for his part, suggests a contrast with Orpheus’ animal-luring abilities.</w:t>
      </w:r>
      <w:r w:rsidR="0069430C">
        <w:rPr>
          <w:rStyle w:val="FootnoteReference"/>
        </w:rPr>
        <w:footnoteReference w:id="18"/>
      </w:r>
      <w:r w:rsidR="0069430C">
        <w:t xml:space="preserve"> </w:t>
      </w:r>
      <w:r w:rsidR="00B232C4">
        <w:t>While both are reasonable readings, the description of Medea’s power as sufficient to draw wild beasts</w:t>
      </w:r>
      <w:r w:rsidR="0069430C">
        <w:t xml:space="preserve"> </w:t>
      </w:r>
      <w:r w:rsidR="00B232C4">
        <w:t>is also</w:t>
      </w:r>
      <w:r w:rsidR="0069430C">
        <w:t xml:space="preserve"> another way in which the Colchians are positioned as easily led and other, as when we learn of the Colchian’s bizarre death-rites at 3.200-9, or when we see the gathered Colchians working to bolster Aeetes’ power at 3.270-4.</w:t>
      </w:r>
      <w:r w:rsidR="00CD1A25">
        <w:t xml:space="preserve"> The reader is also primed to recall </w:t>
      </w:r>
      <w:proofErr w:type="spellStart"/>
      <w:r w:rsidR="00CD1A25" w:rsidRPr="00F67878">
        <w:t>θῆρ</w:t>
      </w:r>
      <w:proofErr w:type="spellEnd"/>
      <w:r w:rsidR="00CD1A25" w:rsidRPr="00F67878">
        <w:t>α</w:t>
      </w:r>
      <w:r w:rsidR="00CD1A25">
        <w:t xml:space="preserve"> as the huntsmen’s prey at 4.109-13, which described the time of day when Jason and Medea went together to </w:t>
      </w:r>
      <w:r w:rsidR="00F30E99">
        <w:t>pacify</w:t>
      </w:r>
      <w:r w:rsidR="00CD1A25">
        <w:t xml:space="preserve"> the great serpent (and Medea did </w:t>
      </w:r>
      <w:r w:rsidR="00F30E99">
        <w:t>the bulk of</w:t>
      </w:r>
      <w:r w:rsidR="00CD1A25">
        <w:t xml:space="preserve"> the work) – but now, rather than </w:t>
      </w:r>
      <w:proofErr w:type="gramStart"/>
      <w:r w:rsidR="00CD1A25">
        <w:t>being</w:t>
      </w:r>
      <w:proofErr w:type="gramEnd"/>
      <w:r w:rsidR="00CD1A25">
        <w:t xml:space="preserve"> positioned as prey herself, Medea is preparing for grievous action. </w:t>
      </w:r>
    </w:p>
    <w:p w14:paraId="2CBD6D12" w14:textId="1352727C" w:rsidR="00F67878" w:rsidRDefault="00F67878" w:rsidP="0096073A">
      <w:pPr>
        <w:spacing w:line="360" w:lineRule="auto"/>
      </w:pPr>
      <w:r>
        <w:t xml:space="preserve">445 – </w:t>
      </w:r>
      <w:proofErr w:type="spellStart"/>
      <w:r w:rsidRPr="00F67878">
        <w:t>Ἔρως</w:t>
      </w:r>
      <w:proofErr w:type="spellEnd"/>
      <w:r>
        <w:t xml:space="preserve"> is </w:t>
      </w:r>
      <w:proofErr w:type="spellStart"/>
      <w:r w:rsidRPr="00F67878">
        <w:t>σχέτλιος</w:t>
      </w:r>
      <w:proofErr w:type="spellEnd"/>
      <w:r>
        <w:t>; Race renders this as “cruel,”</w:t>
      </w:r>
      <w:r w:rsidR="008D1393">
        <w:rPr>
          <w:rStyle w:val="FootnoteReference"/>
        </w:rPr>
        <w:footnoteReference w:id="19"/>
      </w:r>
      <w:r>
        <w:t xml:space="preserve"> but it is worth noting that </w:t>
      </w:r>
      <w:r w:rsidR="00F30E99">
        <w:t>Liddell and Scott</w:t>
      </w:r>
      <w:r>
        <w:t xml:space="preserve"> offer by way of clarification that </w:t>
      </w:r>
      <w:r>
        <w:rPr>
          <w:i/>
          <w:iCs/>
        </w:rPr>
        <w:t>unflinching, headstrong, shocking,</w:t>
      </w:r>
      <w:r>
        <w:t xml:space="preserve"> and</w:t>
      </w:r>
      <w:r>
        <w:rPr>
          <w:i/>
          <w:iCs/>
        </w:rPr>
        <w:t xml:space="preserve"> flinching from no wickedness</w:t>
      </w:r>
      <w:r>
        <w:t xml:space="preserve"> are also present to the sense of the word, as well as making mention of Homer’s </w:t>
      </w:r>
      <w:r w:rsidR="004862F9">
        <w:t>application of the adjective to Odysseus and his behavior.</w:t>
      </w:r>
      <w:r w:rsidR="004862F9">
        <w:rPr>
          <w:rStyle w:val="FootnoteReference"/>
        </w:rPr>
        <w:footnoteReference w:id="20"/>
      </w:r>
      <w:r>
        <w:t xml:space="preserve"> </w:t>
      </w:r>
      <w:r w:rsidR="004862F9">
        <w:t>Rieu, in his prose translation, prefers “unconscionable” as the descriptor.</w:t>
      </w:r>
      <w:r w:rsidR="004862F9">
        <w:rPr>
          <w:rStyle w:val="FootnoteReference"/>
        </w:rPr>
        <w:footnoteReference w:id="21"/>
      </w:r>
      <w:r w:rsidR="004862F9">
        <w:t xml:space="preserve"> All this is a</w:t>
      </w:r>
      <w:r>
        <w:t xml:space="preserve"> far cry from the childish figure we met in book 3</w:t>
      </w:r>
      <w:r w:rsidR="00721440">
        <w:t xml:space="preserve">.91-150: there, he </w:t>
      </w:r>
      <w:r w:rsidR="00872CEE">
        <w:t>wa</w:t>
      </w:r>
      <w:r w:rsidR="00721440">
        <w:t xml:space="preserve">s </w:t>
      </w:r>
      <w:proofErr w:type="spellStart"/>
      <w:r w:rsidR="00721440" w:rsidRPr="00721440">
        <w:t>μάργος</w:t>
      </w:r>
      <w:proofErr w:type="spellEnd"/>
      <w:r w:rsidR="00721440">
        <w:t xml:space="preserve"> (greedy, lustful) and referred to by his own mother as </w:t>
      </w:r>
      <w:proofErr w:type="spellStart"/>
      <w:r w:rsidR="00721440" w:rsidRPr="00721440">
        <w:t>ἄφ</w:t>
      </w:r>
      <w:proofErr w:type="spellEnd"/>
      <w:r w:rsidR="00721440" w:rsidRPr="00721440">
        <w:t>ατον κα</w:t>
      </w:r>
      <w:proofErr w:type="spellStart"/>
      <w:r w:rsidR="00721440" w:rsidRPr="00721440">
        <w:t>κόν</w:t>
      </w:r>
      <w:proofErr w:type="spellEnd"/>
      <w:r w:rsidR="00721440">
        <w:t xml:space="preserve"> (as Race has it, an “unspeakable rascal”</w:t>
      </w:r>
      <w:r w:rsidR="00721440">
        <w:rPr>
          <w:rStyle w:val="FootnoteReference"/>
        </w:rPr>
        <w:footnoteReference w:id="22"/>
      </w:r>
      <w:r w:rsidR="00721440">
        <w:t>)</w:t>
      </w:r>
      <w:r w:rsidR="00872CEE">
        <w:t xml:space="preserve">: the force of </w:t>
      </w:r>
      <w:proofErr w:type="spellStart"/>
      <w:r w:rsidR="00872CEE" w:rsidRPr="00F67878">
        <w:t>σχέτλιος</w:t>
      </w:r>
      <w:proofErr w:type="spellEnd"/>
      <w:r w:rsidR="00872CEE">
        <w:t xml:space="preserve"> is harsher and colder than prior depictions of Eros in </w:t>
      </w:r>
      <w:r w:rsidR="00872CEE">
        <w:rPr>
          <w:i/>
          <w:iCs/>
        </w:rPr>
        <w:t>Argonautica</w:t>
      </w:r>
      <w:r w:rsidR="00721440">
        <w:t>. Hunter suggests</w:t>
      </w:r>
      <w:r w:rsidR="005D2B3D">
        <w:rPr>
          <w:rStyle w:val="FootnoteReference"/>
        </w:rPr>
        <w:footnoteReference w:id="23"/>
      </w:r>
      <w:r w:rsidR="00721440">
        <w:t xml:space="preserve"> that the address to </w:t>
      </w:r>
      <w:proofErr w:type="spellStart"/>
      <w:r w:rsidR="00721440" w:rsidRPr="00721440">
        <w:t>σχέτλι</w:t>
      </w:r>
      <w:proofErr w:type="spellEnd"/>
      <w:r w:rsidR="00721440" w:rsidRPr="00721440">
        <w:t xml:space="preserve">᾽ </w:t>
      </w:r>
      <w:proofErr w:type="spellStart"/>
      <w:r w:rsidR="00721440" w:rsidRPr="00721440">
        <w:t>Ἔρως</w:t>
      </w:r>
      <w:proofErr w:type="spellEnd"/>
      <w:r w:rsidR="00721440">
        <w:t xml:space="preserve"> is explicitly in reference to </w:t>
      </w:r>
      <w:proofErr w:type="spellStart"/>
      <w:r w:rsidR="00721440">
        <w:t>Theognis</w:t>
      </w:r>
      <w:proofErr w:type="spellEnd"/>
      <w:r w:rsidR="00721440">
        <w:t xml:space="preserve"> 1231-1234, which begins with the same words </w:t>
      </w:r>
      <w:proofErr w:type="gramStart"/>
      <w:r w:rsidR="00721440">
        <w:t>and also</w:t>
      </w:r>
      <w:proofErr w:type="gramEnd"/>
      <w:r w:rsidR="00721440">
        <w:t xml:space="preserve"> makes reference to the travails of Theseus, linking it to the description of </w:t>
      </w:r>
      <w:proofErr w:type="spellStart"/>
      <w:r w:rsidR="00721440">
        <w:t>Hypsipyle’s</w:t>
      </w:r>
      <w:proofErr w:type="spellEnd"/>
      <w:r w:rsidR="00721440">
        <w:t xml:space="preserve"> cloak and the several parallels </w:t>
      </w:r>
      <w:proofErr w:type="spellStart"/>
      <w:r w:rsidR="00405A92">
        <w:t>Apoll</w:t>
      </w:r>
      <w:proofErr w:type="spellEnd"/>
      <w:r w:rsidR="00405A92">
        <w:t xml:space="preserve">. Rhod. </w:t>
      </w:r>
      <w:r w:rsidR="00721440">
        <w:t>draws between Ariadne and Medea</w:t>
      </w:r>
      <w:r w:rsidR="004862F9">
        <w:t>, discussed elsewhere</w:t>
      </w:r>
      <w:r w:rsidR="00721440">
        <w:t>.</w:t>
      </w:r>
      <w:r w:rsidR="008D1393">
        <w:t xml:space="preserve"> Given how intimately the two sequences are in conversation with each other, it is worth noting that Medea herself was characterized as </w:t>
      </w:r>
      <w:proofErr w:type="spellStart"/>
      <w:r w:rsidR="008D1393" w:rsidRPr="008D1393">
        <w:t>σχετλίη</w:t>
      </w:r>
      <w:proofErr w:type="spellEnd"/>
      <w:r w:rsidR="008D1393">
        <w:t xml:space="preserve"> after her meeting with Jason in 3.1137, which Race rather kindly renders as, “The poor girl!”</w:t>
      </w:r>
      <w:r w:rsidR="008D1393">
        <w:rPr>
          <w:rStyle w:val="FootnoteReference"/>
        </w:rPr>
        <w:footnoteReference w:id="24"/>
      </w:r>
      <w:r w:rsidR="008D1393">
        <w:t xml:space="preserve"> </w:t>
      </w:r>
      <w:proofErr w:type="gramStart"/>
      <w:r w:rsidR="00F30E99">
        <w:t>more or less mimicking</w:t>
      </w:r>
      <w:proofErr w:type="gramEnd"/>
      <w:r w:rsidR="00F30E99">
        <w:t xml:space="preserve"> Rieu</w:t>
      </w:r>
      <w:r w:rsidR="008D1393">
        <w:t>.</w:t>
      </w:r>
      <w:r w:rsidR="008D1393">
        <w:rPr>
          <w:rStyle w:val="FootnoteReference"/>
        </w:rPr>
        <w:footnoteReference w:id="25"/>
      </w:r>
      <w:r w:rsidR="008D1393">
        <w:t xml:space="preserve"> In applying the adjective to both Eros and Medea, albeit in disparate contexts, </w:t>
      </w:r>
      <w:proofErr w:type="spellStart"/>
      <w:r w:rsidR="00405A92">
        <w:t>Apoll</w:t>
      </w:r>
      <w:proofErr w:type="spellEnd"/>
      <w:r w:rsidR="00405A92">
        <w:t xml:space="preserve">. Rhod. </w:t>
      </w:r>
      <w:r w:rsidR="00845C5F">
        <w:t>reinforces Medea’s divinity in subtle as well as overt ways (such as his description of her eyes as being characteristic of a descendant of Helios’ in 4.727-9).</w:t>
      </w:r>
    </w:p>
    <w:p w14:paraId="134328E6" w14:textId="4F5D430D" w:rsidR="00F67878" w:rsidRPr="00F037D9" w:rsidRDefault="00F67878" w:rsidP="0096073A">
      <w:pPr>
        <w:spacing w:line="360" w:lineRule="auto"/>
      </w:pPr>
      <w:r>
        <w:lastRenderedPageBreak/>
        <w:t xml:space="preserve">445-7 – note the distance from </w:t>
      </w:r>
      <w:proofErr w:type="spellStart"/>
      <w:r w:rsidRPr="00F67878">
        <w:t>Ἔρως</w:t>
      </w:r>
      <w:proofErr w:type="spellEnd"/>
      <w:r>
        <w:t xml:space="preserve"> to his verb (</w:t>
      </w:r>
      <w:proofErr w:type="spellStart"/>
      <w:r w:rsidRPr="00F67878">
        <w:t>τετρήχ</w:t>
      </w:r>
      <w:proofErr w:type="spellEnd"/>
      <w:r w:rsidRPr="00F67878">
        <w:t>ασιν</w:t>
      </w:r>
      <w:r>
        <w:t>), allowing the scope and variety of ills Eros stirs up and blends together to wash over the reader</w:t>
      </w:r>
      <w:r w:rsidR="00A935CB">
        <w:t xml:space="preserve">. </w:t>
      </w:r>
      <w:r w:rsidR="00F037D9">
        <w:t xml:space="preserve">Sistakou suggests, as part of a reading of </w:t>
      </w:r>
      <w:r w:rsidR="00F037D9">
        <w:rPr>
          <w:i/>
          <w:iCs/>
        </w:rPr>
        <w:t>Argonautica</w:t>
      </w:r>
      <w:r w:rsidR="00F037D9">
        <w:t xml:space="preserve"> as a case study in Alexandrian reception of Attic theatre, that the “miniature tragedy,” as she characterizes it, of </w:t>
      </w:r>
      <w:proofErr w:type="spellStart"/>
      <w:r w:rsidR="00F037D9">
        <w:t>Apsyrtus</w:t>
      </w:r>
      <w:proofErr w:type="spellEnd"/>
      <w:r w:rsidR="00F037D9">
        <w:t xml:space="preserve">’ death is </w:t>
      </w:r>
      <w:proofErr w:type="spellStart"/>
      <w:r w:rsidR="00F037D9">
        <w:t>signalled</w:t>
      </w:r>
      <w:proofErr w:type="spellEnd"/>
      <w:r w:rsidR="00F037D9">
        <w:t xml:space="preserve"> by the pile-up of conventionally tragic vocabulary in these lines.</w:t>
      </w:r>
      <w:r w:rsidR="00F037D9">
        <w:rPr>
          <w:rStyle w:val="FootnoteReference"/>
        </w:rPr>
        <w:footnoteReference w:id="26"/>
      </w:r>
      <w:r w:rsidR="00F037D9">
        <w:t xml:space="preserve"> </w:t>
      </w:r>
      <w:r w:rsidR="00A935CB">
        <w:t xml:space="preserve">Hunter observes of </w:t>
      </w:r>
      <w:proofErr w:type="spellStart"/>
      <w:r w:rsidR="00A935CB" w:rsidRPr="00F67878">
        <w:t>τετρήχ</w:t>
      </w:r>
      <w:proofErr w:type="spellEnd"/>
      <w:r w:rsidR="00A935CB" w:rsidRPr="00F67878">
        <w:t>ασιν</w:t>
      </w:r>
      <w:r w:rsidR="00A935CB">
        <w:t xml:space="preserve"> that it is a verb of stirring up, of liquid disturbance</w:t>
      </w:r>
      <w:r w:rsidR="00A935CB">
        <w:rPr>
          <w:rStyle w:val="FootnoteReference"/>
        </w:rPr>
        <w:footnoteReference w:id="27"/>
      </w:r>
      <w:r w:rsidR="00A935CB">
        <w:t xml:space="preserve"> – an effect enhanced in these lines by the alternating spondee-dactyl-spondee for the first </w:t>
      </w:r>
      <w:r w:rsidR="00E05C07">
        <w:t xml:space="preserve">and penultimate </w:t>
      </w:r>
      <w:r w:rsidR="00A935CB">
        <w:t xml:space="preserve">feet of each of these three lines: the meter creates a sense of rising and falling waves of misfortunes of various kinds, splashed over Medea and Jason, and, by extension, the reader. </w:t>
      </w:r>
    </w:p>
    <w:p w14:paraId="0F770C5A" w14:textId="3D18EB40" w:rsidR="00872CEE" w:rsidRPr="00E05C07" w:rsidRDefault="00872CEE" w:rsidP="0096073A">
      <w:pPr>
        <w:spacing w:line="360" w:lineRule="auto"/>
      </w:pPr>
      <w:r>
        <w:t xml:space="preserve">446 – Race tells us that the consensus version of the penultimate word of this line is </w:t>
      </w:r>
      <w:proofErr w:type="spellStart"/>
      <w:r w:rsidRPr="00872CEE">
        <w:t>γόοι</w:t>
      </w:r>
      <w:proofErr w:type="spellEnd"/>
      <w:r>
        <w:t xml:space="preserve">, but P. Oxy. 34.2694 offers </w:t>
      </w:r>
      <w:r w:rsidRPr="00872CEE">
        <w:t>π</w:t>
      </w:r>
      <w:proofErr w:type="spellStart"/>
      <w:r w:rsidRPr="00872CEE">
        <w:t>όνοι</w:t>
      </w:r>
      <w:proofErr w:type="spellEnd"/>
      <w:r w:rsidR="00A43152">
        <w:t>. Hunter</w:t>
      </w:r>
      <w:r w:rsidR="00E05C07">
        <w:rPr>
          <w:rStyle w:val="FootnoteReference"/>
        </w:rPr>
        <w:footnoteReference w:id="28"/>
      </w:r>
      <w:r w:rsidR="00A43152">
        <w:t xml:space="preserve"> and Hulse</w:t>
      </w:r>
      <w:r w:rsidR="00E05C07">
        <w:rPr>
          <w:rStyle w:val="FootnoteReference"/>
        </w:rPr>
        <w:footnoteReference w:id="29"/>
      </w:r>
      <w:r w:rsidR="00A43152">
        <w:t xml:space="preserve"> both prefer the latter, on the grounds that </w:t>
      </w:r>
      <w:proofErr w:type="spellStart"/>
      <w:r w:rsidR="00A43152" w:rsidRPr="00872CEE">
        <w:t>γόοι</w:t>
      </w:r>
      <w:proofErr w:type="spellEnd"/>
      <w:r w:rsidR="00A43152">
        <w:t xml:space="preserve"> essentially repeats the sense of </w:t>
      </w:r>
      <w:proofErr w:type="spellStart"/>
      <w:r w:rsidR="00A43152" w:rsidRPr="00F37882">
        <w:rPr>
          <w:rFonts w:cs="Times New Roman"/>
          <w:szCs w:val="24"/>
        </w:rPr>
        <w:t>στον</w:t>
      </w:r>
      <w:proofErr w:type="spellEnd"/>
      <w:r w:rsidR="00A43152" w:rsidRPr="00F37882">
        <w:rPr>
          <w:rFonts w:cs="Times New Roman"/>
          <w:szCs w:val="24"/>
        </w:rPr>
        <w:t>αχαί</w:t>
      </w:r>
      <w:r w:rsidR="00E05C07">
        <w:rPr>
          <w:rFonts w:cs="Times New Roman"/>
          <w:szCs w:val="24"/>
        </w:rPr>
        <w:t xml:space="preserve">; both also mention that at </w:t>
      </w:r>
      <w:r w:rsidR="00E05C07">
        <w:rPr>
          <w:rFonts w:cs="Times New Roman"/>
          <w:i/>
          <w:iCs/>
          <w:szCs w:val="24"/>
        </w:rPr>
        <w:t>Od.</w:t>
      </w:r>
      <w:r w:rsidR="00E05C07">
        <w:rPr>
          <w:rFonts w:cs="Times New Roman"/>
          <w:szCs w:val="24"/>
        </w:rPr>
        <w:t xml:space="preserve"> 16.144, we see </w:t>
      </w:r>
      <w:proofErr w:type="spellStart"/>
      <w:r w:rsidR="00E05C07" w:rsidRPr="00F37882">
        <w:rPr>
          <w:rFonts w:cs="Times New Roman"/>
          <w:szCs w:val="24"/>
        </w:rPr>
        <w:t>στον</w:t>
      </w:r>
      <w:proofErr w:type="spellEnd"/>
      <w:r w:rsidR="00E05C07" w:rsidRPr="00F37882">
        <w:rPr>
          <w:rFonts w:cs="Times New Roman"/>
          <w:szCs w:val="24"/>
        </w:rPr>
        <w:t xml:space="preserve">αχῆι </w:t>
      </w:r>
      <w:proofErr w:type="spellStart"/>
      <w:r w:rsidR="00E05C07" w:rsidRPr="00F37882">
        <w:rPr>
          <w:rFonts w:cs="Times New Roman"/>
          <w:szCs w:val="24"/>
        </w:rPr>
        <w:t>τε</w:t>
      </w:r>
      <w:proofErr w:type="spellEnd"/>
      <w:r w:rsidR="00E05C07" w:rsidRPr="00F37882">
        <w:rPr>
          <w:rFonts w:cs="Times New Roman"/>
          <w:szCs w:val="24"/>
        </w:rPr>
        <w:t xml:space="preserve"> </w:t>
      </w:r>
      <w:proofErr w:type="spellStart"/>
      <w:r w:rsidR="00E05C07" w:rsidRPr="00F37882">
        <w:rPr>
          <w:rFonts w:cs="Times New Roman"/>
          <w:szCs w:val="24"/>
        </w:rPr>
        <w:t>γόωι</w:t>
      </w:r>
      <w:proofErr w:type="spellEnd"/>
      <w:r w:rsidR="00E05C07" w:rsidRPr="00F37882">
        <w:rPr>
          <w:rFonts w:cs="Times New Roman"/>
          <w:szCs w:val="24"/>
        </w:rPr>
        <w:t xml:space="preserve"> </w:t>
      </w:r>
      <w:proofErr w:type="spellStart"/>
      <w:r w:rsidR="00E05C07" w:rsidRPr="00F37882">
        <w:rPr>
          <w:rFonts w:cs="Times New Roman"/>
          <w:szCs w:val="24"/>
        </w:rPr>
        <w:t>τε</w:t>
      </w:r>
      <w:proofErr w:type="spellEnd"/>
      <w:r w:rsidR="00E05C07">
        <w:rPr>
          <w:rFonts w:cs="Times New Roman"/>
          <w:szCs w:val="24"/>
        </w:rPr>
        <w:t xml:space="preserve">. If we accept that reference, the </w:t>
      </w:r>
      <w:r w:rsidR="00E05C07">
        <w:rPr>
          <w:rFonts w:cs="Times New Roman"/>
          <w:i/>
          <w:iCs/>
          <w:szCs w:val="24"/>
        </w:rPr>
        <w:t>Odyssey</w:t>
      </w:r>
      <w:r w:rsidR="00E05C07">
        <w:rPr>
          <w:rFonts w:cs="Times New Roman"/>
          <w:szCs w:val="24"/>
        </w:rPr>
        <w:t xml:space="preserve"> line appears when Eumaeus is describing the sufferings of Laertes in the wake of Odysseus’ departure. </w:t>
      </w:r>
      <w:r w:rsidR="00B664E2">
        <w:rPr>
          <w:rFonts w:cs="Times New Roman"/>
          <w:szCs w:val="24"/>
        </w:rPr>
        <w:t xml:space="preserve">While the papyrus that provides the </w:t>
      </w:r>
      <w:r w:rsidR="00B664E2" w:rsidRPr="00872CEE">
        <w:t>π</w:t>
      </w:r>
      <w:proofErr w:type="spellStart"/>
      <w:r w:rsidR="00B664E2" w:rsidRPr="00872CEE">
        <w:t>όνοι</w:t>
      </w:r>
      <w:proofErr w:type="spellEnd"/>
      <w:r w:rsidR="00B664E2">
        <w:t xml:space="preserve"> reading has been accused of being a forgery, D’Alessio makes a compelling argument for why this cannot be the case.</w:t>
      </w:r>
      <w:r w:rsidR="00B664E2">
        <w:rPr>
          <w:rStyle w:val="FootnoteReference"/>
        </w:rPr>
        <w:footnoteReference w:id="30"/>
      </w:r>
      <w:r w:rsidR="00B664E2">
        <w:t xml:space="preserve"> Still, the combination of the Homeric reference and the general agreement of other manuscripts makes a strong argument for the acceptance of </w:t>
      </w:r>
      <w:proofErr w:type="spellStart"/>
      <w:r w:rsidR="00B664E2" w:rsidRPr="00872CEE">
        <w:t>γόοι</w:t>
      </w:r>
      <w:proofErr w:type="spellEnd"/>
      <w:r w:rsidR="00B664E2">
        <w:t xml:space="preserve"> as the appropriate reading of the line. </w:t>
      </w:r>
    </w:p>
    <w:p w14:paraId="57826D12" w14:textId="3BA6E9EA" w:rsidR="00F67878" w:rsidRPr="00473A55" w:rsidRDefault="00F67878" w:rsidP="0096073A">
      <w:pPr>
        <w:spacing w:line="360" w:lineRule="auto"/>
      </w:pPr>
      <w:r>
        <w:t xml:space="preserve">449 – Medea’s heart is filled with hateful </w:t>
      </w:r>
      <w:proofErr w:type="spellStart"/>
      <w:r w:rsidRPr="00F67878">
        <w:t>ἄτη</w:t>
      </w:r>
      <w:proofErr w:type="spellEnd"/>
      <w:r>
        <w:t>, which Race notes</w:t>
      </w:r>
      <w:r w:rsidR="00A935CB">
        <w:rPr>
          <w:rStyle w:val="FootnoteReference"/>
        </w:rPr>
        <w:footnoteReference w:id="31"/>
      </w:r>
      <w:r>
        <w:t xml:space="preserve"> takes on a variety of meanings in </w:t>
      </w:r>
      <w:proofErr w:type="spellStart"/>
      <w:r w:rsidR="00F30E99">
        <w:t>Apoll</w:t>
      </w:r>
      <w:proofErr w:type="spellEnd"/>
      <w:r w:rsidR="00F30E99">
        <w:t>. Rhod.</w:t>
      </w:r>
      <w:r w:rsidR="00473A55">
        <w:t xml:space="preserve">; Hulse draws a parallel to Agamemnon’s acknowledgement of his own error in taking Achilles’ prize from him in </w:t>
      </w:r>
      <w:r w:rsidR="00473A55">
        <w:rPr>
          <w:i/>
          <w:iCs/>
        </w:rPr>
        <w:t>Iliad</w:t>
      </w:r>
      <w:r w:rsidR="00473A55">
        <w:t xml:space="preserve"> 19.87-8 as another utterance that ends in a significant admission of </w:t>
      </w:r>
      <w:proofErr w:type="spellStart"/>
      <w:r w:rsidR="00473A55" w:rsidRPr="00F67878">
        <w:t>ἄτη</w:t>
      </w:r>
      <w:proofErr w:type="spellEnd"/>
      <w:r w:rsidR="00473A55">
        <w:t>,</w:t>
      </w:r>
      <w:r w:rsidR="00473A55">
        <w:rPr>
          <w:rStyle w:val="FootnoteReference"/>
        </w:rPr>
        <w:footnoteReference w:id="32"/>
      </w:r>
      <w:r w:rsidR="00473A55">
        <w:t xml:space="preserve"> which Hunter acknowledges along with pointing to the </w:t>
      </w:r>
      <w:proofErr w:type="spellStart"/>
      <w:r w:rsidR="00473A55" w:rsidRPr="00F67878">
        <w:t>ἄτη</w:t>
      </w:r>
      <w:proofErr w:type="spellEnd"/>
      <w:r w:rsidR="00473A55">
        <w:t xml:space="preserve"> cast over the </w:t>
      </w:r>
      <w:proofErr w:type="spellStart"/>
      <w:r w:rsidR="00473A55">
        <w:t>Lemnian</w:t>
      </w:r>
      <w:proofErr w:type="spellEnd"/>
      <w:r w:rsidR="00473A55">
        <w:t xml:space="preserve"> men.</w:t>
      </w:r>
      <w:r w:rsidR="00473A55">
        <w:rPr>
          <w:rStyle w:val="FootnoteReference"/>
        </w:rPr>
        <w:footnoteReference w:id="33"/>
      </w:r>
      <w:r w:rsidR="00473A55">
        <w:t xml:space="preserve"> </w:t>
      </w:r>
      <w:r w:rsidR="0040564E">
        <w:t xml:space="preserve">The interpretation of </w:t>
      </w:r>
      <w:proofErr w:type="spellStart"/>
      <w:r w:rsidR="0040564E" w:rsidRPr="00F67878">
        <w:t>ἄτη</w:t>
      </w:r>
      <w:proofErr w:type="spellEnd"/>
      <w:r w:rsidR="0040564E">
        <w:t xml:space="preserve"> more broadly</w:t>
      </w:r>
      <w:r w:rsidR="00BA75B2">
        <w:t xml:space="preserve"> (which is to say, among commentaries on this work)</w:t>
      </w:r>
      <w:r w:rsidR="0040564E">
        <w:t xml:space="preserve"> still follows Dodds’ </w:t>
      </w:r>
      <w:r w:rsidR="00B664E2">
        <w:t xml:space="preserve">definition: a “clouding or bewildering of the normal </w:t>
      </w:r>
      <w:r w:rsidR="00B664E2">
        <w:lastRenderedPageBreak/>
        <w:t>consciousness…. a partial and temporary insanity… attributed, not to physiological or psychological causes, but to an external ‘daemonic’ agency.”</w:t>
      </w:r>
      <w:r w:rsidR="00B664E2">
        <w:rPr>
          <w:rStyle w:val="FootnoteReference"/>
        </w:rPr>
        <w:footnoteReference w:id="34"/>
      </w:r>
    </w:p>
    <w:p w14:paraId="5F960FD2" w14:textId="33DE1FD6" w:rsidR="00F67878" w:rsidRPr="00F901E2" w:rsidRDefault="00F67878" w:rsidP="0096073A">
      <w:pPr>
        <w:spacing w:line="360" w:lineRule="auto"/>
      </w:pPr>
      <w:r>
        <w:t xml:space="preserve">450-1 – </w:t>
      </w:r>
      <w:proofErr w:type="spellStart"/>
      <w:r w:rsidR="00405A92">
        <w:t>Apoll</w:t>
      </w:r>
      <w:proofErr w:type="spellEnd"/>
      <w:r w:rsidR="00405A92">
        <w:t xml:space="preserve">. Rhod. </w:t>
      </w:r>
      <w:r>
        <w:t>turns to the reader with a question</w:t>
      </w:r>
      <w:r w:rsidR="00F901E2">
        <w:t xml:space="preserve">, which again echoes the encounter with the </w:t>
      </w:r>
      <w:proofErr w:type="spellStart"/>
      <w:r w:rsidR="00F901E2">
        <w:t>Lemnian</w:t>
      </w:r>
      <w:proofErr w:type="spellEnd"/>
      <w:r w:rsidR="00F901E2">
        <w:t xml:space="preserve"> woman: in </w:t>
      </w:r>
      <w:r w:rsidR="00F901E2">
        <w:rPr>
          <w:i/>
          <w:iCs/>
        </w:rPr>
        <w:t>Arg</w:t>
      </w:r>
      <w:r w:rsidR="00F901E2">
        <w:t>. 1.6</w:t>
      </w:r>
      <w:r w:rsidR="007126A6">
        <w:t xml:space="preserve">49; </w:t>
      </w:r>
      <w:proofErr w:type="spellStart"/>
      <w:r w:rsidR="00405A92">
        <w:t>Apoll</w:t>
      </w:r>
      <w:proofErr w:type="spellEnd"/>
      <w:r w:rsidR="00405A92">
        <w:t xml:space="preserve">. Rhod. </w:t>
      </w:r>
      <w:r w:rsidR="00F901E2">
        <w:t xml:space="preserve">also asks questions of the reader at </w:t>
      </w:r>
      <w:r w:rsidR="007126A6">
        <w:t>2.1090-</w:t>
      </w:r>
      <w:r w:rsidR="00BC029F">
        <w:t>2 immediately before introducing Phrixus’ sons</w:t>
      </w:r>
      <w:r w:rsidR="00596D7A">
        <w:t>, before, again, inserting himself into the narrative</w:t>
      </w:r>
      <w:r w:rsidR="009779A2">
        <w:t>. Hunter suggests</w:t>
      </w:r>
      <w:r w:rsidR="009779A2">
        <w:rPr>
          <w:rStyle w:val="FootnoteReference"/>
        </w:rPr>
        <w:footnoteReference w:id="35"/>
      </w:r>
      <w:r w:rsidR="009779A2">
        <w:t xml:space="preserve"> that this is a technique </w:t>
      </w:r>
      <w:proofErr w:type="spellStart"/>
      <w:r w:rsidR="00405A92">
        <w:t>Apoll</w:t>
      </w:r>
      <w:proofErr w:type="spellEnd"/>
      <w:r w:rsidR="00405A92">
        <w:t xml:space="preserve">. Rhod. </w:t>
      </w:r>
      <w:r w:rsidR="009779A2">
        <w:t xml:space="preserve">uses to distance himself, as the teller of the story, from the strong emotions expressed in the apostrophe to Eros. </w:t>
      </w:r>
    </w:p>
    <w:p w14:paraId="26BC3712" w14:textId="6AC89CE8" w:rsidR="00F67878" w:rsidRDefault="00F67878" w:rsidP="0096073A">
      <w:pPr>
        <w:spacing w:line="360" w:lineRule="auto"/>
      </w:pPr>
      <w:r>
        <w:t xml:space="preserve">451 – </w:t>
      </w:r>
      <w:proofErr w:type="spellStart"/>
      <w:r w:rsidR="00405A92">
        <w:t>Apoll</w:t>
      </w:r>
      <w:proofErr w:type="spellEnd"/>
      <w:r w:rsidR="00405A92">
        <w:t xml:space="preserve">. Rhod. </w:t>
      </w:r>
      <w:r>
        <w:t>speaks for his own part</w:t>
      </w:r>
      <w:r w:rsidR="004F49CA">
        <w:t xml:space="preserve">, and not for the first time: at 2.844-4, </w:t>
      </w:r>
      <w:proofErr w:type="spellStart"/>
      <w:r w:rsidR="00405A92">
        <w:t>Apoll</w:t>
      </w:r>
      <w:proofErr w:type="spellEnd"/>
      <w:r w:rsidR="00405A92">
        <w:t xml:space="preserve">. Rhod. </w:t>
      </w:r>
      <w:r w:rsidR="004F49CA">
        <w:t xml:space="preserve">points to his compulsion by the Muses to continue the tale. That claim comes between the deaths of Idmon and </w:t>
      </w:r>
      <w:proofErr w:type="spellStart"/>
      <w:r w:rsidR="004F49CA">
        <w:t>Tiphys</w:t>
      </w:r>
      <w:proofErr w:type="spellEnd"/>
      <w:r w:rsidR="004F49CA">
        <w:t xml:space="preserve"> while the </w:t>
      </w:r>
      <w:r w:rsidR="004F49CA">
        <w:rPr>
          <w:i/>
          <w:iCs/>
        </w:rPr>
        <w:t>Argo</w:t>
      </w:r>
      <w:r w:rsidR="004F49CA">
        <w:t xml:space="preserve">’s crew is staying with King Lycus at the mouth of the </w:t>
      </w:r>
      <w:proofErr w:type="spellStart"/>
      <w:r w:rsidR="004F49CA">
        <w:t>Acherus</w:t>
      </w:r>
      <w:proofErr w:type="spellEnd"/>
      <w:r w:rsidR="004F49CA">
        <w:t xml:space="preserve">, and immediately after the departure of Heracles; later, at </w:t>
      </w:r>
      <w:r w:rsidR="007126A6">
        <w:t xml:space="preserve">4.1381-2, </w:t>
      </w:r>
      <w:proofErr w:type="spellStart"/>
      <w:r w:rsidR="00405A92">
        <w:t>Apoll</w:t>
      </w:r>
      <w:proofErr w:type="spellEnd"/>
      <w:r w:rsidR="00405A92">
        <w:t xml:space="preserve">. Rhod. </w:t>
      </w:r>
      <w:r w:rsidR="007126A6">
        <w:t>will tell us that he sings at the Muses’ behest, immediately before detailing how the Argonauts carried their ship across the Libyan desert</w:t>
      </w:r>
      <w:r w:rsidR="00596D7A">
        <w:t>, and then again at 4.1673-7 as Medea fells Talos by her magic</w:t>
      </w:r>
      <w:r w:rsidR="007126A6">
        <w:t xml:space="preserve">. </w:t>
      </w:r>
      <w:proofErr w:type="spellStart"/>
      <w:r w:rsidR="00405A92">
        <w:t>Apoll</w:t>
      </w:r>
      <w:proofErr w:type="spellEnd"/>
      <w:r w:rsidR="00405A92">
        <w:t xml:space="preserve">. Rhod. </w:t>
      </w:r>
      <w:r w:rsidR="007126A6">
        <w:t xml:space="preserve">seems to rely on this kind of direct address when preparing to relate </w:t>
      </w:r>
      <w:r w:rsidR="00596D7A">
        <w:t>brutal or outlandish</w:t>
      </w:r>
      <w:r w:rsidR="007126A6">
        <w:t xml:space="preserve"> experiences that will befall Jason and his men, but here, the clear psychological effect will fall most intensely on Medea when her brother is butchered and buried</w:t>
      </w:r>
      <w:r w:rsidR="00F508F5">
        <w:t>, as is made especially clear at 4.69</w:t>
      </w:r>
      <w:r w:rsidR="00596D7A">
        <w:t>5</w:t>
      </w:r>
      <w:r w:rsidR="00F508F5">
        <w:t xml:space="preserve"> and 4.730-5</w:t>
      </w:r>
      <w:r w:rsidR="00596D7A">
        <w:t>2</w:t>
      </w:r>
      <w:r w:rsidR="005E6231">
        <w:t xml:space="preserve"> – an act even Medea cannot bring herself to name, as noted in 4.736-7.</w:t>
      </w:r>
      <w:r w:rsidR="00DE225E">
        <w:t xml:space="preserve"> Dyck, in his positioning of </w:t>
      </w:r>
      <w:r w:rsidR="00DE225E">
        <w:rPr>
          <w:i/>
          <w:iCs/>
        </w:rPr>
        <w:t>Arg</w:t>
      </w:r>
      <w:r w:rsidR="00DE225E">
        <w:t xml:space="preserve">. 4 as </w:t>
      </w:r>
      <w:r w:rsidR="00B77651">
        <w:t xml:space="preserve">an examination of Medea’s </w:t>
      </w:r>
      <w:r w:rsidR="00DE225E">
        <w:t>transform</w:t>
      </w:r>
      <w:r w:rsidR="00B77651">
        <w:t>ation</w:t>
      </w:r>
      <w:r w:rsidR="00DE225E">
        <w:t xml:space="preserve"> from the lovesick girl of book 3 into the terrifying, preternaturally gifted figure of the Euripides play, notes that </w:t>
      </w:r>
      <w:proofErr w:type="spellStart"/>
      <w:r w:rsidR="00405A92">
        <w:t>Apoll</w:t>
      </w:r>
      <w:proofErr w:type="spellEnd"/>
      <w:r w:rsidR="00405A92">
        <w:t xml:space="preserve">. Rhod. </w:t>
      </w:r>
      <w:r w:rsidR="00DE225E">
        <w:t xml:space="preserve">varies somewhat from prior versions of the story, casting </w:t>
      </w:r>
      <w:proofErr w:type="spellStart"/>
      <w:r w:rsidR="00DE225E">
        <w:t>Apsyrtus</w:t>
      </w:r>
      <w:proofErr w:type="spellEnd"/>
      <w:r w:rsidR="00DE225E">
        <w:t xml:space="preserve"> as someone old enough to lead a military detachment, and splitting the blame between Medea and Jason,</w:t>
      </w:r>
      <w:r w:rsidR="00DE225E">
        <w:rPr>
          <w:rStyle w:val="FootnoteReference"/>
        </w:rPr>
        <w:footnoteReference w:id="36"/>
      </w:r>
      <w:r w:rsidR="00DE225E">
        <w:t xml:space="preserve"> allowing this sequence to mark the beginning of Medea’s </w:t>
      </w:r>
      <w:r w:rsidR="00B77651">
        <w:t>embarkation</w:t>
      </w:r>
      <w:r w:rsidR="00F30E99">
        <w:t xml:space="preserve"> on a path that will culminate in her</w:t>
      </w:r>
      <w:r w:rsidR="00DE225E">
        <w:t xml:space="preserve"> willingness to murder </w:t>
      </w:r>
      <w:r w:rsidR="00F30E99">
        <w:t xml:space="preserve">her own children in Euripides’ play. </w:t>
      </w:r>
    </w:p>
    <w:p w14:paraId="4796587C" w14:textId="6DCD7A11" w:rsidR="00BA3D88" w:rsidRDefault="00BA3D88" w:rsidP="0096073A">
      <w:pPr>
        <w:spacing w:after="160" w:line="360" w:lineRule="auto"/>
      </w:pPr>
      <w:r>
        <w:br w:type="page"/>
      </w:r>
    </w:p>
    <w:p w14:paraId="7ED0C307" w14:textId="263E6A66" w:rsidR="00BA3D88" w:rsidRDefault="00BA3D88" w:rsidP="0096073A">
      <w:pPr>
        <w:spacing w:line="360" w:lineRule="auto"/>
      </w:pPr>
      <w:r>
        <w:rPr>
          <w:u w:val="single"/>
        </w:rPr>
        <w:lastRenderedPageBreak/>
        <w:t>Bibliography</w:t>
      </w:r>
    </w:p>
    <w:p w14:paraId="4E8F26B7" w14:textId="3E9CD678" w:rsidR="00BA3D88" w:rsidRDefault="00ED7C03" w:rsidP="0096073A">
      <w:pPr>
        <w:spacing w:line="360" w:lineRule="auto"/>
      </w:pPr>
      <w:r>
        <w:t xml:space="preserve">D’Alessio, G. (2009). ‘On the “Artemidorus” Papyrus’, </w:t>
      </w:r>
      <w:proofErr w:type="spellStart"/>
      <w:r w:rsidRPr="00ED7C03">
        <w:rPr>
          <w:i/>
          <w:iCs/>
        </w:rPr>
        <w:t>Zeitschrift</w:t>
      </w:r>
      <w:proofErr w:type="spellEnd"/>
      <w:r w:rsidRPr="00ED7C03">
        <w:rPr>
          <w:i/>
          <w:iCs/>
        </w:rPr>
        <w:t xml:space="preserve"> für </w:t>
      </w:r>
      <w:proofErr w:type="spellStart"/>
      <w:r w:rsidRPr="00ED7C03">
        <w:rPr>
          <w:i/>
          <w:iCs/>
        </w:rPr>
        <w:t>Papyrologie</w:t>
      </w:r>
      <w:proofErr w:type="spellEnd"/>
      <w:r w:rsidRPr="00ED7C03">
        <w:rPr>
          <w:i/>
          <w:iCs/>
        </w:rPr>
        <w:t xml:space="preserve"> und </w:t>
      </w:r>
      <w:proofErr w:type="spellStart"/>
      <w:r w:rsidRPr="00ED7C03">
        <w:rPr>
          <w:i/>
          <w:iCs/>
        </w:rPr>
        <w:t>Epigraphik</w:t>
      </w:r>
      <w:proofErr w:type="spellEnd"/>
      <w:r w:rsidRPr="00ED7C03">
        <w:t>, Bd. 171 (2009), pp. 27-43</w:t>
      </w:r>
      <w:r>
        <w:t>.</w:t>
      </w:r>
    </w:p>
    <w:p w14:paraId="4CC3078F" w14:textId="0D030096" w:rsidR="00F30E99" w:rsidRPr="00F30E99" w:rsidRDefault="00F30E99" w:rsidP="0096073A">
      <w:pPr>
        <w:spacing w:line="360" w:lineRule="auto"/>
      </w:pPr>
      <w:r>
        <w:t xml:space="preserve">Dodds, E. (1964). </w:t>
      </w:r>
      <w:r>
        <w:rPr>
          <w:i/>
          <w:iCs/>
        </w:rPr>
        <w:t>The Greeks and the Irrational</w:t>
      </w:r>
      <w:r>
        <w:t>, Berkeley: University of California Press.</w:t>
      </w:r>
    </w:p>
    <w:p w14:paraId="3345D5A2" w14:textId="6FDE475E" w:rsidR="00ED7C03" w:rsidRDefault="00ED7C03" w:rsidP="0096073A">
      <w:pPr>
        <w:spacing w:line="360" w:lineRule="auto"/>
      </w:pPr>
      <w:r>
        <w:t xml:space="preserve">Hulse, Peter (2015). </w:t>
      </w:r>
      <w:r w:rsidRPr="00ED7C03">
        <w:rPr>
          <w:i/>
          <w:iCs/>
        </w:rPr>
        <w:t xml:space="preserve">The Argonautica of Apollonius </w:t>
      </w:r>
      <w:proofErr w:type="spellStart"/>
      <w:r w:rsidRPr="00ED7C03">
        <w:rPr>
          <w:i/>
          <w:iCs/>
        </w:rPr>
        <w:t>Rhodius</w:t>
      </w:r>
      <w:proofErr w:type="spellEnd"/>
      <w:r w:rsidRPr="00ED7C03">
        <w:rPr>
          <w:i/>
          <w:iCs/>
        </w:rPr>
        <w:t>, Book 4, 1-481</w:t>
      </w:r>
      <w:r>
        <w:t>. Ph. D. thesis, University of Nottingham.</w:t>
      </w:r>
    </w:p>
    <w:p w14:paraId="7DFB41FC" w14:textId="405FFD35" w:rsidR="00ED7C03" w:rsidRDefault="00ED7C03" w:rsidP="0096073A">
      <w:pPr>
        <w:spacing w:line="360" w:lineRule="auto"/>
      </w:pPr>
      <w:r>
        <w:t xml:space="preserve">Hunter, R. (2015). </w:t>
      </w:r>
      <w:r w:rsidRPr="00ED7C03">
        <w:rPr>
          <w:i/>
          <w:iCs/>
        </w:rPr>
        <w:t>Apollonius of Rhodes, Argonautica: Book IV. Cambridge Greek and Latin Classics</w:t>
      </w:r>
      <w:r>
        <w:t>, Cambridge: Cambridge University Press.</w:t>
      </w:r>
    </w:p>
    <w:p w14:paraId="6868A3BE" w14:textId="0FB1C6B0" w:rsidR="0096073A" w:rsidRPr="0096073A" w:rsidRDefault="0096073A" w:rsidP="0096073A">
      <w:pPr>
        <w:spacing w:line="360" w:lineRule="auto"/>
      </w:pPr>
      <w:r>
        <w:t xml:space="preserve">Liddell, H. and Scott, R. (eds.) (2010), </w:t>
      </w:r>
      <w:r>
        <w:rPr>
          <w:i/>
          <w:iCs/>
        </w:rPr>
        <w:t>An Intermediate Greek-English Lexicon: Founded Upon the Seventh Edition of Liddell and Scott’s Greek-English Lexicon</w:t>
      </w:r>
      <w:r>
        <w:t>, Oxford: Benediction Classics.</w:t>
      </w:r>
    </w:p>
    <w:p w14:paraId="605FDFE0" w14:textId="04D6F9D1" w:rsidR="00ED7C03" w:rsidRDefault="00ED7C03" w:rsidP="0096073A">
      <w:pPr>
        <w:spacing w:line="360" w:lineRule="auto"/>
      </w:pPr>
      <w:r>
        <w:t xml:space="preserve">Mooney, G. (1912). </w:t>
      </w:r>
      <w:r>
        <w:rPr>
          <w:i/>
          <w:iCs/>
        </w:rPr>
        <w:t xml:space="preserve">The Argonautica of Apollonius </w:t>
      </w:r>
      <w:proofErr w:type="spellStart"/>
      <w:r>
        <w:rPr>
          <w:i/>
          <w:iCs/>
        </w:rPr>
        <w:t>Rhodius</w:t>
      </w:r>
      <w:proofErr w:type="spellEnd"/>
      <w:r>
        <w:rPr>
          <w:i/>
          <w:iCs/>
        </w:rPr>
        <w:t>: Edited, with Introduction and Commentary</w:t>
      </w:r>
      <w:r>
        <w:t>, Dublin: Hodges, Figgis, &amp; Co., Ltd.</w:t>
      </w:r>
    </w:p>
    <w:p w14:paraId="4EE65707" w14:textId="2802B46E" w:rsidR="00ED7C03" w:rsidRDefault="00ED7C03" w:rsidP="0096073A">
      <w:pPr>
        <w:spacing w:line="360" w:lineRule="auto"/>
      </w:pPr>
      <w:r>
        <w:t>Race, W.</w:t>
      </w:r>
      <w:r w:rsidR="0096073A">
        <w:t xml:space="preserve"> (ed.)</w:t>
      </w:r>
      <w:r>
        <w:t xml:space="preserve"> (2008). </w:t>
      </w:r>
      <w:r>
        <w:rPr>
          <w:i/>
          <w:iCs/>
        </w:rPr>
        <w:t xml:space="preserve">Apollonius </w:t>
      </w:r>
      <w:proofErr w:type="spellStart"/>
      <w:r>
        <w:rPr>
          <w:i/>
          <w:iCs/>
        </w:rPr>
        <w:t>Rhodius</w:t>
      </w:r>
      <w:proofErr w:type="spellEnd"/>
      <w:r>
        <w:rPr>
          <w:i/>
          <w:iCs/>
        </w:rPr>
        <w:t>: Argonautica</w:t>
      </w:r>
      <w:r>
        <w:t xml:space="preserve">, </w:t>
      </w:r>
      <w:r w:rsidR="0096073A">
        <w:t>Cambridge, MA.: Harvard University Press.</w:t>
      </w:r>
    </w:p>
    <w:p w14:paraId="32296085" w14:textId="71F55664" w:rsidR="0096073A" w:rsidRPr="0096073A" w:rsidRDefault="0096073A" w:rsidP="0096073A">
      <w:pPr>
        <w:spacing w:line="360" w:lineRule="auto"/>
      </w:pPr>
      <w:r>
        <w:t xml:space="preserve">Rieu, E. (1969). </w:t>
      </w:r>
      <w:r>
        <w:rPr>
          <w:i/>
          <w:iCs/>
        </w:rPr>
        <w:t>The Voyage of Argo</w:t>
      </w:r>
      <w:r>
        <w:t>, Baltimore, MD: Penguin Books, Ltd.</w:t>
      </w:r>
    </w:p>
    <w:p w14:paraId="2E6E4C02" w14:textId="51758798" w:rsidR="0096073A" w:rsidRPr="0096073A" w:rsidRDefault="0096073A" w:rsidP="0096073A">
      <w:pPr>
        <w:spacing w:line="360" w:lineRule="auto"/>
      </w:pPr>
      <w:proofErr w:type="spellStart"/>
      <w:r>
        <w:t>Siskatou</w:t>
      </w:r>
      <w:proofErr w:type="spellEnd"/>
      <w:r>
        <w:t xml:space="preserve">, E. (2016). </w:t>
      </w:r>
      <w:r>
        <w:rPr>
          <w:i/>
          <w:iCs/>
        </w:rPr>
        <w:t>Tragic Failures: Alexandrian Responses to Tragedy and the Tragic</w:t>
      </w:r>
      <w:r>
        <w:t>, Berlin: de Gruyter.</w:t>
      </w:r>
    </w:p>
    <w:sectPr w:rsidR="0096073A" w:rsidRPr="0096073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84172" w14:textId="77777777" w:rsidR="00065591" w:rsidRDefault="00065591" w:rsidP="00721440">
      <w:pPr>
        <w:spacing w:after="0" w:line="240" w:lineRule="auto"/>
      </w:pPr>
      <w:r>
        <w:separator/>
      </w:r>
    </w:p>
  </w:endnote>
  <w:endnote w:type="continuationSeparator" w:id="0">
    <w:p w14:paraId="6F4B40C0" w14:textId="77777777" w:rsidR="00065591" w:rsidRDefault="00065591" w:rsidP="00721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68512" w14:textId="77777777" w:rsidR="00065591" w:rsidRDefault="00065591" w:rsidP="00721440">
      <w:pPr>
        <w:spacing w:after="0" w:line="240" w:lineRule="auto"/>
      </w:pPr>
      <w:r>
        <w:separator/>
      </w:r>
    </w:p>
  </w:footnote>
  <w:footnote w:type="continuationSeparator" w:id="0">
    <w:p w14:paraId="0EB3DCEE" w14:textId="77777777" w:rsidR="00065591" w:rsidRDefault="00065591" w:rsidP="00721440">
      <w:pPr>
        <w:spacing w:after="0" w:line="240" w:lineRule="auto"/>
      </w:pPr>
      <w:r>
        <w:continuationSeparator/>
      </w:r>
    </w:p>
  </w:footnote>
  <w:footnote w:id="1">
    <w:p w14:paraId="27712A72" w14:textId="4E6A800A" w:rsidR="009A39E3" w:rsidRDefault="009A39E3">
      <w:pPr>
        <w:pStyle w:val="FootnoteText"/>
      </w:pPr>
      <w:r>
        <w:rPr>
          <w:rStyle w:val="FootnoteReference"/>
        </w:rPr>
        <w:footnoteRef/>
      </w:r>
      <w:r>
        <w:t xml:space="preserve"> Mooney,</w:t>
      </w:r>
      <w:r w:rsidR="00405A92">
        <w:t xml:space="preserve"> 1912,</w:t>
      </w:r>
      <w:r>
        <w:t xml:space="preserve"> </w:t>
      </w:r>
      <w:r w:rsidR="00405A92">
        <w:t xml:space="preserve">p. </w:t>
      </w:r>
      <w:r w:rsidR="00B67C79">
        <w:t>327</w:t>
      </w:r>
    </w:p>
  </w:footnote>
  <w:footnote w:id="2">
    <w:p w14:paraId="7BAC11DC" w14:textId="080F332B" w:rsidR="00042F2A" w:rsidRDefault="00042F2A">
      <w:pPr>
        <w:pStyle w:val="FootnoteText"/>
      </w:pPr>
      <w:r>
        <w:rPr>
          <w:rStyle w:val="FootnoteReference"/>
        </w:rPr>
        <w:footnoteRef/>
      </w:r>
      <w:r>
        <w:t xml:space="preserve"> Dyck</w:t>
      </w:r>
      <w:r w:rsidR="00405A92">
        <w:t>, 1989</w:t>
      </w:r>
      <w:r>
        <w:t xml:space="preserve">, </w:t>
      </w:r>
      <w:r w:rsidR="00405A92">
        <w:t xml:space="preserve">p. </w:t>
      </w:r>
      <w:r>
        <w:t>460</w:t>
      </w:r>
    </w:p>
  </w:footnote>
  <w:footnote w:id="3">
    <w:p w14:paraId="244E0AE9" w14:textId="44195CD3" w:rsidR="0088284E" w:rsidRDefault="0088284E">
      <w:pPr>
        <w:pStyle w:val="FootnoteText"/>
      </w:pPr>
      <w:r>
        <w:rPr>
          <w:rStyle w:val="FootnoteReference"/>
        </w:rPr>
        <w:footnoteRef/>
      </w:r>
      <w:r>
        <w:t xml:space="preserve"> Hunter,</w:t>
      </w:r>
      <w:r w:rsidR="00405A92">
        <w:t xml:space="preserve"> 2015,</w:t>
      </w:r>
      <w:r>
        <w:t xml:space="preserve"> </w:t>
      </w:r>
      <w:r w:rsidR="00405A92">
        <w:t xml:space="preserve">p. </w:t>
      </w:r>
      <w:r>
        <w:t>141</w:t>
      </w:r>
    </w:p>
  </w:footnote>
  <w:footnote w:id="4">
    <w:p w14:paraId="00BF9477" w14:textId="2C3B2016" w:rsidR="00660574" w:rsidRDefault="00660574">
      <w:pPr>
        <w:pStyle w:val="FootnoteText"/>
      </w:pPr>
      <w:r>
        <w:rPr>
          <w:rStyle w:val="FootnoteReference"/>
        </w:rPr>
        <w:footnoteRef/>
      </w:r>
      <w:r>
        <w:t xml:space="preserve"> </w:t>
      </w:r>
      <w:r w:rsidR="00405A92">
        <w:t xml:space="preserve">Hunter, 2015, p. </w:t>
      </w:r>
      <w:r>
        <w:t>142</w:t>
      </w:r>
    </w:p>
  </w:footnote>
  <w:footnote w:id="5">
    <w:p w14:paraId="163A8A37" w14:textId="3912FE9F" w:rsidR="002E4BD8" w:rsidRDefault="002E4BD8">
      <w:pPr>
        <w:pStyle w:val="FootnoteText"/>
      </w:pPr>
      <w:r>
        <w:rPr>
          <w:rStyle w:val="FootnoteReference"/>
        </w:rPr>
        <w:footnoteRef/>
      </w:r>
      <w:r>
        <w:t xml:space="preserve"> Hulse, </w:t>
      </w:r>
      <w:r w:rsidR="00BA3D88">
        <w:t xml:space="preserve">2015, p. </w:t>
      </w:r>
      <w:r>
        <w:t>270-1</w:t>
      </w:r>
    </w:p>
  </w:footnote>
  <w:footnote w:id="6">
    <w:p w14:paraId="168F5BCF" w14:textId="18E06ABC" w:rsidR="005E6231" w:rsidRDefault="005E6231">
      <w:pPr>
        <w:pStyle w:val="FootnoteText"/>
      </w:pPr>
      <w:r>
        <w:rPr>
          <w:rStyle w:val="FootnoteReference"/>
        </w:rPr>
        <w:footnoteRef/>
      </w:r>
      <w:r>
        <w:t xml:space="preserve"> </w:t>
      </w:r>
      <w:r w:rsidR="00BA3D88">
        <w:t xml:space="preserve">Hulse, 2015, p. </w:t>
      </w:r>
      <w:r>
        <w:t>271</w:t>
      </w:r>
    </w:p>
  </w:footnote>
  <w:footnote w:id="7">
    <w:p w14:paraId="2B4D49E3" w14:textId="1494A513" w:rsidR="005E6231" w:rsidRDefault="005E6231">
      <w:pPr>
        <w:pStyle w:val="FootnoteText"/>
      </w:pPr>
      <w:r>
        <w:rPr>
          <w:rStyle w:val="FootnoteReference"/>
        </w:rPr>
        <w:footnoteRef/>
      </w:r>
      <w:r>
        <w:t xml:space="preserve"> </w:t>
      </w:r>
      <w:r w:rsidR="00405A92">
        <w:t xml:space="preserve">Hunter, 2015, p. </w:t>
      </w:r>
      <w:r>
        <w:t>142</w:t>
      </w:r>
    </w:p>
  </w:footnote>
  <w:footnote w:id="8">
    <w:p w14:paraId="52666E8A" w14:textId="3E9B9DC2" w:rsidR="001467B2" w:rsidRDefault="001467B2">
      <w:pPr>
        <w:pStyle w:val="FootnoteText"/>
      </w:pPr>
      <w:r>
        <w:rPr>
          <w:rStyle w:val="FootnoteReference"/>
        </w:rPr>
        <w:footnoteRef/>
      </w:r>
      <w:r>
        <w:t xml:space="preserve"> Dyck, </w:t>
      </w:r>
      <w:r w:rsidR="00BA3D88">
        <w:t xml:space="preserve">1989, p. </w:t>
      </w:r>
      <w:r>
        <w:t>460</w:t>
      </w:r>
    </w:p>
  </w:footnote>
  <w:footnote w:id="9">
    <w:p w14:paraId="16E045CB" w14:textId="40B0BCAB" w:rsidR="001467B2" w:rsidRDefault="001467B2">
      <w:pPr>
        <w:pStyle w:val="FootnoteText"/>
      </w:pPr>
      <w:r>
        <w:rPr>
          <w:rStyle w:val="FootnoteReference"/>
        </w:rPr>
        <w:footnoteRef/>
      </w:r>
      <w:r>
        <w:t xml:space="preserve"> </w:t>
      </w:r>
      <w:r w:rsidR="00405A92">
        <w:t xml:space="preserve">Hunter, 2015, p. </w:t>
      </w:r>
      <w:r>
        <w:t>143</w:t>
      </w:r>
    </w:p>
  </w:footnote>
  <w:footnote w:id="10">
    <w:p w14:paraId="72ACB81E" w14:textId="5F5662E6" w:rsidR="00F262BA" w:rsidRDefault="00F262BA" w:rsidP="00F262BA">
      <w:pPr>
        <w:pStyle w:val="FootnoteText"/>
      </w:pPr>
      <w:r>
        <w:rPr>
          <w:rStyle w:val="FootnoteReference"/>
        </w:rPr>
        <w:footnoteRef/>
      </w:r>
      <w:r>
        <w:t xml:space="preserve"> </w:t>
      </w:r>
      <w:r w:rsidR="00BA3D88">
        <w:t xml:space="preserve">Hulse, 2015, p. </w:t>
      </w:r>
      <w:r>
        <w:t>272</w:t>
      </w:r>
    </w:p>
  </w:footnote>
  <w:footnote w:id="11">
    <w:p w14:paraId="75258148" w14:textId="378901DA" w:rsidR="00F508F5" w:rsidRDefault="00F508F5">
      <w:pPr>
        <w:pStyle w:val="FootnoteText"/>
      </w:pPr>
      <w:r>
        <w:rPr>
          <w:rStyle w:val="FootnoteReference"/>
        </w:rPr>
        <w:footnoteRef/>
      </w:r>
      <w:r>
        <w:t xml:space="preserve"> </w:t>
      </w:r>
      <w:r w:rsidR="00405A92">
        <w:t xml:space="preserve">Hunter, 2015, p. </w:t>
      </w:r>
      <w:r>
        <w:t>142</w:t>
      </w:r>
    </w:p>
  </w:footnote>
  <w:footnote w:id="12">
    <w:p w14:paraId="2BB3D1A2" w14:textId="2B023CD5" w:rsidR="00C1001D" w:rsidRDefault="00C1001D" w:rsidP="00C1001D">
      <w:pPr>
        <w:pStyle w:val="FootnoteText"/>
      </w:pPr>
      <w:r>
        <w:rPr>
          <w:rStyle w:val="FootnoteReference"/>
        </w:rPr>
        <w:footnoteRef/>
      </w:r>
      <w:r>
        <w:t xml:space="preserve"> Race, </w:t>
      </w:r>
      <w:r w:rsidR="00BA3D88">
        <w:t>2008, p.</w:t>
      </w:r>
      <w:r>
        <w:t xml:space="preserve"> 362</w:t>
      </w:r>
    </w:p>
  </w:footnote>
  <w:footnote w:id="13">
    <w:p w14:paraId="7A2BD308" w14:textId="441729FB" w:rsidR="00C1001D" w:rsidRDefault="00C1001D">
      <w:pPr>
        <w:pStyle w:val="FootnoteText"/>
      </w:pPr>
      <w:r>
        <w:rPr>
          <w:rStyle w:val="FootnoteReference"/>
        </w:rPr>
        <w:footnoteRef/>
      </w:r>
      <w:r>
        <w:t xml:space="preserve"> </w:t>
      </w:r>
      <w:r w:rsidR="00BA3D88">
        <w:t xml:space="preserve">Hulse, 2015, p. </w:t>
      </w:r>
      <w:r>
        <w:t>273</w:t>
      </w:r>
    </w:p>
  </w:footnote>
  <w:footnote w:id="14">
    <w:p w14:paraId="7D8C74FE" w14:textId="483020A6" w:rsidR="00886E2B" w:rsidRDefault="00886E2B">
      <w:pPr>
        <w:pStyle w:val="FootnoteText"/>
      </w:pPr>
      <w:r>
        <w:rPr>
          <w:rStyle w:val="FootnoteReference"/>
        </w:rPr>
        <w:footnoteRef/>
      </w:r>
      <w:r>
        <w:t xml:space="preserve"> Mooney,</w:t>
      </w:r>
      <w:r w:rsidR="00405A92">
        <w:t xml:space="preserve"> 1912,</w:t>
      </w:r>
      <w:r>
        <w:t xml:space="preserve"> </w:t>
      </w:r>
      <w:r w:rsidR="00405A92">
        <w:t xml:space="preserve">p. </w:t>
      </w:r>
      <w:r>
        <w:t>327-8</w:t>
      </w:r>
    </w:p>
  </w:footnote>
  <w:footnote w:id="15">
    <w:p w14:paraId="710225D1" w14:textId="1E47FD76" w:rsidR="00B04B90" w:rsidRDefault="00B04B90">
      <w:pPr>
        <w:pStyle w:val="FootnoteText"/>
      </w:pPr>
      <w:r>
        <w:rPr>
          <w:rStyle w:val="FootnoteReference"/>
        </w:rPr>
        <w:footnoteRef/>
      </w:r>
      <w:r>
        <w:t xml:space="preserve"> </w:t>
      </w:r>
      <w:r w:rsidR="00BA3D88">
        <w:t xml:space="preserve">Hulse, 2015, p. </w:t>
      </w:r>
      <w:r>
        <w:t>274</w:t>
      </w:r>
    </w:p>
  </w:footnote>
  <w:footnote w:id="16">
    <w:p w14:paraId="13603E0E" w14:textId="279825EF" w:rsidR="00B04B90" w:rsidRDefault="00B04B90">
      <w:pPr>
        <w:pStyle w:val="FootnoteText"/>
      </w:pPr>
      <w:r>
        <w:rPr>
          <w:rStyle w:val="FootnoteReference"/>
        </w:rPr>
        <w:footnoteRef/>
      </w:r>
      <w:r>
        <w:t xml:space="preserve"> </w:t>
      </w:r>
      <w:r w:rsidR="00405A92">
        <w:t xml:space="preserve">Hunter, 2015, p. </w:t>
      </w:r>
      <w:r>
        <w:t>140</w:t>
      </w:r>
    </w:p>
  </w:footnote>
  <w:footnote w:id="17">
    <w:p w14:paraId="41C8FFD9" w14:textId="362D0497" w:rsidR="0069430C" w:rsidRDefault="0069430C">
      <w:pPr>
        <w:pStyle w:val="FootnoteText"/>
      </w:pPr>
      <w:r>
        <w:rPr>
          <w:rStyle w:val="FootnoteReference"/>
        </w:rPr>
        <w:footnoteRef/>
      </w:r>
      <w:r>
        <w:t xml:space="preserve"> </w:t>
      </w:r>
      <w:r w:rsidR="00405A92">
        <w:t xml:space="preserve">Hunter, 2015, p. </w:t>
      </w:r>
      <w:r>
        <w:t>143</w:t>
      </w:r>
    </w:p>
  </w:footnote>
  <w:footnote w:id="18">
    <w:p w14:paraId="01652342" w14:textId="2879AF92" w:rsidR="0069430C" w:rsidRDefault="0069430C">
      <w:pPr>
        <w:pStyle w:val="FootnoteText"/>
      </w:pPr>
      <w:r>
        <w:rPr>
          <w:rStyle w:val="FootnoteReference"/>
        </w:rPr>
        <w:footnoteRef/>
      </w:r>
      <w:r>
        <w:t xml:space="preserve"> </w:t>
      </w:r>
      <w:r w:rsidR="00BA3D88">
        <w:t xml:space="preserve">Hulse, 2015, p. </w:t>
      </w:r>
      <w:r>
        <w:t>276</w:t>
      </w:r>
    </w:p>
  </w:footnote>
  <w:footnote w:id="19">
    <w:p w14:paraId="15C91E06" w14:textId="6D93897D" w:rsidR="008D1393" w:rsidRDefault="008D1393">
      <w:pPr>
        <w:pStyle w:val="FootnoteText"/>
      </w:pPr>
      <w:r>
        <w:rPr>
          <w:rStyle w:val="FootnoteReference"/>
        </w:rPr>
        <w:footnoteRef/>
      </w:r>
      <w:r>
        <w:t xml:space="preserve"> </w:t>
      </w:r>
      <w:r w:rsidR="00BA3D88">
        <w:t xml:space="preserve">Race, 2008, p. </w:t>
      </w:r>
      <w:r>
        <w:t>365</w:t>
      </w:r>
    </w:p>
  </w:footnote>
  <w:footnote w:id="20">
    <w:p w14:paraId="6986719F" w14:textId="5AAD3AF8" w:rsidR="004862F9" w:rsidRDefault="004862F9">
      <w:pPr>
        <w:pStyle w:val="FootnoteText"/>
      </w:pPr>
      <w:r>
        <w:rPr>
          <w:rStyle w:val="FootnoteReference"/>
        </w:rPr>
        <w:footnoteRef/>
      </w:r>
      <w:r>
        <w:t xml:space="preserve"> Middle Liddell,</w:t>
      </w:r>
      <w:r w:rsidR="00BA3D88">
        <w:t xml:space="preserve"> 2010, p.</w:t>
      </w:r>
      <w:r>
        <w:t xml:space="preserve"> 787</w:t>
      </w:r>
    </w:p>
  </w:footnote>
  <w:footnote w:id="21">
    <w:p w14:paraId="3EFFEF3C" w14:textId="3D6FC914" w:rsidR="004862F9" w:rsidRDefault="004862F9">
      <w:pPr>
        <w:pStyle w:val="FootnoteText"/>
      </w:pPr>
      <w:r>
        <w:rPr>
          <w:rStyle w:val="FootnoteReference"/>
        </w:rPr>
        <w:footnoteRef/>
      </w:r>
      <w:r>
        <w:t xml:space="preserve"> Rieu, </w:t>
      </w:r>
      <w:r w:rsidR="00BA3D88">
        <w:t xml:space="preserve">1969, p. </w:t>
      </w:r>
      <w:r>
        <w:t>159</w:t>
      </w:r>
    </w:p>
  </w:footnote>
  <w:footnote w:id="22">
    <w:p w14:paraId="06A28DE4" w14:textId="54E7D58C" w:rsidR="00721440" w:rsidRDefault="00721440">
      <w:pPr>
        <w:pStyle w:val="FootnoteText"/>
      </w:pPr>
      <w:r>
        <w:rPr>
          <w:rStyle w:val="FootnoteReference"/>
        </w:rPr>
        <w:footnoteRef/>
      </w:r>
      <w:r>
        <w:t xml:space="preserve"> </w:t>
      </w:r>
      <w:r w:rsidR="00BA3D88">
        <w:t xml:space="preserve">Race, 2008, p. </w:t>
      </w:r>
      <w:r w:rsidR="005D2B3D">
        <w:t>227</w:t>
      </w:r>
    </w:p>
  </w:footnote>
  <w:footnote w:id="23">
    <w:p w14:paraId="771739FC" w14:textId="17BC8359" w:rsidR="005D2B3D" w:rsidRDefault="005D2B3D">
      <w:pPr>
        <w:pStyle w:val="FootnoteText"/>
      </w:pPr>
      <w:r>
        <w:rPr>
          <w:rStyle w:val="FootnoteReference"/>
        </w:rPr>
        <w:footnoteRef/>
      </w:r>
      <w:r>
        <w:t xml:space="preserve"> </w:t>
      </w:r>
      <w:r w:rsidR="00BA3D88">
        <w:t xml:space="preserve">Hunter, 2015, p. </w:t>
      </w:r>
      <w:r>
        <w:t>143</w:t>
      </w:r>
    </w:p>
  </w:footnote>
  <w:footnote w:id="24">
    <w:p w14:paraId="55C96483" w14:textId="38DD8973" w:rsidR="008D1393" w:rsidRDefault="008D1393">
      <w:pPr>
        <w:pStyle w:val="FootnoteText"/>
      </w:pPr>
      <w:r>
        <w:rPr>
          <w:rStyle w:val="FootnoteReference"/>
        </w:rPr>
        <w:footnoteRef/>
      </w:r>
      <w:r>
        <w:t xml:space="preserve"> </w:t>
      </w:r>
      <w:r w:rsidR="00BA3D88">
        <w:t xml:space="preserve">Race, 2008, p. </w:t>
      </w:r>
      <w:r>
        <w:t>305</w:t>
      </w:r>
    </w:p>
  </w:footnote>
  <w:footnote w:id="25">
    <w:p w14:paraId="4180F84E" w14:textId="5D44FBFD" w:rsidR="008D1393" w:rsidRDefault="008D1393">
      <w:pPr>
        <w:pStyle w:val="FootnoteText"/>
      </w:pPr>
      <w:r>
        <w:rPr>
          <w:rStyle w:val="FootnoteReference"/>
        </w:rPr>
        <w:footnoteRef/>
      </w:r>
      <w:r>
        <w:t xml:space="preserve"> </w:t>
      </w:r>
      <w:r w:rsidR="00BA3D88">
        <w:t xml:space="preserve">Rieu, 1969, p. </w:t>
      </w:r>
      <w:r>
        <w:t>139</w:t>
      </w:r>
    </w:p>
  </w:footnote>
  <w:footnote w:id="26">
    <w:p w14:paraId="47E23B2A" w14:textId="69C1E463" w:rsidR="00F037D9" w:rsidRDefault="00F037D9">
      <w:pPr>
        <w:pStyle w:val="FootnoteText"/>
      </w:pPr>
      <w:r>
        <w:rPr>
          <w:rStyle w:val="FootnoteReference"/>
        </w:rPr>
        <w:footnoteRef/>
      </w:r>
      <w:r>
        <w:t xml:space="preserve"> Sistakou, </w:t>
      </w:r>
      <w:r w:rsidR="00BA3D88">
        <w:t xml:space="preserve">2016, p. </w:t>
      </w:r>
      <w:r>
        <w:t>167</w:t>
      </w:r>
    </w:p>
  </w:footnote>
  <w:footnote w:id="27">
    <w:p w14:paraId="5E3D9CB7" w14:textId="5E7A2DD1" w:rsidR="00A935CB" w:rsidRDefault="00A935CB">
      <w:pPr>
        <w:pStyle w:val="FootnoteText"/>
      </w:pPr>
      <w:r>
        <w:rPr>
          <w:rStyle w:val="FootnoteReference"/>
        </w:rPr>
        <w:footnoteRef/>
      </w:r>
      <w:r>
        <w:t xml:space="preserve"> </w:t>
      </w:r>
      <w:r w:rsidR="00BA3D88">
        <w:t xml:space="preserve">Hunter, 2015, p. </w:t>
      </w:r>
      <w:r>
        <w:t>144.</w:t>
      </w:r>
    </w:p>
  </w:footnote>
  <w:footnote w:id="28">
    <w:p w14:paraId="5A41A42D" w14:textId="7F7005D5" w:rsidR="00E05C07" w:rsidRDefault="00E05C07">
      <w:pPr>
        <w:pStyle w:val="FootnoteText"/>
      </w:pPr>
      <w:r>
        <w:rPr>
          <w:rStyle w:val="FootnoteReference"/>
        </w:rPr>
        <w:footnoteRef/>
      </w:r>
      <w:r>
        <w:t xml:space="preserve"> </w:t>
      </w:r>
      <w:r w:rsidR="00BA3D88">
        <w:t xml:space="preserve">Hunter, 2015, p. </w:t>
      </w:r>
      <w:r>
        <w:t>144</w:t>
      </w:r>
    </w:p>
  </w:footnote>
  <w:footnote w:id="29">
    <w:p w14:paraId="2841B326" w14:textId="559ABA8A" w:rsidR="00E05C07" w:rsidRDefault="00E05C07">
      <w:pPr>
        <w:pStyle w:val="FootnoteText"/>
      </w:pPr>
      <w:r>
        <w:rPr>
          <w:rStyle w:val="FootnoteReference"/>
        </w:rPr>
        <w:footnoteRef/>
      </w:r>
      <w:r>
        <w:t xml:space="preserve"> Hulse,</w:t>
      </w:r>
      <w:r w:rsidR="00BA3D88">
        <w:t xml:space="preserve"> 2015, p.</w:t>
      </w:r>
      <w:r>
        <w:t xml:space="preserve"> 278</w:t>
      </w:r>
    </w:p>
  </w:footnote>
  <w:footnote w:id="30">
    <w:p w14:paraId="406FF411" w14:textId="5DDC2AEF" w:rsidR="00B664E2" w:rsidRDefault="00B664E2">
      <w:pPr>
        <w:pStyle w:val="FootnoteText"/>
      </w:pPr>
      <w:r>
        <w:rPr>
          <w:rStyle w:val="FootnoteReference"/>
        </w:rPr>
        <w:footnoteRef/>
      </w:r>
      <w:r>
        <w:t xml:space="preserve"> D’Alessio, </w:t>
      </w:r>
      <w:r w:rsidR="00ED7C03">
        <w:t xml:space="preserve">2009, p. </w:t>
      </w:r>
      <w:r>
        <w:t>30-4.</w:t>
      </w:r>
    </w:p>
  </w:footnote>
  <w:footnote w:id="31">
    <w:p w14:paraId="05CA4534" w14:textId="57DE0A37" w:rsidR="00A935CB" w:rsidRDefault="00A935CB">
      <w:pPr>
        <w:pStyle w:val="FootnoteText"/>
      </w:pPr>
      <w:r>
        <w:rPr>
          <w:rStyle w:val="FootnoteReference"/>
        </w:rPr>
        <w:footnoteRef/>
      </w:r>
      <w:r>
        <w:t xml:space="preserve"> </w:t>
      </w:r>
      <w:r w:rsidR="00BA3D88">
        <w:t xml:space="preserve">Race, 2008, p. </w:t>
      </w:r>
      <w:r>
        <w:t>365</w:t>
      </w:r>
    </w:p>
  </w:footnote>
  <w:footnote w:id="32">
    <w:p w14:paraId="47263862" w14:textId="4C0BCF15" w:rsidR="00473A55" w:rsidRDefault="00473A55">
      <w:pPr>
        <w:pStyle w:val="FootnoteText"/>
      </w:pPr>
      <w:r>
        <w:rPr>
          <w:rStyle w:val="FootnoteReference"/>
        </w:rPr>
        <w:footnoteRef/>
      </w:r>
      <w:r>
        <w:t xml:space="preserve"> </w:t>
      </w:r>
      <w:r w:rsidR="00BA3D88">
        <w:t xml:space="preserve">Hulse, 2015, p. </w:t>
      </w:r>
      <w:r w:rsidR="0040564E">
        <w:t>280</w:t>
      </w:r>
    </w:p>
  </w:footnote>
  <w:footnote w:id="33">
    <w:p w14:paraId="57FFB25F" w14:textId="242C242B" w:rsidR="00473A55" w:rsidRDefault="00473A55">
      <w:pPr>
        <w:pStyle w:val="FootnoteText"/>
      </w:pPr>
      <w:r>
        <w:rPr>
          <w:rStyle w:val="FootnoteReference"/>
        </w:rPr>
        <w:footnoteRef/>
      </w:r>
      <w:r>
        <w:t xml:space="preserve"> </w:t>
      </w:r>
      <w:r w:rsidR="00BA3D88">
        <w:t xml:space="preserve">Hunter, 2015, p. </w:t>
      </w:r>
      <w:r>
        <w:t>145</w:t>
      </w:r>
    </w:p>
  </w:footnote>
  <w:footnote w:id="34">
    <w:p w14:paraId="51FFC57D" w14:textId="361BC916" w:rsidR="00B664E2" w:rsidRDefault="00B664E2">
      <w:pPr>
        <w:pStyle w:val="FootnoteText"/>
      </w:pPr>
      <w:r>
        <w:rPr>
          <w:rStyle w:val="FootnoteReference"/>
        </w:rPr>
        <w:footnoteRef/>
      </w:r>
      <w:r>
        <w:t xml:space="preserve"> Dodds,</w:t>
      </w:r>
      <w:r w:rsidR="00BA3D88">
        <w:t xml:space="preserve"> 19</w:t>
      </w:r>
      <w:r w:rsidR="00F30E99">
        <w:t>64</w:t>
      </w:r>
      <w:r w:rsidR="00BA3D88">
        <w:t>, p.</w:t>
      </w:r>
      <w:r>
        <w:t xml:space="preserve"> 5</w:t>
      </w:r>
    </w:p>
  </w:footnote>
  <w:footnote w:id="35">
    <w:p w14:paraId="79476AC2" w14:textId="32DC9CB5" w:rsidR="009779A2" w:rsidRDefault="009779A2">
      <w:pPr>
        <w:pStyle w:val="FootnoteText"/>
      </w:pPr>
      <w:r>
        <w:rPr>
          <w:rStyle w:val="FootnoteReference"/>
        </w:rPr>
        <w:footnoteRef/>
      </w:r>
      <w:r>
        <w:t xml:space="preserve"> </w:t>
      </w:r>
      <w:r w:rsidR="00BA3D88">
        <w:t xml:space="preserve">Hunter, 2015, p. </w:t>
      </w:r>
      <w:r>
        <w:t>144</w:t>
      </w:r>
    </w:p>
  </w:footnote>
  <w:footnote w:id="36">
    <w:p w14:paraId="53EAAFE6" w14:textId="3BFE9999" w:rsidR="00DE225E" w:rsidRDefault="00DE225E">
      <w:pPr>
        <w:pStyle w:val="FootnoteText"/>
      </w:pPr>
      <w:r>
        <w:rPr>
          <w:rStyle w:val="FootnoteReference"/>
        </w:rPr>
        <w:footnoteRef/>
      </w:r>
      <w:r>
        <w:t xml:space="preserve"> Dyck,</w:t>
      </w:r>
      <w:r w:rsidR="00BA3D88">
        <w:t xml:space="preserve"> 1989, p.</w:t>
      </w:r>
      <w:r>
        <w:t xml:space="preserve"> 460-2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78"/>
    <w:rsid w:val="00042F2A"/>
    <w:rsid w:val="00065591"/>
    <w:rsid w:val="000B1221"/>
    <w:rsid w:val="001347F0"/>
    <w:rsid w:val="001467B2"/>
    <w:rsid w:val="00235CA8"/>
    <w:rsid w:val="00296626"/>
    <w:rsid w:val="002A225B"/>
    <w:rsid w:val="002E4BD8"/>
    <w:rsid w:val="002F6121"/>
    <w:rsid w:val="002F7D0C"/>
    <w:rsid w:val="003848D7"/>
    <w:rsid w:val="003D7470"/>
    <w:rsid w:val="00401B60"/>
    <w:rsid w:val="0040564E"/>
    <w:rsid w:val="00405A92"/>
    <w:rsid w:val="00473A55"/>
    <w:rsid w:val="004862F9"/>
    <w:rsid w:val="00497723"/>
    <w:rsid w:val="004F49CA"/>
    <w:rsid w:val="0051195D"/>
    <w:rsid w:val="00525D77"/>
    <w:rsid w:val="00596D7A"/>
    <w:rsid w:val="005D2B3D"/>
    <w:rsid w:val="005E6231"/>
    <w:rsid w:val="006149D8"/>
    <w:rsid w:val="00660574"/>
    <w:rsid w:val="0069430C"/>
    <w:rsid w:val="006C7E41"/>
    <w:rsid w:val="007126A6"/>
    <w:rsid w:val="00715402"/>
    <w:rsid w:val="00721440"/>
    <w:rsid w:val="00734E9A"/>
    <w:rsid w:val="00801188"/>
    <w:rsid w:val="008408B4"/>
    <w:rsid w:val="00845C5F"/>
    <w:rsid w:val="008553A6"/>
    <w:rsid w:val="00872CEE"/>
    <w:rsid w:val="0088284E"/>
    <w:rsid w:val="00886E2B"/>
    <w:rsid w:val="008947E8"/>
    <w:rsid w:val="008D1393"/>
    <w:rsid w:val="00937459"/>
    <w:rsid w:val="0096073A"/>
    <w:rsid w:val="009779A2"/>
    <w:rsid w:val="009A39E3"/>
    <w:rsid w:val="00A43152"/>
    <w:rsid w:val="00A47E23"/>
    <w:rsid w:val="00A935CB"/>
    <w:rsid w:val="00B04B90"/>
    <w:rsid w:val="00B04D58"/>
    <w:rsid w:val="00B232C4"/>
    <w:rsid w:val="00B664E2"/>
    <w:rsid w:val="00B67C79"/>
    <w:rsid w:val="00B77651"/>
    <w:rsid w:val="00BA3D88"/>
    <w:rsid w:val="00BA75B2"/>
    <w:rsid w:val="00BC029F"/>
    <w:rsid w:val="00C1001D"/>
    <w:rsid w:val="00C16825"/>
    <w:rsid w:val="00C5026D"/>
    <w:rsid w:val="00CD1A25"/>
    <w:rsid w:val="00D54418"/>
    <w:rsid w:val="00D84C6C"/>
    <w:rsid w:val="00DD6408"/>
    <w:rsid w:val="00DE225E"/>
    <w:rsid w:val="00DF3E79"/>
    <w:rsid w:val="00E05C07"/>
    <w:rsid w:val="00EC2B27"/>
    <w:rsid w:val="00ED7C03"/>
    <w:rsid w:val="00EE0179"/>
    <w:rsid w:val="00F037D9"/>
    <w:rsid w:val="00F262BA"/>
    <w:rsid w:val="00F30E99"/>
    <w:rsid w:val="00F508F5"/>
    <w:rsid w:val="00F67878"/>
    <w:rsid w:val="00F901E2"/>
    <w:rsid w:val="00FA7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C2CC4"/>
  <w15:docId w15:val="{CB9C532E-CC73-487B-A3BA-A468E68C8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418"/>
    <w:pPr>
      <w:spacing w:after="40"/>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214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1440"/>
    <w:rPr>
      <w:rFonts w:ascii="Times New Roman" w:hAnsi="Times New Roman"/>
      <w:sz w:val="20"/>
      <w:szCs w:val="20"/>
    </w:rPr>
  </w:style>
  <w:style w:type="character" w:styleId="FootnoteReference">
    <w:name w:val="footnote reference"/>
    <w:basedOn w:val="DefaultParagraphFont"/>
    <w:uiPriority w:val="99"/>
    <w:semiHidden/>
    <w:unhideWhenUsed/>
    <w:rsid w:val="00721440"/>
    <w:rPr>
      <w:vertAlign w:val="superscript"/>
    </w:rPr>
  </w:style>
  <w:style w:type="paragraph" w:styleId="EndnoteText">
    <w:name w:val="endnote text"/>
    <w:basedOn w:val="Normal"/>
    <w:link w:val="EndnoteTextChar"/>
    <w:uiPriority w:val="99"/>
    <w:semiHidden/>
    <w:unhideWhenUsed/>
    <w:rsid w:val="0066057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60574"/>
    <w:rPr>
      <w:rFonts w:ascii="Times New Roman" w:hAnsi="Times New Roman"/>
      <w:sz w:val="20"/>
      <w:szCs w:val="20"/>
    </w:rPr>
  </w:style>
  <w:style w:type="character" w:styleId="EndnoteReference">
    <w:name w:val="endnote reference"/>
    <w:basedOn w:val="DefaultParagraphFont"/>
    <w:uiPriority w:val="99"/>
    <w:semiHidden/>
    <w:unhideWhenUsed/>
    <w:rsid w:val="0066057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831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09DC1F-5383-4503-AC05-7FF0C914B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Pages>
  <Words>2960</Words>
  <Characters>16873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Boyles</dc:creator>
  <cp:keywords/>
  <dc:description/>
  <cp:lastModifiedBy>Elizabeth Boyles</cp:lastModifiedBy>
  <cp:revision>4</cp:revision>
  <dcterms:created xsi:type="dcterms:W3CDTF">2024-03-20T19:33:00Z</dcterms:created>
  <dcterms:modified xsi:type="dcterms:W3CDTF">2024-03-20T19:53:00Z</dcterms:modified>
</cp:coreProperties>
</file>