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30A35" w14:textId="76670214" w:rsidR="00250232" w:rsidRPr="0033753A" w:rsidRDefault="00250232" w:rsidP="00332575">
      <w:pPr>
        <w:rPr>
          <w:rFonts w:cs="Arial"/>
          <w:sz w:val="40"/>
          <w:szCs w:val="40"/>
        </w:rPr>
      </w:pPr>
    </w:p>
    <w:p w14:paraId="696A7F1D" w14:textId="213867AB" w:rsidR="00566AC5" w:rsidRDefault="00332575" w:rsidP="0002391E">
      <w:pPr>
        <w:jc w:val="center"/>
        <w:rPr>
          <w:rFonts w:cs="Arial"/>
          <w:sz w:val="40"/>
          <w:szCs w:val="40"/>
        </w:rPr>
      </w:pPr>
      <w:r>
        <w:rPr>
          <w:rFonts w:cs="Arial"/>
          <w:sz w:val="40"/>
          <w:szCs w:val="40"/>
        </w:rPr>
        <w:t>A vision of change: sustainability in the hotel industry</w:t>
      </w:r>
    </w:p>
    <w:p w14:paraId="0E6CA3B1" w14:textId="18D2E1E3" w:rsidR="00332575" w:rsidRPr="0033753A" w:rsidRDefault="00332575" w:rsidP="0002391E">
      <w:pPr>
        <w:jc w:val="center"/>
        <w:rPr>
          <w:rFonts w:cs="Arial"/>
          <w:sz w:val="40"/>
          <w:szCs w:val="40"/>
        </w:rPr>
      </w:pPr>
      <w:r>
        <w:rPr>
          <w:rFonts w:cs="Arial"/>
          <w:sz w:val="40"/>
          <w:szCs w:val="40"/>
        </w:rPr>
        <w:t xml:space="preserve">  Md wahidur rahman</w:t>
      </w:r>
    </w:p>
    <w:p w14:paraId="26234834" w14:textId="3D1D6AE7" w:rsidR="00566AC5" w:rsidRPr="0033753A" w:rsidRDefault="00332575" w:rsidP="00566AC5">
      <w:pPr>
        <w:rPr>
          <w:rFonts w:cs="Arial"/>
          <w:sz w:val="40"/>
          <w:szCs w:val="40"/>
        </w:rPr>
      </w:pPr>
      <w:r>
        <w:rPr>
          <w:rFonts w:cs="Arial"/>
          <w:sz w:val="40"/>
          <w:szCs w:val="40"/>
        </w:rPr>
        <w:t xml:space="preserve">                                ST ID: 1908557</w:t>
      </w:r>
    </w:p>
    <w:p w14:paraId="5573B81F" w14:textId="78D06D40" w:rsidR="00250232" w:rsidRPr="0033753A" w:rsidRDefault="00250232" w:rsidP="00332575">
      <w:pPr>
        <w:jc w:val="center"/>
        <w:rPr>
          <w:rFonts w:cs="Arial"/>
          <w:sz w:val="40"/>
          <w:szCs w:val="40"/>
        </w:rPr>
      </w:pPr>
      <w:r w:rsidRPr="0033753A">
        <w:rPr>
          <w:rFonts w:cs="Arial"/>
          <w:sz w:val="40"/>
          <w:szCs w:val="40"/>
        </w:rPr>
        <w:t xml:space="preserve"> Sustainable Hospitality &amp; Tourism Management</w:t>
      </w:r>
    </w:p>
    <w:p w14:paraId="47CB6E4B" w14:textId="5F2D78B3" w:rsidR="00250232" w:rsidRPr="0033753A" w:rsidRDefault="00566AC5" w:rsidP="0002391E">
      <w:pPr>
        <w:jc w:val="center"/>
        <w:rPr>
          <w:rFonts w:cs="Arial"/>
          <w:sz w:val="40"/>
          <w:szCs w:val="40"/>
        </w:rPr>
      </w:pPr>
      <w:r w:rsidRPr="0033753A">
        <w:rPr>
          <w:rFonts w:cs="Arial"/>
          <w:sz w:val="40"/>
          <w:szCs w:val="40"/>
        </w:rPr>
        <w:t>M</w:t>
      </w:r>
      <w:r w:rsidR="00250232" w:rsidRPr="0033753A">
        <w:rPr>
          <w:rFonts w:cs="Arial"/>
          <w:sz w:val="40"/>
          <w:szCs w:val="40"/>
        </w:rPr>
        <w:t>odule code: BMIH5006</w:t>
      </w:r>
    </w:p>
    <w:p w14:paraId="2B49472A" w14:textId="77777777" w:rsidR="0033753A" w:rsidRDefault="00250232" w:rsidP="0033753A">
      <w:pPr>
        <w:jc w:val="center"/>
        <w:rPr>
          <w:rFonts w:cs="Arial"/>
          <w:sz w:val="40"/>
          <w:szCs w:val="40"/>
        </w:rPr>
      </w:pPr>
      <w:r w:rsidRPr="0033753A">
        <w:rPr>
          <w:rFonts w:cs="Arial"/>
          <w:sz w:val="40"/>
          <w:szCs w:val="40"/>
        </w:rPr>
        <w:t xml:space="preserve"> Lecturer</w:t>
      </w:r>
      <w:r w:rsidR="00566AC5" w:rsidRPr="0033753A">
        <w:rPr>
          <w:rFonts w:cs="Arial"/>
          <w:sz w:val="40"/>
          <w:szCs w:val="40"/>
        </w:rPr>
        <w:t xml:space="preserve">: </w:t>
      </w:r>
      <w:r w:rsidRPr="0033753A">
        <w:rPr>
          <w:rFonts w:cs="Arial"/>
          <w:sz w:val="40"/>
          <w:szCs w:val="40"/>
        </w:rPr>
        <w:t xml:space="preserve"> Ruth Taylor-Davie</w:t>
      </w:r>
      <w:r w:rsidR="0033753A">
        <w:rPr>
          <w:rFonts w:cs="Arial"/>
          <w:sz w:val="40"/>
          <w:szCs w:val="40"/>
        </w:rPr>
        <w:t>s</w:t>
      </w:r>
    </w:p>
    <w:p w14:paraId="06E7EB83" w14:textId="77777777" w:rsidR="007F77D8" w:rsidRDefault="007F77D8" w:rsidP="0033753A">
      <w:pPr>
        <w:jc w:val="center"/>
        <w:rPr>
          <w:rFonts w:cs="Arial"/>
          <w:sz w:val="40"/>
          <w:szCs w:val="40"/>
        </w:rPr>
      </w:pPr>
    </w:p>
    <w:p w14:paraId="518F6CE1" w14:textId="7A0A4763" w:rsidR="0033753A" w:rsidRDefault="00D0508D" w:rsidP="0033753A">
      <w:pPr>
        <w:jc w:val="center"/>
        <w:rPr>
          <w:rFonts w:cs="Arial"/>
          <w:sz w:val="40"/>
          <w:szCs w:val="40"/>
        </w:rPr>
      </w:pPr>
      <w:r>
        <w:rPr>
          <w:rFonts w:cs="Arial"/>
          <w:sz w:val="40"/>
          <w:szCs w:val="40"/>
        </w:rPr>
        <w:t xml:space="preserve"> </w:t>
      </w:r>
    </w:p>
    <w:p w14:paraId="7D36CD96" w14:textId="0E30FDC3" w:rsidR="00D0508D" w:rsidRPr="0033753A" w:rsidRDefault="00D0508D" w:rsidP="0033753A">
      <w:pPr>
        <w:jc w:val="center"/>
        <w:rPr>
          <w:rFonts w:cs="Arial"/>
          <w:sz w:val="40"/>
          <w:szCs w:val="40"/>
        </w:rPr>
      </w:pPr>
    </w:p>
    <w:p w14:paraId="3CC6390E" w14:textId="77777777" w:rsidR="007F77D8" w:rsidRDefault="001A4E45" w:rsidP="001A4E45">
      <w:pPr>
        <w:rPr>
          <w:rFonts w:cs="Arial"/>
          <w:szCs w:val="24"/>
        </w:rPr>
      </w:pPr>
      <w:r>
        <w:rPr>
          <w:rFonts w:cs="Arial"/>
          <w:szCs w:val="24"/>
        </w:rPr>
        <w:t xml:space="preserve">           </w:t>
      </w:r>
    </w:p>
    <w:p w14:paraId="583CBB46" w14:textId="5FF596DA" w:rsidR="0033753A" w:rsidRPr="007F77D8" w:rsidRDefault="001A4E45" w:rsidP="007F77D8">
      <w:pPr>
        <w:rPr>
          <w:rFonts w:eastAsiaTheme="majorEastAsia" w:cs="Arial"/>
          <w:sz w:val="40"/>
          <w:szCs w:val="40"/>
        </w:rPr>
      </w:pPr>
      <w:r w:rsidRPr="007F77D8">
        <w:rPr>
          <w:rFonts w:cs="Arial"/>
          <w:szCs w:val="24"/>
        </w:rPr>
        <w:t xml:space="preserve">  </w:t>
      </w:r>
    </w:p>
    <w:p w14:paraId="3EC61E91" w14:textId="77777777" w:rsidR="0033753A" w:rsidRDefault="0033753A" w:rsidP="0033753A">
      <w:pPr>
        <w:jc w:val="center"/>
        <w:rPr>
          <w:rFonts w:cs="Arial"/>
          <w:sz w:val="40"/>
          <w:szCs w:val="40"/>
        </w:rPr>
      </w:pPr>
    </w:p>
    <w:p w14:paraId="108047B5" w14:textId="2CE9534F" w:rsidR="00980218" w:rsidRPr="0002391E" w:rsidRDefault="00642B23" w:rsidP="0033753A">
      <w:pPr>
        <w:rPr>
          <w:rFonts w:eastAsiaTheme="majorEastAsia" w:cs="Arial"/>
          <w:b/>
          <w:bCs/>
          <w:szCs w:val="24"/>
        </w:rPr>
      </w:pPr>
      <w:r w:rsidRPr="0002391E">
        <w:rPr>
          <w:rFonts w:cs="Arial"/>
          <w:szCs w:val="24"/>
        </w:rPr>
        <w:br w:type="page"/>
      </w:r>
    </w:p>
    <w:p w14:paraId="25E1E38F" w14:textId="0077AAEA" w:rsidR="006B10AB" w:rsidRPr="0002391E" w:rsidRDefault="006B10AB" w:rsidP="0002391E">
      <w:pPr>
        <w:pStyle w:val="Heading1"/>
        <w:rPr>
          <w:rFonts w:cs="Arial"/>
          <w:color w:val="252525"/>
          <w:sz w:val="24"/>
          <w:szCs w:val="24"/>
        </w:rPr>
      </w:pPr>
      <w:bookmarkStart w:id="0" w:name="_Toc135902065"/>
      <w:r w:rsidRPr="0002391E">
        <w:rPr>
          <w:rFonts w:cs="Arial"/>
          <w:color w:val="252525"/>
          <w:sz w:val="24"/>
          <w:szCs w:val="24"/>
        </w:rPr>
        <w:lastRenderedPageBreak/>
        <w:t>Introduction</w:t>
      </w:r>
      <w:bookmarkEnd w:id="0"/>
    </w:p>
    <w:p w14:paraId="65E3B006" w14:textId="03945F64"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Sustainability is frequently seen as the secret to business success in the twenty-first century. Both the public and commercial sectors are increasingly placing a high focus on sustainability or social responsibility, and the hotel industry is no exception</w:t>
      </w:r>
      <w:r w:rsidR="00250232" w:rsidRPr="0002391E">
        <w:rPr>
          <w:rFonts w:ascii="Arial" w:hAnsi="Arial" w:cs="Arial"/>
          <w:color w:val="252525"/>
        </w:rPr>
        <w:t xml:space="preserve"> Walmsley, 2011)</w:t>
      </w:r>
      <w:r w:rsidRPr="0002391E">
        <w:rPr>
          <w:rFonts w:ascii="Arial" w:hAnsi="Arial" w:cs="Arial"/>
          <w:color w:val="252525"/>
        </w:rPr>
        <w:t>. Sustainability, put simply, is the ability of natural ecosystems to support life and provide resources for present and future generations</w:t>
      </w:r>
      <w:r w:rsidR="00250232" w:rsidRPr="0002391E">
        <w:rPr>
          <w:rFonts w:ascii="Arial" w:hAnsi="Arial" w:cs="Arial"/>
          <w:color w:val="252525"/>
        </w:rPr>
        <w:t xml:space="preserve">. </w:t>
      </w:r>
      <w:r w:rsidRPr="0002391E">
        <w:rPr>
          <w:rFonts w:ascii="Arial" w:hAnsi="Arial" w:cs="Arial"/>
          <w:color w:val="252525"/>
        </w:rPr>
        <w:t xml:space="preserve">It is obvious that the hotel sector puts more strain on the environment and makes more demands on natural </w:t>
      </w:r>
      <w:r w:rsidR="0002391E" w:rsidRPr="0002391E">
        <w:rPr>
          <w:rFonts w:ascii="Arial" w:hAnsi="Arial" w:cs="Arial"/>
          <w:color w:val="252525"/>
        </w:rPr>
        <w:t>resources (</w:t>
      </w:r>
      <w:r w:rsidR="0002391E" w:rsidRPr="0002391E">
        <w:rPr>
          <w:rFonts w:ascii="Arial" w:hAnsi="Arial" w:cs="Arial"/>
          <w:color w:val="222222"/>
          <w:shd w:val="clear" w:color="auto" w:fill="FFFFFF"/>
        </w:rPr>
        <w:t>Barber,et al, 2011)</w:t>
      </w:r>
      <w:r w:rsidRPr="0002391E">
        <w:rPr>
          <w:rFonts w:ascii="Arial" w:hAnsi="Arial" w:cs="Arial"/>
          <w:color w:val="252525"/>
        </w:rPr>
        <w:t>. However, the industry also depends on the same natural surroundings, including pristine scenery, sandy beaches, clear waters, glaciers, waterfalls, coral reefs, and clean air, all of which are popular tourist destinations. There is therefore a risk that we will undermine the fundamental tenets upon which hospitality is built</w:t>
      </w:r>
      <w:r w:rsidR="0002391E" w:rsidRPr="0002391E">
        <w:rPr>
          <w:rFonts w:ascii="Arial" w:hAnsi="Arial" w:cs="Arial"/>
          <w:color w:val="252525"/>
        </w:rPr>
        <w:t xml:space="preserve"> (</w:t>
      </w:r>
      <w:r w:rsidR="0002391E" w:rsidRPr="0002391E">
        <w:rPr>
          <w:rFonts w:ascii="Arial" w:hAnsi="Arial" w:cs="Arial"/>
        </w:rPr>
        <w:t>Jones</w:t>
      </w:r>
      <w:r w:rsidR="0002391E" w:rsidRPr="0002391E">
        <w:rPr>
          <w:rFonts w:ascii="Arial" w:hAnsi="Arial" w:cs="Arial"/>
          <w:color w:val="252525"/>
        </w:rPr>
        <w:t xml:space="preserve"> et al, 2014). </w:t>
      </w:r>
      <w:r w:rsidRPr="0002391E">
        <w:rPr>
          <w:rFonts w:ascii="Arial" w:hAnsi="Arial" w:cs="Arial"/>
          <w:color w:val="252525"/>
        </w:rPr>
        <w:t>Therefore, the hotel industry is not immune to this trend, and in the twenty-first century, sustainability has become one of the most important concerns for hotels worldwide. A crucial aspect is the perception that the hotel industry causes significant environmental damage. This is since hotels generate a substantial quantity of carbon dioxide and debris. In addition, the hotel industry contributes to climate change by consuming a great deal of water and electricity. Given the foregoing, hotel management must establish long-term sustainable practises to limit waste production and environmental harm (Yusoff et al., 2018). This essay will shed light on how to conduct a comprehensive assessment of the hospitality industry's relationship with sustainability. Utilising circular economy and corporate social responsibility (CSR) strategies, the hotel industry has addressed these issues and provided effective solutions throughout.</w:t>
      </w:r>
    </w:p>
    <w:p w14:paraId="6AE4D688" w14:textId="77777777" w:rsidR="006B10AB" w:rsidRPr="0002391E" w:rsidRDefault="006B10AB" w:rsidP="0002391E">
      <w:pPr>
        <w:pStyle w:val="Heading1"/>
        <w:rPr>
          <w:rFonts w:cs="Arial"/>
          <w:color w:val="252525"/>
          <w:sz w:val="24"/>
          <w:szCs w:val="24"/>
        </w:rPr>
      </w:pPr>
      <w:bookmarkStart w:id="1" w:name="_Toc135902066"/>
      <w:r w:rsidRPr="0002391E">
        <w:rPr>
          <w:rFonts w:cs="Arial"/>
          <w:color w:val="252525"/>
          <w:sz w:val="24"/>
          <w:szCs w:val="24"/>
        </w:rPr>
        <w:t>Study Insights</w:t>
      </w:r>
      <w:bookmarkEnd w:id="1"/>
    </w:p>
    <w:p w14:paraId="6806FF03" w14:textId="77777777" w:rsidR="006B10AB" w:rsidRPr="0002391E" w:rsidRDefault="006B10AB" w:rsidP="0002391E">
      <w:pPr>
        <w:pStyle w:val="Heading1"/>
        <w:rPr>
          <w:rFonts w:cs="Arial"/>
          <w:color w:val="252525"/>
          <w:sz w:val="24"/>
          <w:szCs w:val="24"/>
        </w:rPr>
      </w:pPr>
      <w:bookmarkStart w:id="2" w:name="_Toc135902067"/>
      <w:r w:rsidRPr="0002391E">
        <w:rPr>
          <w:rFonts w:cs="Arial"/>
          <w:color w:val="252525"/>
          <w:sz w:val="24"/>
          <w:szCs w:val="24"/>
        </w:rPr>
        <w:t>Explanation of sustainability, its roots, and its connection with the hotel industry</w:t>
      </w:r>
      <w:bookmarkEnd w:id="2"/>
    </w:p>
    <w:p w14:paraId="6F720D99" w14:textId="6EAD01DC"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Sustainability, which emphasises the need for all businesses to operate ethically, is essential for preserving ecological balance in order to save nature and the environment. </w:t>
      </w:r>
      <w:r w:rsidRPr="0002391E">
        <w:rPr>
          <w:rFonts w:ascii="Arial" w:hAnsi="Arial" w:cs="Arial"/>
          <w:color w:val="252525"/>
        </w:rPr>
        <w:lastRenderedPageBreak/>
        <w:t xml:space="preserve">Developing effective strategies for protecting natural resources, especially the environment, to promote global progress and prosperity is necessary. Most sustainable initiatives are founded on three pillars: economic viability, environmental sustainability, and social equality. (Chan &amp; Hsu, 2016) An indicator of a company's economic viability is the degree to which it contributes to overall economic growth and development. In keeping with this train of thought, to benefit their economies, governments should encourage product recycling and the use of renewable energy sources. Environmental protection, on the other hand, necessitates that this method </w:t>
      </w:r>
      <w:r w:rsidR="00250232" w:rsidRPr="0002391E">
        <w:rPr>
          <w:rFonts w:ascii="Arial" w:hAnsi="Arial" w:cs="Arial"/>
          <w:color w:val="252525"/>
        </w:rPr>
        <w:t>eliminates</w:t>
      </w:r>
      <w:r w:rsidRPr="0002391E">
        <w:rPr>
          <w:rFonts w:ascii="Arial" w:hAnsi="Arial" w:cs="Arial"/>
          <w:color w:val="252525"/>
        </w:rPr>
        <w:t xml:space="preserve"> all environmental problems and hazards. As a result, it is imperative to conserve natural resources for energy and agriculture, reduce carbon emissions, end water scarcity, and reduce waste immediately. Social justice also implies that businesses can benefit their stakeholders by pursuing sustainability (Molina-Azorn et al., 2015). When the nuances of how each relates to hotels are investigated, it becomes evident that each sustainability concept is crucial to the growth and profitability of the hotel industry. As a matter of environmental stewardship, hotels should substitute single-use items with substantive, reusable alternatives. Additionally, they have access to an array of environmentally beneficial packaging, chemicals, and hygiene supplies, all of which significantly reduce their environmental impact. Most of the time, they should prioritise the use of renewable energy and adhere to ISO 50001 guidelines when designing energy efficiency, energy performance, energy consumption reduction, and corporate economic growth strategies (Yusoff et al., 2018). Prioritising all involved parties and enhancing collaboration and communication are crucial.</w:t>
      </w:r>
    </w:p>
    <w:p w14:paraId="05809BEC" w14:textId="77777777" w:rsidR="006B10AB" w:rsidRPr="0002391E" w:rsidRDefault="006B10AB" w:rsidP="0002391E">
      <w:pPr>
        <w:pStyle w:val="Heading2"/>
        <w:rPr>
          <w:rFonts w:cs="Arial"/>
          <w:color w:val="252525"/>
          <w:sz w:val="24"/>
          <w:szCs w:val="24"/>
        </w:rPr>
      </w:pPr>
      <w:bookmarkStart w:id="3" w:name="_Toc135902068"/>
      <w:r w:rsidRPr="0002391E">
        <w:rPr>
          <w:rFonts w:cs="Arial"/>
          <w:color w:val="252525"/>
          <w:sz w:val="24"/>
          <w:szCs w:val="24"/>
        </w:rPr>
        <w:t>Critical Analysis of the Business Concerns of the Hoteliers</w:t>
      </w:r>
      <w:bookmarkEnd w:id="3"/>
    </w:p>
    <w:p w14:paraId="31EA7198" w14:textId="1F5BDDBE"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The hotel industry has begun to recognise the value and relevance of sustainability plans built on the three pillars of economically viable operations, social equity, and environmental preservation. This is like the recognition that firms in other sectors have begun to make. Hotels should proceed with caution while adhering to these guidelines to make the most of the positive influence they have on the surrounding community and environment (Jones et al., 2016). As a result of the presence of a number of possible problem areas along this route, hotel owners are required to employ a range of </w:t>
      </w:r>
      <w:r w:rsidRPr="0002391E">
        <w:rPr>
          <w:rFonts w:ascii="Arial" w:hAnsi="Arial" w:cs="Arial"/>
          <w:color w:val="252525"/>
        </w:rPr>
        <w:lastRenderedPageBreak/>
        <w:t>environmentally friendly practises (Asadi et al., 2020). The intervention of the government and the demands of competition are two examples.</w:t>
      </w:r>
    </w:p>
    <w:p w14:paraId="0A14AB4A" w14:textId="77777777" w:rsidR="006B10AB" w:rsidRPr="0002391E" w:rsidRDefault="006B10AB" w:rsidP="0002391E">
      <w:pPr>
        <w:pStyle w:val="Heading2"/>
        <w:rPr>
          <w:rFonts w:cs="Arial"/>
          <w:color w:val="252525"/>
          <w:sz w:val="24"/>
          <w:szCs w:val="24"/>
        </w:rPr>
      </w:pPr>
      <w:bookmarkStart w:id="4" w:name="_Toc135902069"/>
      <w:r w:rsidRPr="0002391E">
        <w:rPr>
          <w:rFonts w:cs="Arial"/>
          <w:color w:val="252525"/>
          <w:sz w:val="24"/>
          <w:szCs w:val="24"/>
        </w:rPr>
        <w:t>Pressure from Regulatory Bodies</w:t>
      </w:r>
      <w:bookmarkEnd w:id="4"/>
    </w:p>
    <w:p w14:paraId="42F788EB" w14:textId="77777777"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To ensure the long-term viability of their operations, governments in all nations routinely issue directives mandating the implementation of a variety of policies for enterprises. The hotel industry emits substantially more carbon dioxide than other sectors. (Gunarathne &amp; Lee, 2015) As a consequence, the government imposes strict regulations on the hotel industry. In Australia, for instance, all hotels are required to reduce their carbon emissions by 66% by 2030 and by 90% by 2050. In Australia, environmental law violations are punishable by hefty penalties. The Environmental Offences and Penalties Act of 1989 was enacted to prevent the accumulation of all types of pollution. According to the law, improper waste disposal, leakage, and accidents are significant sources of environmental damage. If a person disposes of waste without the appropriate authorizations and their actions negatively impact the environment, or if they aid another person in doing so, they may face legal consequences. In addition, anyone in possession of the spilled chemical and the proprietor of the property where the seeping containers were discovered are liable under this law. Each of the above offences carries a maximum fine of one million Australian dollars ($1,000,000). Additional violations may result in up to seven years in prison or a $150,000 Australian fine. Environmental protection is of great importance to the British administration. Environment Agency Enforcement is the federal agency responsible for enforcing environmental regulations and legislation (Gunarathne &amp; Lee, 2015). </w:t>
      </w:r>
    </w:p>
    <w:p w14:paraId="3C95FBB2" w14:textId="3E56EB8B"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Here </w:t>
      </w:r>
      <w:r w:rsidR="00250232" w:rsidRPr="0002391E">
        <w:rPr>
          <w:rFonts w:ascii="Arial" w:hAnsi="Arial" w:cs="Arial"/>
          <w:color w:val="252525"/>
        </w:rPr>
        <w:t>it can</w:t>
      </w:r>
      <w:r w:rsidRPr="0002391E">
        <w:rPr>
          <w:rFonts w:ascii="Arial" w:hAnsi="Arial" w:cs="Arial"/>
          <w:color w:val="252525"/>
        </w:rPr>
        <w:t xml:space="preserve"> find numerous other laws, such as the mercury civil penalty act and the regulatory enforcement and sanctions act of 2008. Everyone in our nation must adhere to all environmental regulations. The Magistrate's Court regards violations of environmental law as criminal offences and sanctions offenders. Possible penalties include fines between £20,000 and £50,000 and up to six months in jail. In addition, the Crown Court has the authority to sentence offenders to an indefinite fine or two years in </w:t>
      </w:r>
      <w:r w:rsidRPr="0002391E">
        <w:rPr>
          <w:rFonts w:ascii="Arial" w:hAnsi="Arial" w:cs="Arial"/>
          <w:color w:val="252525"/>
        </w:rPr>
        <w:lastRenderedPageBreak/>
        <w:t xml:space="preserve">prison. However, there are also civil repercussions. These numbers demonstrate the significance of environmental preservation and protection for </w:t>
      </w:r>
      <w:r w:rsidR="00250232" w:rsidRPr="0002391E">
        <w:rPr>
          <w:rFonts w:ascii="Arial" w:hAnsi="Arial" w:cs="Arial"/>
          <w:color w:val="252525"/>
        </w:rPr>
        <w:t>most</w:t>
      </w:r>
      <w:r w:rsidRPr="0002391E">
        <w:rPr>
          <w:rFonts w:ascii="Arial" w:hAnsi="Arial" w:cs="Arial"/>
          <w:color w:val="252525"/>
        </w:rPr>
        <w:t xml:space="preserve"> nations. </w:t>
      </w:r>
      <w:r w:rsidR="00250232" w:rsidRPr="0002391E">
        <w:rPr>
          <w:rFonts w:ascii="Arial" w:hAnsi="Arial" w:cs="Arial"/>
          <w:color w:val="252525"/>
        </w:rPr>
        <w:t>Most</w:t>
      </w:r>
      <w:r w:rsidRPr="0002391E">
        <w:rPr>
          <w:rFonts w:ascii="Arial" w:hAnsi="Arial" w:cs="Arial"/>
          <w:color w:val="252525"/>
        </w:rPr>
        <w:t xml:space="preserve"> hotels in the United Kingdom have been determined to be in compliance with the law (Gunarathne &amp; Lee, 2015). A few prestigious hotels in the United Kingdom have been recognised for their commitment to environmental preservation. The Aloft Excel Hotel, the London Marriott Hotel County Hall, and the London Marriott Hotel Regent's Park are three hotels in London. Therefore, Keep Britain Tidy.org has issued green keys to each of these hotels until 2023. According to this metric, the government's efforts were successful, as the pressure placed on British hotels to comply with the law resulted in their compliance.</w:t>
      </w:r>
    </w:p>
    <w:p w14:paraId="60E5C264" w14:textId="77777777" w:rsidR="006B10AB" w:rsidRPr="0002391E" w:rsidRDefault="006B10AB" w:rsidP="0002391E">
      <w:pPr>
        <w:pStyle w:val="Heading2"/>
        <w:rPr>
          <w:rFonts w:cs="Arial"/>
          <w:color w:val="252525"/>
          <w:sz w:val="24"/>
          <w:szCs w:val="24"/>
        </w:rPr>
      </w:pPr>
      <w:bookmarkStart w:id="5" w:name="_Toc135902070"/>
      <w:r w:rsidRPr="0002391E">
        <w:rPr>
          <w:rFonts w:cs="Arial"/>
          <w:color w:val="252525"/>
          <w:sz w:val="24"/>
          <w:szCs w:val="24"/>
        </w:rPr>
        <w:t>The actions of the competitors</w:t>
      </w:r>
      <w:bookmarkEnd w:id="5"/>
    </w:p>
    <w:p w14:paraId="55143B93" w14:textId="77777777" w:rsidR="00250232"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All of the hotels in the United Kingdom have, in response to pressure from the government, undertaken major steps to adhere to environmental requirements. In this light, it is acceptable to indicate that the Hilton can function as a template for other establishments. At this point in time, the administration of the hotel has made an effort to pave the way towards net zero. By the year 2030, a 15-degree Celsius reduction in portfolio emissions will have been achieved. They have also committed to lowering the total emissions produced by its franchised portfolio by 2 degrees Celsius by the year 2030 (Fraj et al., 2015). In addition to that, by the year 2030, they want to cut their water use in half. They anticipate that by the year 2030, fifty percent of their garbage will have been recycled or composted. Another choice that has made eco-friendly improvements is the London Heathrow Marriott Hotel, which can be found in the United Kingdom. </w:t>
      </w:r>
    </w:p>
    <w:p w14:paraId="695F514A" w14:textId="3B9EC5BA"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All of these pursuits are associated with environmental responsibility in some form or another. These programmes are concentrating their efforts on the community, trash, water, and energy sectors. A hybrid turbine and solar power system will be built on the roof of the hotel, and that system will provide electricity to the LED sign for the Marriott. They have made the decision to supply a variety of locally grown vegetables for the erection of conservatories on the hotel's rooftop. This will be advantageous to the hotel's shuttle service. They were carrying the Triad's strategy with them at the time. </w:t>
      </w:r>
      <w:r w:rsidRPr="0002391E">
        <w:rPr>
          <w:rFonts w:ascii="Arial" w:hAnsi="Arial" w:cs="Arial"/>
          <w:color w:val="252525"/>
        </w:rPr>
        <w:lastRenderedPageBreak/>
        <w:t xml:space="preserve">They have taken the initiative to cut down on energy use by shutting off all of the hotel's unneeded lighting every day between the hours of 3:30 and 6:30. For the purpose of assisting with water conservation, an advanced water metre has been fitted. The water use in the kitchen as well as any other leisure areas may be measured by this metre (Fraj et al., 2015). In addition to several other advancements, a brand-new water purification system was recently implemented, and on-site water filtering equipment was also designed and developed. Paper waste has been cut down, all toners have been recycled, and new recyclable food service items have been deployed as part of the hotel's attempts to control its waste. Both hotels are in competition with one another because of their popularity among tourists that visit London. Because of this, it is abundantly clear that </w:t>
      </w:r>
      <w:r w:rsidR="00250232" w:rsidRPr="0002391E">
        <w:rPr>
          <w:rFonts w:ascii="Arial" w:hAnsi="Arial" w:cs="Arial"/>
          <w:color w:val="252525"/>
        </w:rPr>
        <w:t>both</w:t>
      </w:r>
      <w:r w:rsidRPr="0002391E">
        <w:rPr>
          <w:rFonts w:ascii="Arial" w:hAnsi="Arial" w:cs="Arial"/>
          <w:color w:val="252525"/>
        </w:rPr>
        <w:t xml:space="preserve"> have taken part in a wide variety of activities that are concerned with environmental preservation. The executive management of Hilton Hotels has come up with a CSR strategy that places an emphasis on the improvement of the environment. They have a range of goals that they want to accomplish by the year 2030, including cutting down on carbon intensity, building cross-sectoral networks, and taking the lead on addressing climate change. They have made an effort to encourage the circular economy by offering recycled detergent and reducing the use of plastics that are only intended for one-time use within the hotel. However, the management of the London Marriott Hotel introduced the service 360 strategy as part of its corporate social responsibility (CSR) activities, with the goal of empowering people and safeguarding natural resources such as coral reefs and rainforests.</w:t>
      </w:r>
    </w:p>
    <w:p w14:paraId="0D0F7200" w14:textId="5637F42A"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The CSR plan developed by Hilton Hotels' upper management places a premium on ecological progress (Serra-Cantallops et al., 2017). They plan to take the lead on climate change and accomplish several goals by the year 2030, including cutting down on carbon intensity and building cross-sectoral networks.They've tried to support the circular economy by stocking the hotel with recycled laundry detergent and restricting the use of single-use plastics. But the London Marriott Hotel's management adopted the service 360 strategy as part of its CSR endeavours to help people and preserve natural resources like coral reefs and rainforests (Serra-Cantallops et al., 2017). It's clear that </w:t>
      </w:r>
      <w:r w:rsidRPr="0002391E">
        <w:rPr>
          <w:rFonts w:ascii="Arial" w:hAnsi="Arial" w:cs="Arial"/>
          <w:color w:val="252525"/>
        </w:rPr>
        <w:lastRenderedPageBreak/>
        <w:t>both competitors have made CSR commitments to sustainability and the circular economy.</w:t>
      </w:r>
    </w:p>
    <w:p w14:paraId="2495177C" w14:textId="77777777" w:rsidR="006B10AB" w:rsidRPr="0002391E" w:rsidRDefault="006B10AB" w:rsidP="0002391E">
      <w:pPr>
        <w:pStyle w:val="Heading1"/>
        <w:rPr>
          <w:rFonts w:cs="Arial"/>
          <w:color w:val="252525"/>
          <w:sz w:val="24"/>
          <w:szCs w:val="24"/>
        </w:rPr>
      </w:pPr>
      <w:bookmarkStart w:id="6" w:name="_Toc135902071"/>
      <w:r w:rsidRPr="0002391E">
        <w:rPr>
          <w:rFonts w:cs="Arial"/>
          <w:color w:val="252525"/>
          <w:sz w:val="24"/>
          <w:szCs w:val="24"/>
        </w:rPr>
        <w:t>Conclusion</w:t>
      </w:r>
      <w:bookmarkEnd w:id="6"/>
    </w:p>
    <w:p w14:paraId="2182DAF0" w14:textId="44539928"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The hospitality business must adopt sustainable practises to reduce waste and protect the environment to remain competitive in the long run. Economic viability, environmental sustainability, and social equity are the three cornerstones around which sustainable ventures are built. The use of disposable items in hotels should be phased out in favour of reusable ones. When developing strategies for energy efficiency, energy performance, reduced energy consumption, and corporate economic growth, hotels should give top priority to renewable energy and ISO 50001 criteria. Governments implement stringent rules, and those who break environmental laws face severe consequences. The British government places a high value on environmental protection, and most hotels there have been found to be in accordance with the law. Major efforts have been made by competitors to meet environmental standards, including lowering emissions from their portfolios, decreasing water consumption, and recycling and composting waste. Both the Hilton Hotels and the London Marriott Hotel have been actively engaged in a wide range of eco-friendly initiatives, from the construction of hybrid turbines to the provision of locally grown vegetables to the installation of water purification systems and the reduction of paper waste. Sustainability is based on three pillars: economic viability, environmental sustainability, and social equality, and it is crucial for maintaining ecological balance and protecting natural resources. Hotels can have a significant positive impact on the environment by adopting </w:t>
      </w:r>
      <w:r w:rsidR="00250232" w:rsidRPr="0002391E">
        <w:rPr>
          <w:rFonts w:ascii="Arial" w:hAnsi="Arial" w:cs="Arial"/>
          <w:color w:val="252525"/>
        </w:rPr>
        <w:t>several</w:t>
      </w:r>
      <w:r w:rsidRPr="0002391E">
        <w:rPr>
          <w:rFonts w:ascii="Arial" w:hAnsi="Arial" w:cs="Arial"/>
          <w:color w:val="252525"/>
        </w:rPr>
        <w:t xml:space="preserve"> eco-friendly practises, which are encouraged by both the government and the market.</w:t>
      </w:r>
    </w:p>
    <w:p w14:paraId="6E1246B3" w14:textId="77777777" w:rsidR="00C23B01" w:rsidRPr="0002391E" w:rsidRDefault="00C23B01" w:rsidP="0002391E">
      <w:pPr>
        <w:pStyle w:val="NormalWeb"/>
        <w:spacing w:line="360" w:lineRule="auto"/>
        <w:rPr>
          <w:rFonts w:ascii="Arial" w:hAnsi="Arial" w:cs="Arial"/>
          <w:b/>
          <w:bCs/>
        </w:rPr>
      </w:pPr>
    </w:p>
    <w:p w14:paraId="3FCDA15F" w14:textId="446EE9F5" w:rsidR="00642B23" w:rsidRPr="0002391E" w:rsidRDefault="00642B23" w:rsidP="0002391E">
      <w:pPr>
        <w:pStyle w:val="NormalWeb"/>
        <w:spacing w:line="360" w:lineRule="auto"/>
        <w:rPr>
          <w:rFonts w:ascii="Arial" w:hAnsi="Arial" w:cs="Arial"/>
          <w:b/>
          <w:bCs/>
          <w:color w:val="252525"/>
        </w:rPr>
      </w:pPr>
      <w:r w:rsidRPr="0002391E">
        <w:rPr>
          <w:rFonts w:ascii="Arial" w:hAnsi="Arial" w:cs="Arial"/>
          <w:b/>
          <w:bCs/>
        </w:rPr>
        <w:t>References</w:t>
      </w:r>
    </w:p>
    <w:p w14:paraId="458DA689" w14:textId="77777777" w:rsidR="00C23B01" w:rsidRPr="0002391E" w:rsidRDefault="00C23B01" w:rsidP="0002391E">
      <w:pPr>
        <w:rPr>
          <w:rFonts w:cs="Arial"/>
          <w:szCs w:val="24"/>
        </w:rPr>
      </w:pPr>
    </w:p>
    <w:p w14:paraId="663AAC62" w14:textId="77777777" w:rsidR="00C23B01" w:rsidRPr="0002391E" w:rsidRDefault="00C23B01" w:rsidP="0002391E">
      <w:pPr>
        <w:pStyle w:val="ListParagraph"/>
        <w:numPr>
          <w:ilvl w:val="0"/>
          <w:numId w:val="1"/>
        </w:numPr>
        <w:rPr>
          <w:rFonts w:cs="Arial"/>
          <w:szCs w:val="24"/>
        </w:rPr>
      </w:pPr>
      <w:r w:rsidRPr="0002391E">
        <w:rPr>
          <w:rFonts w:cs="Arial"/>
          <w:szCs w:val="24"/>
        </w:rPr>
        <w:lastRenderedPageBreak/>
        <w:t xml:space="preserve">Asadi, S. et al. (2020) ‘Investigating influence of Green Innovation on Sustainability Performance: A case on Malaysian Hotel Industry’, Journal of Cleaner Production, 258, p. 120860. doi: 10.1016/j.jclepro.2020.120860. </w:t>
      </w:r>
    </w:p>
    <w:p w14:paraId="29B1E118" w14:textId="25832372" w:rsidR="0002391E" w:rsidRPr="0002391E" w:rsidRDefault="0002391E" w:rsidP="0002391E">
      <w:pPr>
        <w:pStyle w:val="ListParagraph"/>
        <w:numPr>
          <w:ilvl w:val="0"/>
          <w:numId w:val="1"/>
        </w:numPr>
        <w:rPr>
          <w:rFonts w:cs="Arial"/>
          <w:szCs w:val="24"/>
        </w:rPr>
      </w:pPr>
      <w:r w:rsidRPr="0002391E">
        <w:rPr>
          <w:rFonts w:cs="Arial"/>
          <w:color w:val="222222"/>
          <w:szCs w:val="24"/>
          <w:shd w:val="clear" w:color="auto" w:fill="FFFFFF"/>
        </w:rPr>
        <w:t>Barber, N., Deale, C. and Goodman, R., 2011. Environmental sustainability in the hospitality management curriculum: Perspectives from three groups of stakeholders. </w:t>
      </w:r>
      <w:r w:rsidRPr="0002391E">
        <w:rPr>
          <w:rFonts w:cs="Arial"/>
          <w:i/>
          <w:iCs/>
          <w:color w:val="222222"/>
          <w:szCs w:val="24"/>
          <w:shd w:val="clear" w:color="auto" w:fill="FFFFFF"/>
        </w:rPr>
        <w:t>Journal of Hospitality &amp; Tourism Education</w:t>
      </w:r>
      <w:r w:rsidRPr="0002391E">
        <w:rPr>
          <w:rFonts w:cs="Arial"/>
          <w:color w:val="222222"/>
          <w:szCs w:val="24"/>
          <w:shd w:val="clear" w:color="auto" w:fill="FFFFFF"/>
        </w:rPr>
        <w:t>, </w:t>
      </w:r>
      <w:r w:rsidRPr="0002391E">
        <w:rPr>
          <w:rFonts w:cs="Arial"/>
          <w:i/>
          <w:iCs/>
          <w:color w:val="222222"/>
          <w:szCs w:val="24"/>
          <w:shd w:val="clear" w:color="auto" w:fill="FFFFFF"/>
        </w:rPr>
        <w:t>23</w:t>
      </w:r>
      <w:r w:rsidRPr="0002391E">
        <w:rPr>
          <w:rFonts w:cs="Arial"/>
          <w:color w:val="222222"/>
          <w:szCs w:val="24"/>
          <w:shd w:val="clear" w:color="auto" w:fill="FFFFFF"/>
        </w:rPr>
        <w:t>(1), pp.6-17.</w:t>
      </w:r>
    </w:p>
    <w:p w14:paraId="73F42AE7" w14:textId="77777777" w:rsidR="00C23B01" w:rsidRPr="0002391E" w:rsidRDefault="00C23B01" w:rsidP="0002391E">
      <w:pPr>
        <w:pStyle w:val="ListParagraph"/>
        <w:numPr>
          <w:ilvl w:val="0"/>
          <w:numId w:val="1"/>
        </w:numPr>
        <w:rPr>
          <w:rFonts w:cs="Arial"/>
          <w:szCs w:val="24"/>
        </w:rPr>
      </w:pPr>
      <w:r w:rsidRPr="0002391E">
        <w:rPr>
          <w:rFonts w:cs="Arial"/>
          <w:szCs w:val="24"/>
        </w:rPr>
        <w:t xml:space="preserve">Chan, E.S.W. and Hsu, C.H.C. (2016) ‘Environmental Management Research in hospitality’, International Journal of Contemporary Hospitality Management, 28(5), pp. 886–923. doi:10.1108/ijchm-02-2015-0076. </w:t>
      </w:r>
    </w:p>
    <w:p w14:paraId="45397EBB" w14:textId="24FC8A18" w:rsidR="00C23B01" w:rsidRPr="0002391E" w:rsidRDefault="00C23B01" w:rsidP="0002391E">
      <w:pPr>
        <w:pStyle w:val="ListParagraph"/>
        <w:numPr>
          <w:ilvl w:val="0"/>
          <w:numId w:val="1"/>
        </w:numPr>
        <w:rPr>
          <w:rFonts w:cs="Arial"/>
          <w:szCs w:val="24"/>
        </w:rPr>
      </w:pPr>
      <w:r w:rsidRPr="0002391E">
        <w:rPr>
          <w:rFonts w:cs="Arial"/>
          <w:color w:val="222222"/>
          <w:szCs w:val="24"/>
          <w:shd w:val="clear" w:color="auto" w:fill="FFFFFF"/>
        </w:rPr>
        <w:t>Chung, K.C., 2020. Green marketing orientation: Achieving sustainable development in green hotel management. </w:t>
      </w:r>
      <w:r w:rsidRPr="0002391E">
        <w:rPr>
          <w:rFonts w:cs="Arial"/>
          <w:i/>
          <w:iCs/>
          <w:color w:val="222222"/>
          <w:szCs w:val="24"/>
          <w:shd w:val="clear" w:color="auto" w:fill="FFFFFF"/>
        </w:rPr>
        <w:t>Journal of Hospitality Marketing &amp; Management</w:t>
      </w:r>
      <w:r w:rsidRPr="0002391E">
        <w:rPr>
          <w:rFonts w:cs="Arial"/>
          <w:color w:val="222222"/>
          <w:szCs w:val="24"/>
          <w:shd w:val="clear" w:color="auto" w:fill="FFFFFF"/>
        </w:rPr>
        <w:t>, </w:t>
      </w:r>
      <w:r w:rsidRPr="0002391E">
        <w:rPr>
          <w:rFonts w:cs="Arial"/>
          <w:i/>
          <w:iCs/>
          <w:color w:val="222222"/>
          <w:szCs w:val="24"/>
          <w:shd w:val="clear" w:color="auto" w:fill="FFFFFF"/>
        </w:rPr>
        <w:t>29</w:t>
      </w:r>
      <w:r w:rsidRPr="0002391E">
        <w:rPr>
          <w:rFonts w:cs="Arial"/>
          <w:color w:val="222222"/>
          <w:szCs w:val="24"/>
          <w:shd w:val="clear" w:color="auto" w:fill="FFFFFF"/>
        </w:rPr>
        <w:t>(6), pp.722-738.</w:t>
      </w:r>
    </w:p>
    <w:p w14:paraId="2AABB249" w14:textId="046F8477" w:rsidR="00C23B01" w:rsidRPr="0002391E" w:rsidRDefault="00C23B01" w:rsidP="0002391E">
      <w:pPr>
        <w:pStyle w:val="ListParagraph"/>
        <w:numPr>
          <w:ilvl w:val="0"/>
          <w:numId w:val="1"/>
        </w:numPr>
        <w:rPr>
          <w:rFonts w:cs="Arial"/>
          <w:szCs w:val="24"/>
        </w:rPr>
      </w:pPr>
      <w:r w:rsidRPr="0002391E">
        <w:rPr>
          <w:rFonts w:cs="Arial"/>
          <w:szCs w:val="24"/>
        </w:rPr>
        <w:t xml:space="preserve">Fraj, E., Matute, J. and Melero, I. (2015) ‘Environmental strategies and organizational competitiveness in the hotel industry: The role of learning and innovation as determinants of environmental success’, Tourism Management, 46, pp. 30–42. doi: 10.1016/j.tourman.2014.05.009. </w:t>
      </w:r>
    </w:p>
    <w:p w14:paraId="17E36C32" w14:textId="77777777" w:rsidR="00C23B01" w:rsidRPr="0002391E" w:rsidRDefault="00C23B01" w:rsidP="0002391E">
      <w:pPr>
        <w:pStyle w:val="ListParagraph"/>
        <w:numPr>
          <w:ilvl w:val="0"/>
          <w:numId w:val="1"/>
        </w:numPr>
        <w:rPr>
          <w:rFonts w:cs="Arial"/>
          <w:szCs w:val="24"/>
        </w:rPr>
      </w:pPr>
      <w:r w:rsidRPr="0002391E">
        <w:rPr>
          <w:rFonts w:cs="Arial"/>
          <w:szCs w:val="24"/>
        </w:rPr>
        <w:t>gov.uk. 2023. Environment agency enforcement and sanctions policy, GOV.UK.Available at: https://www.gov.uk/government/publications/environment-agency-</w:t>
      </w:r>
    </w:p>
    <w:p w14:paraId="0ABA6D32" w14:textId="77777777" w:rsidR="00C23B01" w:rsidRPr="0002391E" w:rsidRDefault="00C23B01" w:rsidP="0002391E">
      <w:pPr>
        <w:pStyle w:val="ListParagraph"/>
        <w:numPr>
          <w:ilvl w:val="0"/>
          <w:numId w:val="1"/>
        </w:numPr>
        <w:rPr>
          <w:rFonts w:cs="Arial"/>
          <w:szCs w:val="24"/>
        </w:rPr>
      </w:pPr>
      <w:r w:rsidRPr="0002391E">
        <w:rPr>
          <w:rFonts w:cs="Arial"/>
          <w:szCs w:val="24"/>
        </w:rPr>
        <w:t xml:space="preserve">Gunarathne, N. and Lee, K.-H. (2015) ‘Environmental Management Accounting (EMA) for Environmental Management and organizational change’, Journal of Accounting &amp;amp; Organizational Change, 11(3), pp. 362–383. doi:10.1108/jaoc-10-2013-0078. </w:t>
      </w:r>
    </w:p>
    <w:p w14:paraId="2BDB9E97" w14:textId="4ECF89F5" w:rsidR="00C23B01" w:rsidRPr="0002391E" w:rsidRDefault="00C23B01" w:rsidP="0002391E">
      <w:pPr>
        <w:pStyle w:val="ListParagraph"/>
        <w:numPr>
          <w:ilvl w:val="0"/>
          <w:numId w:val="1"/>
        </w:numPr>
        <w:rPr>
          <w:rFonts w:cs="Arial"/>
          <w:szCs w:val="24"/>
        </w:rPr>
      </w:pPr>
      <w:r w:rsidRPr="0002391E">
        <w:rPr>
          <w:rFonts w:cs="Arial"/>
          <w:szCs w:val="24"/>
        </w:rPr>
        <w:t>Jones, P., Hillier, D. and Comfort, D. (201</w:t>
      </w:r>
      <w:r w:rsidR="0002391E" w:rsidRPr="0002391E">
        <w:rPr>
          <w:rFonts w:cs="Arial"/>
          <w:szCs w:val="24"/>
        </w:rPr>
        <w:t>4</w:t>
      </w:r>
      <w:r w:rsidRPr="0002391E">
        <w:rPr>
          <w:rFonts w:cs="Arial"/>
          <w:szCs w:val="24"/>
        </w:rPr>
        <w:t xml:space="preserve">) ‘Sustainability in the hospitality industry’, International Journal of Contemporary Hospitality Management, 28(1), pp. 36–67. doi:10.1108/ijchm-11-2014-0572. </w:t>
      </w:r>
    </w:p>
    <w:p w14:paraId="235FC160" w14:textId="77777777" w:rsidR="00C23B01" w:rsidRPr="0002391E" w:rsidRDefault="00C23B01" w:rsidP="0002391E">
      <w:pPr>
        <w:pStyle w:val="ListParagraph"/>
        <w:numPr>
          <w:ilvl w:val="0"/>
          <w:numId w:val="1"/>
        </w:numPr>
        <w:rPr>
          <w:rFonts w:cs="Arial"/>
          <w:szCs w:val="24"/>
        </w:rPr>
      </w:pPr>
      <w:r w:rsidRPr="0002391E">
        <w:rPr>
          <w:rFonts w:cs="Arial"/>
          <w:szCs w:val="24"/>
        </w:rPr>
        <w:t xml:space="preserve">Molina-Azorín, J.F. et al. (2015) ‘The effects of quality and environmental management on competitive advantage: A mixed methods study in the hotel industry’, Tourism Management, 50, pp. 41–54. doi: 10.1016/j.tourman.2015.01.008. </w:t>
      </w:r>
    </w:p>
    <w:p w14:paraId="74D47C55" w14:textId="1084B790" w:rsidR="00C23B01" w:rsidRPr="0002391E" w:rsidRDefault="00C23B01" w:rsidP="0002391E">
      <w:pPr>
        <w:pStyle w:val="ListParagraph"/>
        <w:numPr>
          <w:ilvl w:val="0"/>
          <w:numId w:val="1"/>
        </w:numPr>
        <w:rPr>
          <w:rFonts w:cs="Arial"/>
          <w:color w:val="222222"/>
          <w:szCs w:val="24"/>
          <w:shd w:val="clear" w:color="auto" w:fill="FFFFFF"/>
        </w:rPr>
      </w:pPr>
      <w:r w:rsidRPr="0002391E">
        <w:rPr>
          <w:rFonts w:cs="Arial"/>
          <w:color w:val="222222"/>
          <w:szCs w:val="24"/>
          <w:shd w:val="clear" w:color="auto" w:fill="FFFFFF"/>
        </w:rPr>
        <w:lastRenderedPageBreak/>
        <w:t>Nhep, T., Schott, C. and Sahli, M., 2021. Climate change adaptation in Cambodia's coastal hotel sector: An analysis of adaptation measures and hotel characteristics. </w:t>
      </w:r>
      <w:r w:rsidRPr="0002391E">
        <w:rPr>
          <w:rFonts w:cs="Arial"/>
          <w:i/>
          <w:iCs/>
          <w:color w:val="222222"/>
          <w:szCs w:val="24"/>
          <w:shd w:val="clear" w:color="auto" w:fill="FFFFFF"/>
        </w:rPr>
        <w:t>Tourism Management Perspectives</w:t>
      </w:r>
      <w:r w:rsidRPr="0002391E">
        <w:rPr>
          <w:rFonts w:cs="Arial"/>
          <w:color w:val="222222"/>
          <w:szCs w:val="24"/>
          <w:shd w:val="clear" w:color="auto" w:fill="FFFFFF"/>
        </w:rPr>
        <w:t xml:space="preserve"> </w:t>
      </w:r>
      <w:r w:rsidRPr="0002391E">
        <w:rPr>
          <w:rFonts w:cs="Arial"/>
          <w:szCs w:val="24"/>
        </w:rPr>
        <w:t>of conceptual origins. Sustainability science, 14, pp.681-695.</w:t>
      </w:r>
    </w:p>
    <w:p w14:paraId="16B2BA53" w14:textId="77777777" w:rsidR="00C23B01" w:rsidRPr="0002391E" w:rsidRDefault="00C23B01" w:rsidP="0002391E">
      <w:pPr>
        <w:pStyle w:val="ListParagraph"/>
        <w:numPr>
          <w:ilvl w:val="0"/>
          <w:numId w:val="1"/>
        </w:numPr>
        <w:rPr>
          <w:rFonts w:cs="Arial"/>
          <w:szCs w:val="24"/>
        </w:rPr>
      </w:pPr>
      <w:r w:rsidRPr="0002391E">
        <w:rPr>
          <w:rFonts w:cs="Arial"/>
          <w:szCs w:val="24"/>
        </w:rPr>
        <w:t xml:space="preserve">Papargyropoulou, E. et al. (2016) ‘Conceptual Framework for the study of Food Waste Generation and Prevention in the hospitality sector’, Waste Management, 49, pp. 326–336. doi: 10.1016/j.wasman.2016.01.017. </w:t>
      </w:r>
    </w:p>
    <w:p w14:paraId="0FBA381B" w14:textId="128AA8CF" w:rsidR="00C23B01" w:rsidRPr="0002391E" w:rsidRDefault="00C23B01" w:rsidP="0002391E">
      <w:pPr>
        <w:pStyle w:val="ListParagraph"/>
        <w:numPr>
          <w:ilvl w:val="0"/>
          <w:numId w:val="1"/>
        </w:numPr>
        <w:rPr>
          <w:rFonts w:cs="Arial"/>
          <w:szCs w:val="24"/>
        </w:rPr>
      </w:pPr>
      <w:r w:rsidRPr="0002391E">
        <w:rPr>
          <w:rFonts w:cs="Arial"/>
          <w:color w:val="222222"/>
          <w:szCs w:val="24"/>
          <w:shd w:val="clear" w:color="auto" w:fill="FFFFFF"/>
        </w:rPr>
        <w:t>Purvis, B., Mao, Y. and Robinson, D., 2019. Three pillars of sustainability: in search of conceptual origins. </w:t>
      </w:r>
      <w:r w:rsidRPr="0002391E">
        <w:rPr>
          <w:rFonts w:cs="Arial"/>
          <w:i/>
          <w:iCs/>
          <w:color w:val="222222"/>
          <w:szCs w:val="24"/>
          <w:shd w:val="clear" w:color="auto" w:fill="FFFFFF"/>
        </w:rPr>
        <w:t>Sustainability science</w:t>
      </w:r>
      <w:r w:rsidRPr="0002391E">
        <w:rPr>
          <w:rFonts w:cs="Arial"/>
          <w:color w:val="222222"/>
          <w:szCs w:val="24"/>
          <w:shd w:val="clear" w:color="auto" w:fill="FFFFFF"/>
        </w:rPr>
        <w:t>, </w:t>
      </w:r>
      <w:r w:rsidRPr="0002391E">
        <w:rPr>
          <w:rFonts w:cs="Arial"/>
          <w:i/>
          <w:iCs/>
          <w:color w:val="222222"/>
          <w:szCs w:val="24"/>
          <w:shd w:val="clear" w:color="auto" w:fill="FFFFFF"/>
        </w:rPr>
        <w:t>14</w:t>
      </w:r>
      <w:r w:rsidRPr="0002391E">
        <w:rPr>
          <w:rFonts w:cs="Arial"/>
          <w:color w:val="222222"/>
          <w:szCs w:val="24"/>
          <w:shd w:val="clear" w:color="auto" w:fill="FFFFFF"/>
        </w:rPr>
        <w:t>, pp.681-695.</w:t>
      </w:r>
    </w:p>
    <w:p w14:paraId="346762AF" w14:textId="2F209328" w:rsidR="00C23B01" w:rsidRPr="0002391E" w:rsidRDefault="00C23B01" w:rsidP="0002391E">
      <w:pPr>
        <w:pStyle w:val="ListParagraph"/>
        <w:numPr>
          <w:ilvl w:val="0"/>
          <w:numId w:val="1"/>
        </w:numPr>
        <w:rPr>
          <w:rFonts w:cs="Arial"/>
          <w:szCs w:val="24"/>
        </w:rPr>
      </w:pPr>
      <w:r w:rsidRPr="0002391E">
        <w:rPr>
          <w:rFonts w:cs="Arial"/>
          <w:szCs w:val="24"/>
        </w:rPr>
        <w:t>Ruggerio, C.A., 2021. Sustainability and sustainable development: A review of</w:t>
      </w:r>
    </w:p>
    <w:p w14:paraId="7D419595" w14:textId="77777777" w:rsidR="00C23B01" w:rsidRPr="0002391E" w:rsidRDefault="00C23B01" w:rsidP="0002391E">
      <w:pPr>
        <w:pStyle w:val="ListParagraph"/>
        <w:numPr>
          <w:ilvl w:val="0"/>
          <w:numId w:val="1"/>
        </w:numPr>
        <w:rPr>
          <w:rFonts w:cs="Arial"/>
          <w:szCs w:val="24"/>
        </w:rPr>
      </w:pPr>
      <w:r w:rsidRPr="0002391E">
        <w:rPr>
          <w:rFonts w:cs="Arial"/>
          <w:szCs w:val="24"/>
        </w:rPr>
        <w:t xml:space="preserve">Serra-Cantallops, A. et al. (2017) ‘Progress in research on CSR and the Hotel Industry (2006-2015)’, Cornell Hospitality Quarterly, 59(1), pp. 15–38. doi:10.1177/1938965517719267. </w:t>
      </w:r>
    </w:p>
    <w:p w14:paraId="5814764E" w14:textId="77777777" w:rsidR="00C23B01" w:rsidRPr="0002391E" w:rsidRDefault="00C23B01" w:rsidP="0002391E">
      <w:pPr>
        <w:pStyle w:val="ListParagraph"/>
        <w:numPr>
          <w:ilvl w:val="0"/>
          <w:numId w:val="1"/>
        </w:numPr>
        <w:rPr>
          <w:rFonts w:cs="Arial"/>
          <w:szCs w:val="24"/>
        </w:rPr>
      </w:pPr>
      <w:r w:rsidRPr="0002391E">
        <w:rPr>
          <w:rFonts w:cs="Arial"/>
          <w:szCs w:val="24"/>
        </w:rPr>
        <w:t xml:space="preserve">Solnet, D., Kralj, A. and Baum, T. (2015) ‘360 degrees of pressure’, Journal of Hospitality &amp;amp; Tourism Research, 39(2), pp. 271–292. doi:10.1177/1096348012471380. </w:t>
      </w:r>
    </w:p>
    <w:p w14:paraId="6582CE30" w14:textId="77777777" w:rsidR="00C23B01" w:rsidRPr="0002391E" w:rsidRDefault="00C23B01" w:rsidP="0002391E">
      <w:pPr>
        <w:pStyle w:val="ListParagraph"/>
        <w:numPr>
          <w:ilvl w:val="0"/>
          <w:numId w:val="1"/>
        </w:numPr>
        <w:rPr>
          <w:rFonts w:cs="Arial"/>
          <w:szCs w:val="24"/>
        </w:rPr>
      </w:pPr>
      <w:r w:rsidRPr="0002391E">
        <w:rPr>
          <w:rFonts w:cs="Arial"/>
          <w:color w:val="222222"/>
          <w:szCs w:val="24"/>
          <w:shd w:val="clear" w:color="auto" w:fill="FFFFFF"/>
        </w:rPr>
        <w:t>Walmsley, A., 2011. Climate change mitigation and adaptation in the hospitality industry. In </w:t>
      </w:r>
      <w:r w:rsidRPr="0002391E">
        <w:rPr>
          <w:rFonts w:cs="Arial"/>
          <w:i/>
          <w:iCs/>
          <w:color w:val="222222"/>
          <w:szCs w:val="24"/>
          <w:shd w:val="clear" w:color="auto" w:fill="FFFFFF"/>
        </w:rPr>
        <w:t>Trends and Issues in Global Tourism 2011</w:t>
      </w:r>
      <w:r w:rsidRPr="0002391E">
        <w:rPr>
          <w:rFonts w:cs="Arial"/>
          <w:color w:val="222222"/>
          <w:szCs w:val="24"/>
          <w:shd w:val="clear" w:color="auto" w:fill="FFFFFF"/>
        </w:rPr>
        <w:t> (pp. 77-91). Berlin, Heidelberg: Springer Berlin Heidelberg.</w:t>
      </w:r>
    </w:p>
    <w:p w14:paraId="662D00E5" w14:textId="77777777" w:rsidR="00C23B01" w:rsidRPr="0002391E" w:rsidRDefault="00C23B01" w:rsidP="0002391E">
      <w:pPr>
        <w:pStyle w:val="ListParagraph"/>
        <w:numPr>
          <w:ilvl w:val="0"/>
          <w:numId w:val="1"/>
        </w:numPr>
        <w:rPr>
          <w:rFonts w:cs="Arial"/>
          <w:szCs w:val="24"/>
        </w:rPr>
      </w:pPr>
      <w:r w:rsidRPr="0002391E">
        <w:rPr>
          <w:rFonts w:cs="Arial"/>
          <w:szCs w:val="24"/>
        </w:rPr>
        <w:t>Yusoff, Y.M. et al. (2018) ‘Linking green human resource management practices to environmental performance in Hotel Industry’, Global Business Review, 21(3), pp. 663–680. doi:10.1177/0972150918779294.</w:t>
      </w:r>
    </w:p>
    <w:sectPr w:rsidR="00C23B01" w:rsidRPr="0002391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427EA" w14:textId="77777777" w:rsidR="00FA519C" w:rsidRDefault="00FA519C" w:rsidP="00B803A6">
      <w:pPr>
        <w:spacing w:after="0" w:line="240" w:lineRule="auto"/>
      </w:pPr>
      <w:r>
        <w:separator/>
      </w:r>
    </w:p>
  </w:endnote>
  <w:endnote w:type="continuationSeparator" w:id="0">
    <w:p w14:paraId="55D0CE10" w14:textId="77777777" w:rsidR="00FA519C" w:rsidRDefault="00FA519C" w:rsidP="00B80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AA671" w14:textId="77777777" w:rsidR="00FA519C" w:rsidRDefault="00FA519C" w:rsidP="00B803A6">
      <w:pPr>
        <w:spacing w:after="0" w:line="240" w:lineRule="auto"/>
      </w:pPr>
      <w:r>
        <w:separator/>
      </w:r>
    </w:p>
  </w:footnote>
  <w:footnote w:type="continuationSeparator" w:id="0">
    <w:p w14:paraId="2EBB7D08" w14:textId="77777777" w:rsidR="00FA519C" w:rsidRDefault="00FA519C" w:rsidP="00B803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5D7B1D"/>
    <w:multiLevelType w:val="hybridMultilevel"/>
    <w:tmpl w:val="D062F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6929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5B6"/>
    <w:rsid w:val="0002391E"/>
    <w:rsid w:val="000B0B26"/>
    <w:rsid w:val="001A4E45"/>
    <w:rsid w:val="001F0279"/>
    <w:rsid w:val="00250232"/>
    <w:rsid w:val="002625B3"/>
    <w:rsid w:val="002D38A2"/>
    <w:rsid w:val="00331F85"/>
    <w:rsid w:val="00332575"/>
    <w:rsid w:val="0033753A"/>
    <w:rsid w:val="00422FD6"/>
    <w:rsid w:val="004F0C85"/>
    <w:rsid w:val="0056221F"/>
    <w:rsid w:val="00566AC5"/>
    <w:rsid w:val="00597B4E"/>
    <w:rsid w:val="005B356E"/>
    <w:rsid w:val="00642B23"/>
    <w:rsid w:val="006B10AB"/>
    <w:rsid w:val="0076198B"/>
    <w:rsid w:val="00770D55"/>
    <w:rsid w:val="007A0993"/>
    <w:rsid w:val="007E517A"/>
    <w:rsid w:val="007F77D8"/>
    <w:rsid w:val="0087783C"/>
    <w:rsid w:val="009250F9"/>
    <w:rsid w:val="00973F86"/>
    <w:rsid w:val="00980218"/>
    <w:rsid w:val="009E1015"/>
    <w:rsid w:val="00A043F2"/>
    <w:rsid w:val="00A87D96"/>
    <w:rsid w:val="00B803A6"/>
    <w:rsid w:val="00C23B01"/>
    <w:rsid w:val="00C94DB2"/>
    <w:rsid w:val="00CC5422"/>
    <w:rsid w:val="00CF5AF7"/>
    <w:rsid w:val="00D0508D"/>
    <w:rsid w:val="00DB6A57"/>
    <w:rsid w:val="00E6478B"/>
    <w:rsid w:val="00E70CD8"/>
    <w:rsid w:val="00F045B6"/>
    <w:rsid w:val="00F438CF"/>
    <w:rsid w:val="00F77EEF"/>
    <w:rsid w:val="00FA519C"/>
    <w:rsid w:val="00FD699E"/>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5797F8"/>
  <w15:docId w15:val="{3421E07D-C62F-DE4F-A5F2-A1ED9B1E4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5B3"/>
    <w:pPr>
      <w:spacing w:line="360" w:lineRule="auto"/>
      <w:jc w:val="both"/>
    </w:pPr>
    <w:rPr>
      <w:rFonts w:ascii="Arial" w:hAnsi="Arial"/>
      <w:sz w:val="24"/>
    </w:rPr>
  </w:style>
  <w:style w:type="paragraph" w:styleId="Heading1">
    <w:name w:val="heading 1"/>
    <w:basedOn w:val="Normal"/>
    <w:next w:val="Normal"/>
    <w:link w:val="Heading1Char"/>
    <w:uiPriority w:val="9"/>
    <w:qFormat/>
    <w:rsid w:val="002625B3"/>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2625B3"/>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5B3"/>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625B3"/>
    <w:rPr>
      <w:rFonts w:ascii="Arial" w:eastAsiaTheme="majorEastAsia" w:hAnsi="Arial" w:cstheme="majorBidi"/>
      <w:b/>
      <w:bCs/>
      <w:color w:val="4F81BD" w:themeColor="accent1"/>
      <w:sz w:val="28"/>
      <w:szCs w:val="26"/>
    </w:rPr>
  </w:style>
  <w:style w:type="paragraph" w:styleId="NoSpacing">
    <w:name w:val="No Spacing"/>
    <w:uiPriority w:val="1"/>
    <w:rsid w:val="002625B3"/>
    <w:pPr>
      <w:spacing w:after="0" w:line="240" w:lineRule="auto"/>
      <w:jc w:val="both"/>
    </w:pPr>
    <w:rPr>
      <w:rFonts w:ascii="Arial" w:hAnsi="Arial"/>
      <w:sz w:val="24"/>
    </w:rPr>
  </w:style>
  <w:style w:type="paragraph" w:styleId="TOCHeading">
    <w:name w:val="TOC Heading"/>
    <w:basedOn w:val="Heading1"/>
    <w:next w:val="Normal"/>
    <w:uiPriority w:val="39"/>
    <w:unhideWhenUsed/>
    <w:qFormat/>
    <w:rsid w:val="00642B23"/>
    <w:pPr>
      <w:spacing w:before="240" w:line="259" w:lineRule="auto"/>
      <w:jc w:val="left"/>
      <w:outlineLvl w:val="9"/>
    </w:pPr>
    <w:rPr>
      <w:rFonts w:asciiTheme="majorHAnsi" w:hAnsiTheme="majorHAnsi"/>
      <w:b w:val="0"/>
      <w:bCs w:val="0"/>
      <w:szCs w:val="32"/>
    </w:rPr>
  </w:style>
  <w:style w:type="paragraph" w:styleId="TOC1">
    <w:name w:val="toc 1"/>
    <w:basedOn w:val="Normal"/>
    <w:next w:val="Normal"/>
    <w:autoRedefine/>
    <w:uiPriority w:val="39"/>
    <w:unhideWhenUsed/>
    <w:rsid w:val="00642B23"/>
    <w:pPr>
      <w:spacing w:after="100"/>
    </w:pPr>
  </w:style>
  <w:style w:type="paragraph" w:styleId="TOC2">
    <w:name w:val="toc 2"/>
    <w:basedOn w:val="Normal"/>
    <w:next w:val="Normal"/>
    <w:autoRedefine/>
    <w:uiPriority w:val="39"/>
    <w:unhideWhenUsed/>
    <w:rsid w:val="00642B23"/>
    <w:pPr>
      <w:spacing w:after="100"/>
      <w:ind w:left="240"/>
    </w:pPr>
  </w:style>
  <w:style w:type="character" w:styleId="Hyperlink">
    <w:name w:val="Hyperlink"/>
    <w:basedOn w:val="DefaultParagraphFont"/>
    <w:uiPriority w:val="99"/>
    <w:unhideWhenUsed/>
    <w:rsid w:val="00642B23"/>
    <w:rPr>
      <w:color w:val="0000FF" w:themeColor="hyperlink"/>
      <w:u w:val="single"/>
    </w:rPr>
  </w:style>
  <w:style w:type="paragraph" w:styleId="BalloonText">
    <w:name w:val="Balloon Text"/>
    <w:basedOn w:val="Normal"/>
    <w:link w:val="BalloonTextChar"/>
    <w:uiPriority w:val="99"/>
    <w:semiHidden/>
    <w:unhideWhenUsed/>
    <w:rsid w:val="00F438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38CF"/>
    <w:rPr>
      <w:rFonts w:ascii="Tahoma" w:hAnsi="Tahoma" w:cs="Tahoma"/>
      <w:sz w:val="16"/>
      <w:szCs w:val="16"/>
    </w:rPr>
  </w:style>
  <w:style w:type="paragraph" w:styleId="NormalWeb">
    <w:name w:val="Normal (Web)"/>
    <w:basedOn w:val="Normal"/>
    <w:uiPriority w:val="99"/>
    <w:unhideWhenUsed/>
    <w:rsid w:val="006B10AB"/>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character" w:styleId="Strong">
    <w:name w:val="Strong"/>
    <w:basedOn w:val="DefaultParagraphFont"/>
    <w:uiPriority w:val="22"/>
    <w:qFormat/>
    <w:rsid w:val="006B10AB"/>
    <w:rPr>
      <w:b/>
      <w:bCs/>
    </w:rPr>
  </w:style>
  <w:style w:type="paragraph" w:styleId="ListParagraph">
    <w:name w:val="List Paragraph"/>
    <w:basedOn w:val="Normal"/>
    <w:uiPriority w:val="34"/>
    <w:qFormat/>
    <w:rsid w:val="006B10AB"/>
    <w:pPr>
      <w:ind w:left="720"/>
      <w:contextualSpacing/>
    </w:pPr>
  </w:style>
  <w:style w:type="paragraph" w:styleId="Header">
    <w:name w:val="header"/>
    <w:basedOn w:val="Normal"/>
    <w:link w:val="HeaderChar"/>
    <w:uiPriority w:val="99"/>
    <w:unhideWhenUsed/>
    <w:rsid w:val="00B803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3A6"/>
    <w:rPr>
      <w:rFonts w:ascii="Arial" w:hAnsi="Arial"/>
      <w:sz w:val="24"/>
    </w:rPr>
  </w:style>
  <w:style w:type="paragraph" w:styleId="Footer">
    <w:name w:val="footer"/>
    <w:basedOn w:val="Normal"/>
    <w:link w:val="FooterChar"/>
    <w:uiPriority w:val="99"/>
    <w:unhideWhenUsed/>
    <w:rsid w:val="00B803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3A6"/>
    <w:rPr>
      <w:rFonts w:ascii="Arial" w:hAnsi="Arial"/>
      <w:sz w:val="24"/>
    </w:rPr>
  </w:style>
  <w:style w:type="character" w:styleId="CommentReference">
    <w:name w:val="annotation reference"/>
    <w:basedOn w:val="DefaultParagraphFont"/>
    <w:uiPriority w:val="99"/>
    <w:semiHidden/>
    <w:unhideWhenUsed/>
    <w:rsid w:val="001A4E45"/>
    <w:rPr>
      <w:sz w:val="16"/>
      <w:szCs w:val="16"/>
    </w:rPr>
  </w:style>
  <w:style w:type="paragraph" w:styleId="CommentText">
    <w:name w:val="annotation text"/>
    <w:basedOn w:val="Normal"/>
    <w:link w:val="CommentTextChar"/>
    <w:uiPriority w:val="99"/>
    <w:semiHidden/>
    <w:unhideWhenUsed/>
    <w:rsid w:val="001A4E45"/>
    <w:pPr>
      <w:spacing w:line="240" w:lineRule="auto"/>
    </w:pPr>
    <w:rPr>
      <w:sz w:val="20"/>
      <w:szCs w:val="20"/>
    </w:rPr>
  </w:style>
  <w:style w:type="character" w:customStyle="1" w:styleId="CommentTextChar">
    <w:name w:val="Comment Text Char"/>
    <w:basedOn w:val="DefaultParagraphFont"/>
    <w:link w:val="CommentText"/>
    <w:uiPriority w:val="99"/>
    <w:semiHidden/>
    <w:rsid w:val="001A4E4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A4E45"/>
    <w:rPr>
      <w:b/>
      <w:bCs/>
    </w:rPr>
  </w:style>
  <w:style w:type="character" w:customStyle="1" w:styleId="CommentSubjectChar">
    <w:name w:val="Comment Subject Char"/>
    <w:basedOn w:val="CommentTextChar"/>
    <w:link w:val="CommentSubject"/>
    <w:uiPriority w:val="99"/>
    <w:semiHidden/>
    <w:rsid w:val="001A4E45"/>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94247">
      <w:bodyDiv w:val="1"/>
      <w:marLeft w:val="0"/>
      <w:marRight w:val="0"/>
      <w:marTop w:val="0"/>
      <w:marBottom w:val="0"/>
      <w:divBdr>
        <w:top w:val="none" w:sz="0" w:space="0" w:color="auto"/>
        <w:left w:val="none" w:sz="0" w:space="0" w:color="auto"/>
        <w:bottom w:val="none" w:sz="0" w:space="0" w:color="auto"/>
        <w:right w:val="none" w:sz="0" w:space="0" w:color="auto"/>
      </w:divBdr>
    </w:div>
    <w:div w:id="1055011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AD61DE-7D5D-4D3E-8FBE-8554A8025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2553</Words>
  <Characters>14554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User1</cp:lastModifiedBy>
  <cp:revision>3</cp:revision>
  <dcterms:created xsi:type="dcterms:W3CDTF">2023-05-25T17:27:00Z</dcterms:created>
  <dcterms:modified xsi:type="dcterms:W3CDTF">2023-05-26T10:32:00Z</dcterms:modified>
</cp:coreProperties>
</file>