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9E43469" w:rsidR="7908378C" w:rsidRDefault="7908378C" w:rsidP="33572C6E">
            <w:pPr>
              <w:ind w:right="237"/>
              <w:rPr>
                <w:b/>
                <w:bCs/>
                <w:color w:val="auto"/>
                <w:sz w:val="32"/>
                <w:szCs w:val="32"/>
              </w:rPr>
            </w:pPr>
            <w:r w:rsidRPr="33572C6E">
              <w:rPr>
                <w:b/>
                <w:bCs/>
                <w:color w:val="auto"/>
                <w:sz w:val="32"/>
                <w:szCs w:val="32"/>
              </w:rPr>
              <w:t>Learner name: __</w:t>
            </w:r>
            <w:r w:rsidR="00582196">
              <w:rPr>
                <w:b/>
                <w:bCs/>
                <w:color w:val="auto"/>
                <w:sz w:val="32"/>
                <w:szCs w:val="32"/>
              </w:rPr>
              <w:t xml:space="preserve">Elisha Rooke </w:t>
            </w:r>
            <w:r w:rsidRPr="33572C6E">
              <w:rPr>
                <w:b/>
                <w:bCs/>
                <w:color w:val="auto"/>
                <w:sz w:val="32"/>
                <w:szCs w:val="32"/>
              </w:rPr>
              <w:t>_____</w:t>
            </w:r>
          </w:p>
          <w:p w14:paraId="3A3A802D" w14:textId="77777777" w:rsidR="33572C6E" w:rsidRDefault="33572C6E" w:rsidP="33572C6E">
            <w:pPr>
              <w:ind w:right="237"/>
              <w:rPr>
                <w:b/>
                <w:bCs/>
                <w:color w:val="auto"/>
                <w:sz w:val="32"/>
                <w:szCs w:val="32"/>
              </w:rPr>
            </w:pPr>
          </w:p>
          <w:p w14:paraId="7883A53E" w14:textId="4E9F0CE1" w:rsidR="7908378C" w:rsidRDefault="7908378C" w:rsidP="33572C6E">
            <w:pPr>
              <w:ind w:right="237"/>
              <w:rPr>
                <w:b/>
                <w:bCs/>
                <w:color w:val="auto"/>
                <w:sz w:val="32"/>
                <w:szCs w:val="32"/>
              </w:rPr>
            </w:pPr>
            <w:r w:rsidRPr="33572C6E">
              <w:rPr>
                <w:b/>
                <w:bCs/>
                <w:color w:val="auto"/>
                <w:sz w:val="32"/>
                <w:szCs w:val="32"/>
              </w:rPr>
              <w:t>Learner’s University Registration Number:__</w:t>
            </w:r>
            <w:r w:rsidR="00582196">
              <w:rPr>
                <w:b/>
                <w:bCs/>
                <w:color w:val="auto"/>
                <w:sz w:val="32"/>
                <w:szCs w:val="32"/>
              </w:rPr>
              <w:t>2245952</w:t>
            </w:r>
            <w:r w:rsidRPr="33572C6E">
              <w:rPr>
                <w:b/>
                <w:bCs/>
                <w:color w:val="auto"/>
                <w:sz w:val="32"/>
                <w:szCs w:val="32"/>
              </w:rPr>
              <w:t>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D14455">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D1445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C178279" w14:textId="77777777" w:rsidR="00E72771" w:rsidRDefault="00E72771" w:rsidP="5B843AF0">
      <w:pPr>
        <w:ind w:right="237"/>
        <w:jc w:val="both"/>
        <w:rPr>
          <w:rFonts w:eastAsia="Arial"/>
          <w:b/>
          <w:bCs/>
          <w:color w:val="000000" w:themeColor="text1"/>
          <w:sz w:val="24"/>
          <w:szCs w:val="24"/>
        </w:rPr>
      </w:pPr>
    </w:p>
    <w:p w14:paraId="46CCFCE4" w14:textId="77777777" w:rsidR="00E72771" w:rsidRDefault="00E72771" w:rsidP="5B843AF0">
      <w:pPr>
        <w:ind w:right="237"/>
        <w:jc w:val="both"/>
        <w:rPr>
          <w:rFonts w:eastAsia="Arial"/>
          <w:b/>
          <w:bCs/>
          <w:color w:val="000000" w:themeColor="text1"/>
          <w:sz w:val="24"/>
          <w:szCs w:val="24"/>
        </w:rPr>
      </w:pPr>
    </w:p>
    <w:p w14:paraId="5BBACDA5" w14:textId="40619CF6" w:rsidR="00D337E9" w:rsidRDefault="00E11B65" w:rsidP="001E610D">
      <w:pPr>
        <w:spacing w:line="360" w:lineRule="auto"/>
        <w:ind w:right="237"/>
        <w:jc w:val="both"/>
        <w:rPr>
          <w:rFonts w:eastAsia="Arial"/>
          <w:color w:val="000000" w:themeColor="text1"/>
          <w:sz w:val="24"/>
          <w:szCs w:val="24"/>
        </w:rPr>
      </w:pPr>
      <w:r w:rsidRPr="00E11B65">
        <w:rPr>
          <w:rFonts w:eastAsia="Arial"/>
          <w:color w:val="000000" w:themeColor="text1"/>
          <w:sz w:val="24"/>
          <w:szCs w:val="24"/>
        </w:rPr>
        <w:t>In this essay</w:t>
      </w:r>
      <w:r>
        <w:rPr>
          <w:rFonts w:eastAsia="Arial"/>
          <w:color w:val="000000" w:themeColor="text1"/>
          <w:sz w:val="24"/>
          <w:szCs w:val="24"/>
        </w:rPr>
        <w:t xml:space="preserve">, I will be using </w:t>
      </w:r>
      <w:r w:rsidR="00A84AF5" w:rsidRPr="00A84AF5">
        <w:rPr>
          <w:rFonts w:eastAsia="Arial"/>
          <w:color w:val="000000" w:themeColor="text1"/>
          <w:sz w:val="24"/>
          <w:szCs w:val="24"/>
        </w:rPr>
        <w:t>Borton’s model of reflection (Borton, 1970)</w:t>
      </w:r>
      <w:r w:rsidR="00A84AF5">
        <w:rPr>
          <w:rFonts w:eastAsia="Arial"/>
          <w:color w:val="000000" w:themeColor="text1"/>
          <w:sz w:val="24"/>
          <w:szCs w:val="24"/>
        </w:rPr>
        <w:t>,</w:t>
      </w:r>
      <w:r w:rsidR="00D45862">
        <w:rPr>
          <w:rFonts w:eastAsia="Arial"/>
          <w:color w:val="000000" w:themeColor="text1"/>
          <w:sz w:val="24"/>
          <w:szCs w:val="24"/>
        </w:rPr>
        <w:t xml:space="preserve"> to </w:t>
      </w:r>
      <w:r w:rsidR="00286C6B">
        <w:rPr>
          <w:rFonts w:eastAsia="Arial"/>
          <w:color w:val="000000" w:themeColor="text1"/>
          <w:sz w:val="24"/>
          <w:szCs w:val="24"/>
        </w:rPr>
        <w:t xml:space="preserve">evaluate the approach taken by </w:t>
      </w:r>
      <w:r w:rsidR="00CA6B1F">
        <w:rPr>
          <w:rFonts w:eastAsia="Arial"/>
          <w:color w:val="000000" w:themeColor="text1"/>
          <w:sz w:val="24"/>
          <w:szCs w:val="24"/>
        </w:rPr>
        <w:t>the police</w:t>
      </w:r>
      <w:r w:rsidR="00286C6B">
        <w:rPr>
          <w:rFonts w:eastAsia="Arial"/>
          <w:color w:val="000000" w:themeColor="text1"/>
          <w:sz w:val="24"/>
          <w:szCs w:val="24"/>
        </w:rPr>
        <w:t xml:space="preserve">, and other agencies to safeguard and support a vulnerable victim of crime, as well as exploring </w:t>
      </w:r>
      <w:r w:rsidR="001E610D">
        <w:rPr>
          <w:rFonts w:eastAsia="Arial"/>
          <w:color w:val="000000" w:themeColor="text1"/>
          <w:sz w:val="24"/>
          <w:szCs w:val="24"/>
        </w:rPr>
        <w:t xml:space="preserve">the impact this had on reducing the risk of </w:t>
      </w:r>
      <w:r w:rsidR="007125AE">
        <w:rPr>
          <w:rFonts w:eastAsia="Arial"/>
          <w:color w:val="000000" w:themeColor="text1"/>
          <w:sz w:val="24"/>
          <w:szCs w:val="24"/>
        </w:rPr>
        <w:t>this individual being a repeat victim</w:t>
      </w:r>
      <w:r w:rsidR="001E610D">
        <w:rPr>
          <w:rFonts w:eastAsia="Arial"/>
          <w:color w:val="000000" w:themeColor="text1"/>
          <w:sz w:val="24"/>
          <w:szCs w:val="24"/>
        </w:rPr>
        <w:t>.</w:t>
      </w:r>
      <w:r w:rsidR="001076AA">
        <w:rPr>
          <w:rFonts w:eastAsia="Arial"/>
          <w:color w:val="000000" w:themeColor="text1"/>
          <w:sz w:val="24"/>
          <w:szCs w:val="24"/>
        </w:rPr>
        <w:t xml:space="preserve"> In particular, this reflection will focus</w:t>
      </w:r>
      <w:r w:rsidR="00EE5A6F">
        <w:rPr>
          <w:rFonts w:eastAsia="Arial"/>
          <w:color w:val="000000" w:themeColor="text1"/>
          <w:sz w:val="24"/>
          <w:szCs w:val="24"/>
        </w:rPr>
        <w:t xml:space="preserve"> on incidents </w:t>
      </w:r>
      <w:r w:rsidR="00592BBB">
        <w:rPr>
          <w:rFonts w:eastAsia="Arial"/>
          <w:color w:val="000000" w:themeColor="text1"/>
          <w:sz w:val="24"/>
          <w:szCs w:val="24"/>
        </w:rPr>
        <w:t>of domestic violence, and the approaches which are effective in preventing repeat victimisation in this context.</w:t>
      </w:r>
    </w:p>
    <w:p w14:paraId="6951C4F3" w14:textId="64744653" w:rsidR="00E72771" w:rsidRDefault="001E610D" w:rsidP="001E610D">
      <w:pPr>
        <w:spacing w:line="360" w:lineRule="auto"/>
        <w:ind w:right="237"/>
        <w:jc w:val="both"/>
        <w:rPr>
          <w:rFonts w:eastAsia="Arial"/>
          <w:color w:val="000000" w:themeColor="text1"/>
          <w:sz w:val="24"/>
          <w:szCs w:val="24"/>
        </w:rPr>
      </w:pPr>
      <w:r>
        <w:rPr>
          <w:rFonts w:eastAsia="Arial"/>
          <w:color w:val="000000" w:themeColor="text1"/>
          <w:sz w:val="24"/>
          <w:szCs w:val="24"/>
        </w:rPr>
        <w:t xml:space="preserve"> </w:t>
      </w:r>
    </w:p>
    <w:p w14:paraId="4385EEEA" w14:textId="77777777" w:rsidR="00074190" w:rsidRDefault="00074190" w:rsidP="001E610D">
      <w:pPr>
        <w:spacing w:line="360" w:lineRule="auto"/>
        <w:ind w:right="237"/>
        <w:jc w:val="both"/>
        <w:rPr>
          <w:rFonts w:eastAsia="Arial"/>
          <w:color w:val="000000" w:themeColor="text1"/>
          <w:sz w:val="24"/>
          <w:szCs w:val="24"/>
        </w:rPr>
      </w:pPr>
    </w:p>
    <w:p w14:paraId="46FA9853" w14:textId="57BB6B10" w:rsidR="00D337E9" w:rsidRPr="00D337E9" w:rsidRDefault="00A84AF5" w:rsidP="001E610D">
      <w:pPr>
        <w:spacing w:line="360" w:lineRule="auto"/>
        <w:ind w:right="237"/>
        <w:jc w:val="both"/>
        <w:rPr>
          <w:rFonts w:eastAsia="Arial"/>
          <w:b/>
          <w:bCs/>
          <w:color w:val="000000" w:themeColor="text1"/>
          <w:sz w:val="24"/>
          <w:szCs w:val="24"/>
        </w:rPr>
      </w:pPr>
      <w:r>
        <w:rPr>
          <w:rFonts w:eastAsia="Arial"/>
          <w:b/>
          <w:bCs/>
          <w:color w:val="000000" w:themeColor="text1"/>
          <w:sz w:val="24"/>
          <w:szCs w:val="24"/>
        </w:rPr>
        <w:t>What?</w:t>
      </w:r>
    </w:p>
    <w:p w14:paraId="15D627D3" w14:textId="6CDDA237" w:rsidR="008715CE" w:rsidRDefault="00444B7F" w:rsidP="001E610D">
      <w:pPr>
        <w:spacing w:line="360" w:lineRule="auto"/>
        <w:ind w:right="237"/>
        <w:jc w:val="both"/>
        <w:rPr>
          <w:rFonts w:eastAsia="Arial"/>
          <w:color w:val="000000" w:themeColor="text1"/>
          <w:sz w:val="24"/>
          <w:szCs w:val="24"/>
        </w:rPr>
      </w:pPr>
      <w:r>
        <w:rPr>
          <w:rFonts w:eastAsia="Arial"/>
          <w:color w:val="000000" w:themeColor="text1"/>
          <w:sz w:val="24"/>
          <w:szCs w:val="24"/>
        </w:rPr>
        <w:t>Under the Victim’s code of practice</w:t>
      </w:r>
      <w:r w:rsidR="008A30C8">
        <w:rPr>
          <w:rFonts w:eastAsia="Arial"/>
          <w:color w:val="000000" w:themeColor="text1"/>
          <w:sz w:val="24"/>
          <w:szCs w:val="24"/>
        </w:rPr>
        <w:t xml:space="preserve"> </w:t>
      </w:r>
      <w:r w:rsidR="008A30C8" w:rsidRPr="008A30C8">
        <w:rPr>
          <w:rFonts w:eastAsia="Arial"/>
          <w:color w:val="000000" w:themeColor="text1"/>
          <w:sz w:val="24"/>
          <w:szCs w:val="24"/>
        </w:rPr>
        <w:t>(</w:t>
      </w:r>
      <w:r w:rsidR="00601A57">
        <w:rPr>
          <w:rFonts w:eastAsia="Arial"/>
          <w:color w:val="000000" w:themeColor="text1"/>
          <w:sz w:val="24"/>
          <w:szCs w:val="24"/>
        </w:rPr>
        <w:t>Ministry of Justice</w:t>
      </w:r>
      <w:r w:rsidR="008A30C8" w:rsidRPr="008A30C8">
        <w:rPr>
          <w:rFonts w:eastAsia="Arial"/>
          <w:color w:val="000000" w:themeColor="text1"/>
          <w:sz w:val="24"/>
          <w:szCs w:val="24"/>
        </w:rPr>
        <w:t>, 2020)</w:t>
      </w:r>
      <w:r w:rsidR="00B1245B">
        <w:rPr>
          <w:rFonts w:eastAsia="Arial"/>
          <w:color w:val="000000" w:themeColor="text1"/>
          <w:sz w:val="24"/>
          <w:szCs w:val="24"/>
        </w:rPr>
        <w:t>, a victim is classed as vulnerable if they are under 18</w:t>
      </w:r>
      <w:r w:rsidR="00626077">
        <w:rPr>
          <w:rFonts w:eastAsia="Arial"/>
          <w:color w:val="000000" w:themeColor="text1"/>
          <w:sz w:val="24"/>
          <w:szCs w:val="24"/>
        </w:rPr>
        <w:t xml:space="preserve">, or their quality of evidence is likely to be affected due to </w:t>
      </w:r>
      <w:r w:rsidR="00630514">
        <w:rPr>
          <w:rFonts w:eastAsia="Arial"/>
          <w:color w:val="000000" w:themeColor="text1"/>
          <w:sz w:val="24"/>
          <w:szCs w:val="24"/>
        </w:rPr>
        <w:t>a mental or physical disability</w:t>
      </w:r>
      <w:r w:rsidR="00626077">
        <w:rPr>
          <w:rFonts w:eastAsia="Arial"/>
          <w:color w:val="000000" w:themeColor="text1"/>
          <w:sz w:val="24"/>
          <w:szCs w:val="24"/>
        </w:rPr>
        <w:t xml:space="preserve">. </w:t>
      </w:r>
      <w:r w:rsidR="00591825">
        <w:rPr>
          <w:rFonts w:eastAsia="Arial"/>
          <w:color w:val="000000" w:themeColor="text1"/>
          <w:sz w:val="24"/>
          <w:szCs w:val="24"/>
        </w:rPr>
        <w:t>However,</w:t>
      </w:r>
      <w:r w:rsidR="00630514">
        <w:rPr>
          <w:rFonts w:eastAsia="Arial"/>
          <w:color w:val="000000" w:themeColor="text1"/>
          <w:sz w:val="24"/>
          <w:szCs w:val="24"/>
        </w:rPr>
        <w:t xml:space="preserve"> the college of policing recognises that vulnerability goes further than this, encompassing a much broader range of individuals.</w:t>
      </w:r>
      <w:r w:rsidR="00B86119">
        <w:rPr>
          <w:rFonts w:eastAsia="Arial"/>
          <w:color w:val="000000" w:themeColor="text1"/>
          <w:sz w:val="24"/>
          <w:szCs w:val="24"/>
        </w:rPr>
        <w:t xml:space="preserve"> </w:t>
      </w:r>
      <w:r w:rsidR="00FC2A0F">
        <w:rPr>
          <w:rFonts w:eastAsia="Arial"/>
          <w:color w:val="000000" w:themeColor="text1"/>
          <w:sz w:val="24"/>
          <w:szCs w:val="24"/>
        </w:rPr>
        <w:t>As stated in the National Vulnerability Action Plan (</w:t>
      </w:r>
      <w:r w:rsidR="00601A57">
        <w:rPr>
          <w:rFonts w:eastAsia="Arial"/>
          <w:color w:val="000000" w:themeColor="text1"/>
          <w:sz w:val="24"/>
          <w:szCs w:val="24"/>
        </w:rPr>
        <w:t xml:space="preserve">College of Policing, </w:t>
      </w:r>
      <w:r w:rsidR="00FC2A0F">
        <w:rPr>
          <w:rFonts w:eastAsia="Arial"/>
          <w:color w:val="000000" w:themeColor="text1"/>
          <w:sz w:val="24"/>
          <w:szCs w:val="24"/>
        </w:rPr>
        <w:t xml:space="preserve">2023), </w:t>
      </w:r>
      <w:r w:rsidR="00437C2D">
        <w:rPr>
          <w:rFonts w:eastAsia="Arial"/>
          <w:color w:val="000000" w:themeColor="text1"/>
          <w:sz w:val="24"/>
          <w:szCs w:val="24"/>
        </w:rPr>
        <w:t xml:space="preserve">a person is vulnerable according to the college if, ‘as a result of their situation or circumstances, they are unable to take care of or protect themselves or others </w:t>
      </w:r>
      <w:r w:rsidR="00437C2D">
        <w:rPr>
          <w:rFonts w:eastAsia="Arial"/>
          <w:color w:val="000000" w:themeColor="text1"/>
          <w:sz w:val="24"/>
          <w:szCs w:val="24"/>
        </w:rPr>
        <w:lastRenderedPageBreak/>
        <w:t xml:space="preserve">from harm or exploitation. </w:t>
      </w:r>
      <w:r w:rsidR="00D05D92">
        <w:rPr>
          <w:rFonts w:eastAsia="Arial"/>
          <w:color w:val="000000" w:themeColor="text1"/>
          <w:sz w:val="24"/>
          <w:szCs w:val="24"/>
        </w:rPr>
        <w:t xml:space="preserve">This therefore highlights that there is a non-exhaustive list of factors that could </w:t>
      </w:r>
      <w:r w:rsidR="00690414">
        <w:rPr>
          <w:rFonts w:eastAsia="Arial"/>
          <w:color w:val="000000" w:themeColor="text1"/>
          <w:sz w:val="24"/>
          <w:szCs w:val="24"/>
        </w:rPr>
        <w:t xml:space="preserve">create vulnerability within an individual, with any factor possible of being contributory if it prevents someone being able to look after themselves or others. </w:t>
      </w:r>
      <w:r w:rsidR="008715CE">
        <w:rPr>
          <w:rFonts w:eastAsia="Arial"/>
          <w:color w:val="000000" w:themeColor="text1"/>
          <w:sz w:val="24"/>
          <w:szCs w:val="24"/>
        </w:rPr>
        <w:t xml:space="preserve">While </w:t>
      </w:r>
      <w:r w:rsidR="00B36FC8">
        <w:rPr>
          <w:rFonts w:eastAsia="Arial"/>
          <w:color w:val="000000" w:themeColor="text1"/>
          <w:sz w:val="24"/>
          <w:szCs w:val="24"/>
        </w:rPr>
        <w:t>not the only factor</w:t>
      </w:r>
      <w:r w:rsidR="008715CE">
        <w:rPr>
          <w:rFonts w:eastAsia="Arial"/>
          <w:color w:val="000000" w:themeColor="text1"/>
          <w:sz w:val="24"/>
          <w:szCs w:val="24"/>
        </w:rPr>
        <w:t xml:space="preserve">, the vulnerability </w:t>
      </w:r>
      <w:r w:rsidR="00647C79">
        <w:rPr>
          <w:rFonts w:eastAsia="Arial"/>
          <w:color w:val="000000" w:themeColor="text1"/>
          <w:sz w:val="24"/>
          <w:szCs w:val="24"/>
        </w:rPr>
        <w:t>of an individual can make them more susceptible to experiencing crime</w:t>
      </w:r>
      <w:r w:rsidR="0052466F">
        <w:rPr>
          <w:rFonts w:eastAsia="Arial"/>
          <w:color w:val="000000" w:themeColor="text1"/>
          <w:sz w:val="24"/>
          <w:szCs w:val="24"/>
        </w:rPr>
        <w:t>, due to their inability to protect themsel</w:t>
      </w:r>
      <w:r w:rsidR="00962D9F">
        <w:rPr>
          <w:rFonts w:eastAsia="Arial"/>
          <w:color w:val="000000" w:themeColor="text1"/>
          <w:sz w:val="24"/>
          <w:szCs w:val="24"/>
        </w:rPr>
        <w:t>ves</w:t>
      </w:r>
      <w:r w:rsidR="0052466F">
        <w:rPr>
          <w:rFonts w:eastAsia="Arial"/>
          <w:color w:val="000000" w:themeColor="text1"/>
          <w:sz w:val="24"/>
          <w:szCs w:val="24"/>
        </w:rPr>
        <w:t xml:space="preserve"> against it. </w:t>
      </w:r>
    </w:p>
    <w:p w14:paraId="3FCCE15B" w14:textId="77777777" w:rsidR="00444B7F" w:rsidRDefault="00444B7F" w:rsidP="001E610D">
      <w:pPr>
        <w:spacing w:line="360" w:lineRule="auto"/>
        <w:ind w:right="237"/>
        <w:jc w:val="both"/>
        <w:rPr>
          <w:rFonts w:eastAsia="Arial"/>
          <w:color w:val="000000" w:themeColor="text1"/>
          <w:sz w:val="24"/>
          <w:szCs w:val="24"/>
        </w:rPr>
      </w:pPr>
    </w:p>
    <w:p w14:paraId="671687C0" w14:textId="14D47F54" w:rsidR="00BB7414" w:rsidRDefault="00F562DE" w:rsidP="001E610D">
      <w:pPr>
        <w:spacing w:line="360" w:lineRule="auto"/>
        <w:ind w:right="237"/>
        <w:jc w:val="both"/>
        <w:rPr>
          <w:rFonts w:eastAsia="Arial"/>
          <w:color w:val="000000" w:themeColor="text1"/>
          <w:sz w:val="24"/>
          <w:szCs w:val="24"/>
        </w:rPr>
      </w:pPr>
      <w:r>
        <w:rPr>
          <w:rFonts w:eastAsia="Arial"/>
          <w:color w:val="000000" w:themeColor="text1"/>
          <w:sz w:val="24"/>
          <w:szCs w:val="24"/>
        </w:rPr>
        <w:t>Similarly</w:t>
      </w:r>
      <w:r w:rsidR="00690414">
        <w:rPr>
          <w:rFonts w:eastAsia="Arial"/>
          <w:color w:val="000000" w:themeColor="text1"/>
          <w:sz w:val="24"/>
          <w:szCs w:val="24"/>
        </w:rPr>
        <w:t>, r</w:t>
      </w:r>
      <w:r w:rsidR="00FA3C01">
        <w:rPr>
          <w:rFonts w:eastAsia="Arial"/>
          <w:color w:val="000000" w:themeColor="text1"/>
          <w:sz w:val="24"/>
          <w:szCs w:val="24"/>
        </w:rPr>
        <w:t>epeat victimisation is a very complex area, with many different factors</w:t>
      </w:r>
      <w:r w:rsidR="00B36FC8">
        <w:rPr>
          <w:rFonts w:eastAsia="Arial"/>
          <w:color w:val="000000" w:themeColor="text1"/>
          <w:sz w:val="24"/>
          <w:szCs w:val="24"/>
        </w:rPr>
        <w:t xml:space="preserve"> </w:t>
      </w:r>
      <w:r w:rsidR="00FA3C01">
        <w:rPr>
          <w:rFonts w:eastAsia="Arial"/>
          <w:color w:val="000000" w:themeColor="text1"/>
          <w:sz w:val="24"/>
          <w:szCs w:val="24"/>
        </w:rPr>
        <w:t xml:space="preserve">capable of contributing to the likelihood of someone being a </w:t>
      </w:r>
      <w:r w:rsidR="00FD572D">
        <w:rPr>
          <w:rFonts w:eastAsia="Arial"/>
          <w:color w:val="000000" w:themeColor="text1"/>
          <w:sz w:val="24"/>
          <w:szCs w:val="24"/>
        </w:rPr>
        <w:t xml:space="preserve">repeat </w:t>
      </w:r>
      <w:r w:rsidR="00FA3C01">
        <w:rPr>
          <w:rFonts w:eastAsia="Arial"/>
          <w:color w:val="000000" w:themeColor="text1"/>
          <w:sz w:val="24"/>
          <w:szCs w:val="24"/>
        </w:rPr>
        <w:t>victim of crime</w:t>
      </w:r>
      <w:r w:rsidR="007062D1">
        <w:rPr>
          <w:rFonts w:eastAsia="Arial"/>
          <w:color w:val="000000" w:themeColor="text1"/>
          <w:sz w:val="24"/>
          <w:szCs w:val="24"/>
        </w:rPr>
        <w:t xml:space="preserve"> (</w:t>
      </w:r>
      <w:r w:rsidR="007062D1" w:rsidRPr="007062D1">
        <w:rPr>
          <w:rFonts w:eastAsia="Arial"/>
          <w:color w:val="000000" w:themeColor="text1"/>
          <w:sz w:val="24"/>
          <w:szCs w:val="24"/>
        </w:rPr>
        <w:t>Shorrock</w:t>
      </w:r>
      <w:r w:rsidR="007062D1">
        <w:rPr>
          <w:rFonts w:eastAsia="Arial"/>
          <w:color w:val="000000" w:themeColor="text1"/>
          <w:sz w:val="24"/>
          <w:szCs w:val="24"/>
        </w:rPr>
        <w:t xml:space="preserve">, </w:t>
      </w:r>
      <w:r w:rsidR="007062D1" w:rsidRPr="007062D1">
        <w:rPr>
          <w:rFonts w:eastAsia="Arial"/>
          <w:color w:val="000000" w:themeColor="text1"/>
          <w:sz w:val="24"/>
          <w:szCs w:val="24"/>
        </w:rPr>
        <w:t>McManus</w:t>
      </w:r>
      <w:r w:rsidR="007062D1">
        <w:rPr>
          <w:rFonts w:eastAsia="Arial"/>
          <w:color w:val="000000" w:themeColor="text1"/>
          <w:sz w:val="24"/>
          <w:szCs w:val="24"/>
        </w:rPr>
        <w:t xml:space="preserve"> and </w:t>
      </w:r>
      <w:r w:rsidR="007062D1" w:rsidRPr="007062D1">
        <w:rPr>
          <w:rFonts w:eastAsia="Arial"/>
          <w:color w:val="000000" w:themeColor="text1"/>
          <w:sz w:val="24"/>
          <w:szCs w:val="24"/>
        </w:rPr>
        <w:t>Kirby</w:t>
      </w:r>
      <w:r w:rsidR="007062D1">
        <w:rPr>
          <w:rFonts w:eastAsia="Arial"/>
          <w:color w:val="000000" w:themeColor="text1"/>
          <w:sz w:val="24"/>
          <w:szCs w:val="24"/>
        </w:rPr>
        <w:t xml:space="preserve">, 2020). </w:t>
      </w:r>
      <w:r w:rsidR="00A00B03">
        <w:rPr>
          <w:rFonts w:eastAsia="Arial"/>
          <w:color w:val="000000" w:themeColor="text1"/>
          <w:sz w:val="24"/>
          <w:szCs w:val="24"/>
        </w:rPr>
        <w:t xml:space="preserve">There are two general ideas </w:t>
      </w:r>
      <w:r w:rsidR="00FD572D">
        <w:rPr>
          <w:rFonts w:eastAsia="Arial"/>
          <w:color w:val="000000" w:themeColor="text1"/>
          <w:sz w:val="24"/>
          <w:szCs w:val="24"/>
        </w:rPr>
        <w:t xml:space="preserve">which explain how </w:t>
      </w:r>
      <w:r w:rsidR="00A00B03">
        <w:rPr>
          <w:rFonts w:eastAsia="Arial"/>
          <w:color w:val="000000" w:themeColor="text1"/>
          <w:sz w:val="24"/>
          <w:szCs w:val="24"/>
        </w:rPr>
        <w:t>repeat victimisation</w:t>
      </w:r>
      <w:r w:rsidR="00A30A93">
        <w:rPr>
          <w:rFonts w:eastAsia="Arial"/>
          <w:color w:val="000000" w:themeColor="text1"/>
          <w:sz w:val="24"/>
          <w:szCs w:val="24"/>
        </w:rPr>
        <w:t xml:space="preserve"> occurs</w:t>
      </w:r>
      <w:r w:rsidR="00A00B03">
        <w:rPr>
          <w:rFonts w:eastAsia="Arial"/>
          <w:color w:val="000000" w:themeColor="text1"/>
          <w:sz w:val="24"/>
          <w:szCs w:val="24"/>
        </w:rPr>
        <w:t>.</w:t>
      </w:r>
      <w:r w:rsidR="00A30A93">
        <w:rPr>
          <w:rFonts w:eastAsia="Arial"/>
          <w:color w:val="000000" w:themeColor="text1"/>
          <w:sz w:val="24"/>
          <w:szCs w:val="24"/>
        </w:rPr>
        <w:t xml:space="preserve"> Firstly, there is a flag event, </w:t>
      </w:r>
      <w:r w:rsidR="00FD572D">
        <w:rPr>
          <w:rFonts w:eastAsia="Arial"/>
          <w:color w:val="000000" w:themeColor="text1"/>
          <w:sz w:val="24"/>
          <w:szCs w:val="24"/>
        </w:rPr>
        <w:t>where</w:t>
      </w:r>
      <w:r w:rsidR="00A30A93">
        <w:rPr>
          <w:rFonts w:eastAsia="Arial"/>
          <w:color w:val="000000" w:themeColor="text1"/>
          <w:sz w:val="24"/>
          <w:szCs w:val="24"/>
        </w:rPr>
        <w:t xml:space="preserve"> some people </w:t>
      </w:r>
      <w:r w:rsidR="00A30A93" w:rsidRPr="00A30A93">
        <w:rPr>
          <w:rFonts w:eastAsia="Arial"/>
          <w:color w:val="000000" w:themeColor="text1"/>
          <w:sz w:val="24"/>
          <w:szCs w:val="24"/>
        </w:rPr>
        <w:t>are, by way of circumstance, more attractive to offenders</w:t>
      </w:r>
      <w:r w:rsidR="00A30A93">
        <w:rPr>
          <w:rFonts w:eastAsia="Arial"/>
          <w:color w:val="000000" w:themeColor="text1"/>
          <w:sz w:val="24"/>
          <w:szCs w:val="24"/>
        </w:rPr>
        <w:t xml:space="preserve">, leading to the initial victimisation. </w:t>
      </w:r>
      <w:r w:rsidR="00C04FCB">
        <w:rPr>
          <w:rFonts w:eastAsia="Arial"/>
          <w:color w:val="000000" w:themeColor="text1"/>
          <w:sz w:val="24"/>
          <w:szCs w:val="24"/>
        </w:rPr>
        <w:t>This initial victimisation then in turn boosts the chance of further victimisation</w:t>
      </w:r>
      <w:r w:rsidR="00845607">
        <w:rPr>
          <w:rFonts w:eastAsia="Arial"/>
          <w:color w:val="000000" w:themeColor="text1"/>
          <w:sz w:val="24"/>
          <w:szCs w:val="24"/>
        </w:rPr>
        <w:t xml:space="preserve">, </w:t>
      </w:r>
      <w:r w:rsidR="00845607" w:rsidRPr="00845607">
        <w:rPr>
          <w:rFonts w:eastAsia="Arial"/>
          <w:color w:val="000000" w:themeColor="text1"/>
          <w:sz w:val="24"/>
          <w:szCs w:val="24"/>
        </w:rPr>
        <w:t>with the successful completion of an offence rendering someone more vulnerable to subsequent events</w:t>
      </w:r>
      <w:r w:rsidR="00845607">
        <w:rPr>
          <w:rFonts w:eastAsia="Arial"/>
          <w:color w:val="000000" w:themeColor="text1"/>
          <w:sz w:val="24"/>
          <w:szCs w:val="24"/>
        </w:rPr>
        <w:t xml:space="preserve"> </w:t>
      </w:r>
      <w:r w:rsidR="00845607" w:rsidRPr="00845607">
        <w:rPr>
          <w:rFonts w:eastAsia="Arial"/>
          <w:color w:val="000000" w:themeColor="text1"/>
          <w:sz w:val="24"/>
          <w:szCs w:val="24"/>
        </w:rPr>
        <w:t>(Tseloni and Pease, 2003).</w:t>
      </w:r>
      <w:r w:rsidR="003D0C76">
        <w:rPr>
          <w:rFonts w:eastAsia="Arial"/>
          <w:color w:val="000000" w:themeColor="text1"/>
          <w:sz w:val="24"/>
          <w:szCs w:val="24"/>
        </w:rPr>
        <w:t xml:space="preserve"> With the boost theory, the risk of victimisation therefore increases with each event that occurs. </w:t>
      </w:r>
      <w:r w:rsidR="00962D9F">
        <w:rPr>
          <w:rFonts w:eastAsia="Arial"/>
          <w:color w:val="000000" w:themeColor="text1"/>
          <w:sz w:val="24"/>
          <w:szCs w:val="24"/>
        </w:rPr>
        <w:t>While it is difficult for the police to protect individuals against flag events, addressing an individual’s vulnerabilities, and providing them with support, can decrease the likelihood of boost events occurring</w:t>
      </w:r>
      <w:r w:rsidR="0028201E">
        <w:rPr>
          <w:rFonts w:eastAsia="Arial"/>
          <w:color w:val="000000" w:themeColor="text1"/>
          <w:sz w:val="24"/>
          <w:szCs w:val="24"/>
        </w:rPr>
        <w:t>.</w:t>
      </w:r>
    </w:p>
    <w:p w14:paraId="3F601856" w14:textId="77777777" w:rsidR="00397539" w:rsidRDefault="00397539" w:rsidP="001E610D">
      <w:pPr>
        <w:spacing w:line="360" w:lineRule="auto"/>
        <w:ind w:right="237"/>
        <w:jc w:val="both"/>
        <w:rPr>
          <w:rFonts w:eastAsia="Arial"/>
          <w:color w:val="000000" w:themeColor="text1"/>
          <w:sz w:val="24"/>
          <w:szCs w:val="24"/>
        </w:rPr>
      </w:pPr>
    </w:p>
    <w:p w14:paraId="49CAEF5A" w14:textId="6AC68489" w:rsidR="00A13A50" w:rsidRDefault="00397539" w:rsidP="001E610D">
      <w:pPr>
        <w:spacing w:line="360" w:lineRule="auto"/>
        <w:ind w:right="237"/>
        <w:jc w:val="both"/>
        <w:rPr>
          <w:rFonts w:eastAsia="Arial"/>
          <w:color w:val="000000" w:themeColor="text1"/>
          <w:sz w:val="24"/>
          <w:szCs w:val="24"/>
        </w:rPr>
      </w:pPr>
      <w:r>
        <w:rPr>
          <w:rFonts w:eastAsia="Arial"/>
          <w:color w:val="000000" w:themeColor="text1"/>
          <w:sz w:val="24"/>
          <w:szCs w:val="24"/>
        </w:rPr>
        <w:t xml:space="preserve">Due to the varying range of offences where someone may be repeatedly targeted, it is not possible </w:t>
      </w:r>
      <w:r w:rsidR="00717876">
        <w:rPr>
          <w:rFonts w:eastAsia="Arial"/>
          <w:color w:val="000000" w:themeColor="text1"/>
          <w:sz w:val="24"/>
          <w:szCs w:val="24"/>
        </w:rPr>
        <w:t>to implement a blanket approach to reducing repeat victimisation</w:t>
      </w:r>
      <w:r w:rsidR="0028201E">
        <w:rPr>
          <w:rFonts w:eastAsia="Arial"/>
          <w:color w:val="000000" w:themeColor="text1"/>
          <w:sz w:val="24"/>
          <w:szCs w:val="24"/>
        </w:rPr>
        <w:t xml:space="preserve">. </w:t>
      </w:r>
      <w:r w:rsidR="00A13A50">
        <w:rPr>
          <w:rFonts w:eastAsia="Arial"/>
          <w:color w:val="000000" w:themeColor="text1"/>
          <w:sz w:val="24"/>
          <w:szCs w:val="24"/>
        </w:rPr>
        <w:t xml:space="preserve">I have chosen to look at domestic violence in particular, as </w:t>
      </w:r>
      <w:r w:rsidR="00DE6C4C">
        <w:rPr>
          <w:rFonts w:eastAsia="Arial"/>
          <w:color w:val="000000" w:themeColor="text1"/>
          <w:sz w:val="24"/>
          <w:szCs w:val="24"/>
        </w:rPr>
        <w:t>it has</w:t>
      </w:r>
      <w:r w:rsidR="00F41B3F">
        <w:rPr>
          <w:rFonts w:eastAsia="Arial"/>
          <w:color w:val="000000" w:themeColor="text1"/>
          <w:sz w:val="24"/>
          <w:szCs w:val="24"/>
        </w:rPr>
        <w:t xml:space="preserve"> the highest rate of repeat victimisation, with 71.75% of domestic violence related incidents between April 2018 and March 2019 being</w:t>
      </w:r>
      <w:r w:rsidR="007F6A4A">
        <w:rPr>
          <w:rFonts w:eastAsia="Arial"/>
          <w:color w:val="000000" w:themeColor="text1"/>
          <w:sz w:val="24"/>
          <w:szCs w:val="24"/>
        </w:rPr>
        <w:t xml:space="preserve"> ones of repeat victimisation, compared to 54.62% for violence, and 21.41% for domestic burglary</w:t>
      </w:r>
      <w:r w:rsidR="00531754">
        <w:rPr>
          <w:rFonts w:eastAsia="Arial"/>
          <w:color w:val="000000" w:themeColor="text1"/>
          <w:sz w:val="24"/>
          <w:szCs w:val="24"/>
        </w:rPr>
        <w:t xml:space="preserve"> (Office of National</w:t>
      </w:r>
      <w:r w:rsidR="001832C7">
        <w:rPr>
          <w:rFonts w:eastAsia="Arial"/>
          <w:color w:val="000000" w:themeColor="text1"/>
          <w:sz w:val="24"/>
          <w:szCs w:val="24"/>
        </w:rPr>
        <w:t xml:space="preserve"> Statistics, 2019)</w:t>
      </w:r>
      <w:r w:rsidR="007F6A4A">
        <w:rPr>
          <w:rFonts w:eastAsia="Arial"/>
          <w:color w:val="000000" w:themeColor="text1"/>
          <w:sz w:val="24"/>
          <w:szCs w:val="24"/>
        </w:rPr>
        <w:t>.</w:t>
      </w:r>
      <w:r w:rsidR="00A13A50">
        <w:rPr>
          <w:rFonts w:eastAsia="Arial"/>
          <w:color w:val="000000" w:themeColor="text1"/>
          <w:sz w:val="24"/>
          <w:szCs w:val="24"/>
        </w:rPr>
        <w:t xml:space="preserve"> This therefore highlights there are clear issues surrounding the support for victims of domestic violence, and the approaches currently being used to address the vulnerabilities they face and prevent </w:t>
      </w:r>
      <w:r w:rsidR="00531754">
        <w:rPr>
          <w:rFonts w:eastAsia="Arial"/>
          <w:color w:val="000000" w:themeColor="text1"/>
          <w:sz w:val="24"/>
          <w:szCs w:val="24"/>
        </w:rPr>
        <w:t>repeat</w:t>
      </w:r>
      <w:r w:rsidR="003A346D">
        <w:rPr>
          <w:rFonts w:eastAsia="Arial"/>
          <w:color w:val="000000" w:themeColor="text1"/>
          <w:sz w:val="24"/>
          <w:szCs w:val="24"/>
        </w:rPr>
        <w:t>ed</w:t>
      </w:r>
      <w:r w:rsidR="00531754">
        <w:rPr>
          <w:rFonts w:eastAsia="Arial"/>
          <w:color w:val="000000" w:themeColor="text1"/>
          <w:sz w:val="24"/>
          <w:szCs w:val="24"/>
        </w:rPr>
        <w:t xml:space="preserve"> targeting</w:t>
      </w:r>
      <w:r w:rsidR="003A346D">
        <w:rPr>
          <w:rFonts w:eastAsia="Arial"/>
          <w:color w:val="000000" w:themeColor="text1"/>
          <w:sz w:val="24"/>
          <w:szCs w:val="24"/>
        </w:rPr>
        <w:t>.</w:t>
      </w:r>
      <w:r w:rsidR="007F6A4A">
        <w:rPr>
          <w:rFonts w:eastAsia="Arial"/>
          <w:color w:val="000000" w:themeColor="text1"/>
          <w:sz w:val="24"/>
          <w:szCs w:val="24"/>
        </w:rPr>
        <w:t xml:space="preserve"> </w:t>
      </w:r>
    </w:p>
    <w:p w14:paraId="704ABDEC" w14:textId="77777777" w:rsidR="00A13A50" w:rsidRDefault="00A13A50" w:rsidP="001E610D">
      <w:pPr>
        <w:spacing w:line="360" w:lineRule="auto"/>
        <w:ind w:right="237"/>
        <w:jc w:val="both"/>
        <w:rPr>
          <w:rFonts w:eastAsia="Arial"/>
          <w:color w:val="000000" w:themeColor="text1"/>
          <w:sz w:val="24"/>
          <w:szCs w:val="24"/>
        </w:rPr>
      </w:pPr>
    </w:p>
    <w:p w14:paraId="051566DE" w14:textId="72453270" w:rsidR="00BB7414" w:rsidRDefault="00907BF1" w:rsidP="001E610D">
      <w:pPr>
        <w:spacing w:line="360" w:lineRule="auto"/>
        <w:ind w:right="237"/>
        <w:jc w:val="both"/>
        <w:rPr>
          <w:rFonts w:eastAsia="Arial"/>
          <w:color w:val="000000" w:themeColor="text1"/>
          <w:sz w:val="24"/>
          <w:szCs w:val="24"/>
        </w:rPr>
      </w:pPr>
      <w:r>
        <w:rPr>
          <w:rFonts w:eastAsia="Arial"/>
          <w:color w:val="000000" w:themeColor="text1"/>
          <w:sz w:val="24"/>
          <w:szCs w:val="24"/>
        </w:rPr>
        <w:t xml:space="preserve">In terms of the </w:t>
      </w:r>
      <w:r w:rsidR="003A346D">
        <w:rPr>
          <w:rFonts w:eastAsia="Arial"/>
          <w:color w:val="000000" w:themeColor="text1"/>
          <w:sz w:val="24"/>
          <w:szCs w:val="24"/>
        </w:rPr>
        <w:t>incident,</w:t>
      </w:r>
      <w:r>
        <w:rPr>
          <w:rFonts w:eastAsia="Arial"/>
          <w:color w:val="000000" w:themeColor="text1"/>
          <w:sz w:val="24"/>
          <w:szCs w:val="24"/>
        </w:rPr>
        <w:t xml:space="preserve"> I am reflecting on, </w:t>
      </w:r>
      <w:r w:rsidR="0028201E">
        <w:rPr>
          <w:rFonts w:eastAsia="Arial"/>
          <w:color w:val="000000" w:themeColor="text1"/>
          <w:sz w:val="24"/>
          <w:szCs w:val="24"/>
        </w:rPr>
        <w:t xml:space="preserve">an allegation was made which </w:t>
      </w:r>
      <w:r w:rsidR="00BB7414">
        <w:rPr>
          <w:rFonts w:eastAsia="Arial"/>
          <w:color w:val="000000" w:themeColor="text1"/>
          <w:sz w:val="24"/>
          <w:szCs w:val="24"/>
        </w:rPr>
        <w:t>consisted of years of physical abuse and emotional manipulation</w:t>
      </w:r>
      <w:r w:rsidR="00262CE7">
        <w:rPr>
          <w:rFonts w:eastAsia="Arial"/>
          <w:color w:val="000000" w:themeColor="text1"/>
          <w:sz w:val="24"/>
          <w:szCs w:val="24"/>
        </w:rPr>
        <w:t>.</w:t>
      </w:r>
      <w:r w:rsidR="0028201E">
        <w:rPr>
          <w:rFonts w:eastAsia="Arial"/>
          <w:color w:val="000000" w:themeColor="text1"/>
          <w:sz w:val="24"/>
          <w:szCs w:val="24"/>
        </w:rPr>
        <w:t xml:space="preserve"> </w:t>
      </w:r>
      <w:r w:rsidR="00262CE7">
        <w:rPr>
          <w:rFonts w:eastAsia="Arial"/>
          <w:color w:val="000000" w:themeColor="text1"/>
          <w:sz w:val="24"/>
          <w:szCs w:val="24"/>
        </w:rPr>
        <w:t xml:space="preserve">From the outset of this investigation, it was clear that we were dealing with a vulnerable victim. </w:t>
      </w:r>
      <w:r w:rsidR="00C524D5">
        <w:rPr>
          <w:rFonts w:eastAsia="Arial"/>
          <w:color w:val="000000" w:themeColor="text1"/>
          <w:sz w:val="24"/>
          <w:szCs w:val="24"/>
        </w:rPr>
        <w:t xml:space="preserve">This individual had pre-existing mental health issues including depression and anxiety. </w:t>
      </w:r>
      <w:r w:rsidR="00C524D5">
        <w:rPr>
          <w:rFonts w:eastAsia="Arial"/>
          <w:color w:val="000000" w:themeColor="text1"/>
          <w:sz w:val="24"/>
          <w:szCs w:val="24"/>
        </w:rPr>
        <w:lastRenderedPageBreak/>
        <w:t>She was also clearly very attached to the suspect, with an element of trauma bonding</w:t>
      </w:r>
      <w:r w:rsidR="00A70D5F">
        <w:rPr>
          <w:rFonts w:eastAsia="Arial"/>
          <w:color w:val="000000" w:themeColor="text1"/>
          <w:sz w:val="24"/>
          <w:szCs w:val="24"/>
        </w:rPr>
        <w:t xml:space="preserve">, </w:t>
      </w:r>
      <w:r w:rsidR="00E81D34">
        <w:rPr>
          <w:rFonts w:eastAsia="Arial"/>
          <w:color w:val="000000" w:themeColor="text1"/>
          <w:sz w:val="24"/>
          <w:szCs w:val="24"/>
        </w:rPr>
        <w:t>which is formed between a victim and offender after a repeated cycle of violence or abuse (</w:t>
      </w:r>
      <w:r w:rsidR="00E81D34" w:rsidRPr="00E81D34">
        <w:rPr>
          <w:rFonts w:eastAsia="Arial"/>
          <w:color w:val="000000" w:themeColor="text1"/>
          <w:sz w:val="24"/>
          <w:szCs w:val="24"/>
        </w:rPr>
        <w:t>Effiong</w:t>
      </w:r>
      <w:r w:rsidR="00E81D34">
        <w:rPr>
          <w:rFonts w:eastAsia="Arial"/>
          <w:color w:val="000000" w:themeColor="text1"/>
          <w:sz w:val="24"/>
          <w:szCs w:val="24"/>
        </w:rPr>
        <w:t xml:space="preserve"> et al., 2022). </w:t>
      </w:r>
      <w:r w:rsidR="00962D9F">
        <w:rPr>
          <w:rFonts w:eastAsia="Arial"/>
          <w:color w:val="000000" w:themeColor="text1"/>
          <w:sz w:val="24"/>
          <w:szCs w:val="24"/>
        </w:rPr>
        <w:t xml:space="preserve">Further it was clear that she needed support through the investigation to prevent withdrawing her complaint, as she had done previously. </w:t>
      </w:r>
    </w:p>
    <w:p w14:paraId="6A918DE3" w14:textId="77777777" w:rsidR="0076381F" w:rsidRDefault="0076381F" w:rsidP="001E610D">
      <w:pPr>
        <w:spacing w:line="360" w:lineRule="auto"/>
        <w:ind w:right="237"/>
        <w:jc w:val="both"/>
        <w:rPr>
          <w:rFonts w:eastAsia="Arial"/>
          <w:color w:val="000000" w:themeColor="text1"/>
          <w:sz w:val="24"/>
          <w:szCs w:val="24"/>
        </w:rPr>
      </w:pPr>
    </w:p>
    <w:p w14:paraId="313707FA" w14:textId="1DF9A422" w:rsidR="00355EA3" w:rsidRDefault="0076381F" w:rsidP="00736742">
      <w:pPr>
        <w:spacing w:line="360" w:lineRule="auto"/>
        <w:ind w:right="237"/>
        <w:jc w:val="both"/>
        <w:rPr>
          <w:rFonts w:eastAsia="Arial"/>
          <w:color w:val="000000" w:themeColor="text1"/>
          <w:sz w:val="24"/>
          <w:szCs w:val="24"/>
        </w:rPr>
      </w:pPr>
      <w:r>
        <w:rPr>
          <w:rFonts w:eastAsia="Arial"/>
          <w:color w:val="000000" w:themeColor="text1"/>
          <w:sz w:val="24"/>
          <w:szCs w:val="24"/>
        </w:rPr>
        <w:t>As a result of the allegations made, I submitted a public protection notification (PPN) which was then shared with various external agencies, including social services</w:t>
      </w:r>
      <w:r w:rsidR="001163FC">
        <w:rPr>
          <w:rFonts w:eastAsia="Arial"/>
          <w:color w:val="000000" w:themeColor="text1"/>
          <w:sz w:val="24"/>
          <w:szCs w:val="24"/>
        </w:rPr>
        <w:t>. A public protection notification includes the Domestic Abuse</w:t>
      </w:r>
      <w:r w:rsidR="005307D9">
        <w:rPr>
          <w:rFonts w:eastAsia="Arial"/>
          <w:color w:val="000000" w:themeColor="text1"/>
          <w:sz w:val="24"/>
          <w:szCs w:val="24"/>
        </w:rPr>
        <w:t xml:space="preserve">, Stalking and Harassment (DASH) risk assessment, which is used to try and identify risks specific to an individual (College of Policing, 2015). </w:t>
      </w:r>
      <w:r>
        <w:rPr>
          <w:rFonts w:eastAsia="Arial"/>
          <w:color w:val="000000" w:themeColor="text1"/>
          <w:sz w:val="24"/>
          <w:szCs w:val="24"/>
        </w:rPr>
        <w:t xml:space="preserve">it was decided that in these circumstances the support of an </w:t>
      </w:r>
      <w:r w:rsidR="00736742">
        <w:rPr>
          <w:rFonts w:eastAsia="Arial"/>
          <w:color w:val="000000" w:themeColor="text1"/>
          <w:sz w:val="24"/>
          <w:szCs w:val="24"/>
        </w:rPr>
        <w:t xml:space="preserve">Independent Domestic Violence Adviser (IDVA) would be appropriate. </w:t>
      </w:r>
    </w:p>
    <w:p w14:paraId="520E1983" w14:textId="77777777" w:rsidR="00B900F5" w:rsidRDefault="00B900F5" w:rsidP="00736742">
      <w:pPr>
        <w:spacing w:line="360" w:lineRule="auto"/>
        <w:ind w:right="237"/>
        <w:jc w:val="both"/>
        <w:rPr>
          <w:rFonts w:eastAsia="Arial"/>
          <w:color w:val="000000" w:themeColor="text1"/>
          <w:sz w:val="24"/>
          <w:szCs w:val="24"/>
        </w:rPr>
      </w:pPr>
    </w:p>
    <w:p w14:paraId="77268585" w14:textId="63FA0635" w:rsidR="00D42E0F" w:rsidRDefault="00D42E0F" w:rsidP="00602A84">
      <w:pPr>
        <w:spacing w:line="360" w:lineRule="auto"/>
        <w:ind w:right="237"/>
        <w:jc w:val="both"/>
        <w:rPr>
          <w:rFonts w:eastAsia="Arial"/>
          <w:color w:val="000000" w:themeColor="text1"/>
          <w:sz w:val="24"/>
          <w:szCs w:val="24"/>
        </w:rPr>
      </w:pPr>
      <w:r>
        <w:rPr>
          <w:rFonts w:eastAsia="Arial"/>
          <w:color w:val="000000" w:themeColor="text1"/>
          <w:sz w:val="24"/>
          <w:szCs w:val="24"/>
        </w:rPr>
        <w:t>In addition to this, when</w:t>
      </w:r>
      <w:r w:rsidR="00B0619B">
        <w:rPr>
          <w:rFonts w:eastAsia="Arial"/>
          <w:color w:val="000000" w:themeColor="text1"/>
          <w:sz w:val="24"/>
          <w:szCs w:val="24"/>
        </w:rPr>
        <w:t xml:space="preserve"> the offender was bailed,</w:t>
      </w:r>
      <w:r w:rsidR="00B900F5">
        <w:rPr>
          <w:rFonts w:eastAsia="Arial"/>
          <w:color w:val="000000" w:themeColor="text1"/>
          <w:sz w:val="24"/>
          <w:szCs w:val="24"/>
        </w:rPr>
        <w:t xml:space="preserve"> strict conditions were </w:t>
      </w:r>
      <w:r w:rsidR="00B0619B">
        <w:rPr>
          <w:rFonts w:eastAsia="Arial"/>
          <w:color w:val="000000" w:themeColor="text1"/>
          <w:sz w:val="24"/>
          <w:szCs w:val="24"/>
        </w:rPr>
        <w:t xml:space="preserve">enforced </w:t>
      </w:r>
      <w:r w:rsidR="00B900F5">
        <w:rPr>
          <w:rFonts w:eastAsia="Arial"/>
          <w:color w:val="000000" w:themeColor="text1"/>
          <w:sz w:val="24"/>
          <w:szCs w:val="24"/>
        </w:rPr>
        <w:t>to ensure the victim was safeguarded, in order to try and prevent further offence</w:t>
      </w:r>
      <w:r w:rsidR="00B0619B">
        <w:rPr>
          <w:rFonts w:eastAsia="Arial"/>
          <w:color w:val="000000" w:themeColor="text1"/>
          <w:sz w:val="24"/>
          <w:szCs w:val="24"/>
        </w:rPr>
        <w:t>s occurring against this victim while the investigation was progressed.</w:t>
      </w:r>
    </w:p>
    <w:p w14:paraId="1BDDECF5" w14:textId="77777777" w:rsidR="00D42E0F" w:rsidRDefault="00D42E0F" w:rsidP="00602A84">
      <w:pPr>
        <w:spacing w:line="360" w:lineRule="auto"/>
        <w:ind w:right="237"/>
        <w:jc w:val="both"/>
        <w:rPr>
          <w:rFonts w:eastAsia="Arial"/>
          <w:color w:val="000000" w:themeColor="text1"/>
          <w:sz w:val="24"/>
          <w:szCs w:val="24"/>
        </w:rPr>
      </w:pPr>
    </w:p>
    <w:p w14:paraId="48383E5D" w14:textId="77777777" w:rsidR="00C00E19" w:rsidRDefault="00C00E19" w:rsidP="00602A84">
      <w:pPr>
        <w:spacing w:line="360" w:lineRule="auto"/>
        <w:ind w:right="237"/>
        <w:jc w:val="both"/>
        <w:rPr>
          <w:rFonts w:eastAsia="Arial"/>
          <w:color w:val="000000" w:themeColor="text1"/>
          <w:sz w:val="24"/>
          <w:szCs w:val="24"/>
        </w:rPr>
      </w:pPr>
    </w:p>
    <w:p w14:paraId="6AFA8F68" w14:textId="2712AB09" w:rsidR="00C00E19" w:rsidRDefault="00E7105B" w:rsidP="00602A84">
      <w:pPr>
        <w:spacing w:line="360" w:lineRule="auto"/>
        <w:ind w:right="237"/>
        <w:jc w:val="both"/>
        <w:rPr>
          <w:rFonts w:eastAsia="Arial"/>
          <w:b/>
          <w:bCs/>
          <w:color w:val="000000" w:themeColor="text1"/>
          <w:sz w:val="24"/>
          <w:szCs w:val="24"/>
        </w:rPr>
      </w:pPr>
      <w:r>
        <w:rPr>
          <w:rFonts w:eastAsia="Arial"/>
          <w:b/>
          <w:bCs/>
          <w:color w:val="000000" w:themeColor="text1"/>
          <w:sz w:val="24"/>
          <w:szCs w:val="24"/>
        </w:rPr>
        <w:t>So What?</w:t>
      </w:r>
    </w:p>
    <w:p w14:paraId="132A45B2" w14:textId="2889CE2D" w:rsidR="00941665" w:rsidRDefault="00CE6EDF" w:rsidP="00602A84">
      <w:pPr>
        <w:spacing w:line="360" w:lineRule="auto"/>
        <w:ind w:right="237"/>
        <w:jc w:val="both"/>
        <w:rPr>
          <w:rFonts w:eastAsia="Arial"/>
          <w:color w:val="000000" w:themeColor="text1"/>
          <w:sz w:val="24"/>
          <w:szCs w:val="24"/>
        </w:rPr>
      </w:pPr>
      <w:r w:rsidRPr="00CE6EDF">
        <w:rPr>
          <w:rFonts w:eastAsia="Arial"/>
          <w:color w:val="000000" w:themeColor="text1"/>
          <w:sz w:val="24"/>
          <w:szCs w:val="24"/>
        </w:rPr>
        <w:t xml:space="preserve">While a number </w:t>
      </w:r>
      <w:r>
        <w:rPr>
          <w:rFonts w:eastAsia="Arial"/>
          <w:color w:val="000000" w:themeColor="text1"/>
          <w:sz w:val="24"/>
          <w:szCs w:val="24"/>
        </w:rPr>
        <w:t xml:space="preserve">of measures were put in place in relation to this incident </w:t>
      </w:r>
      <w:r w:rsidR="00C75489">
        <w:rPr>
          <w:rFonts w:eastAsia="Arial"/>
          <w:color w:val="000000" w:themeColor="text1"/>
          <w:sz w:val="24"/>
          <w:szCs w:val="24"/>
        </w:rPr>
        <w:t xml:space="preserve">to </w:t>
      </w:r>
      <w:r w:rsidR="00A9071F">
        <w:rPr>
          <w:rFonts w:eastAsia="Arial"/>
          <w:color w:val="000000" w:themeColor="text1"/>
          <w:sz w:val="24"/>
          <w:szCs w:val="24"/>
        </w:rPr>
        <w:t>address the victim’s vulnerability</w:t>
      </w:r>
      <w:r w:rsidR="00C75489">
        <w:rPr>
          <w:rFonts w:eastAsia="Arial"/>
          <w:color w:val="000000" w:themeColor="text1"/>
          <w:sz w:val="24"/>
          <w:szCs w:val="24"/>
        </w:rPr>
        <w:t>, and reduce the risk</w:t>
      </w:r>
      <w:r w:rsidR="002025AD">
        <w:rPr>
          <w:rFonts w:eastAsia="Arial"/>
          <w:color w:val="000000" w:themeColor="text1"/>
          <w:sz w:val="24"/>
          <w:szCs w:val="24"/>
        </w:rPr>
        <w:t xml:space="preserve"> to her of repeat victimisation, the success of</w:t>
      </w:r>
      <w:r w:rsidR="00696DA7">
        <w:rPr>
          <w:rFonts w:eastAsia="Arial"/>
          <w:color w:val="000000" w:themeColor="text1"/>
          <w:sz w:val="24"/>
          <w:szCs w:val="24"/>
        </w:rPr>
        <w:t xml:space="preserve"> these measures comes from their implementation in practice. </w:t>
      </w:r>
    </w:p>
    <w:p w14:paraId="1A0F4075" w14:textId="77777777" w:rsidR="00696DA7" w:rsidRDefault="00696DA7" w:rsidP="00602A84">
      <w:pPr>
        <w:spacing w:line="360" w:lineRule="auto"/>
        <w:ind w:right="237"/>
        <w:jc w:val="both"/>
        <w:rPr>
          <w:rFonts w:eastAsia="Arial"/>
          <w:color w:val="000000" w:themeColor="text1"/>
          <w:sz w:val="24"/>
          <w:szCs w:val="24"/>
        </w:rPr>
      </w:pPr>
    </w:p>
    <w:p w14:paraId="6E03117F" w14:textId="305136E8" w:rsidR="00696DA7" w:rsidRDefault="002933AF" w:rsidP="00602A84">
      <w:pPr>
        <w:spacing w:line="360" w:lineRule="auto"/>
        <w:ind w:right="237"/>
        <w:jc w:val="both"/>
        <w:rPr>
          <w:rFonts w:eastAsia="Arial"/>
          <w:color w:val="000000" w:themeColor="text1"/>
          <w:sz w:val="24"/>
          <w:szCs w:val="24"/>
        </w:rPr>
      </w:pPr>
      <w:r>
        <w:rPr>
          <w:rFonts w:eastAsia="Arial"/>
          <w:color w:val="000000" w:themeColor="text1"/>
          <w:sz w:val="24"/>
          <w:szCs w:val="24"/>
        </w:rPr>
        <w:t xml:space="preserve">The submission of a PPN in this incident, and the completion of the DASH questions, alerted the Domestic Abuse Unit to the victim and their specific vulnerabilities, which in turn allowed for them to become involved in supporting the victim. </w:t>
      </w:r>
      <w:r w:rsidR="00A9071F">
        <w:rPr>
          <w:rFonts w:eastAsia="Arial"/>
          <w:color w:val="000000" w:themeColor="text1"/>
          <w:sz w:val="24"/>
          <w:szCs w:val="24"/>
        </w:rPr>
        <w:t>The victim was also referred to a</w:t>
      </w:r>
      <w:r w:rsidR="00D97B1F">
        <w:rPr>
          <w:rFonts w:eastAsia="Arial"/>
          <w:color w:val="000000" w:themeColor="text1"/>
          <w:sz w:val="24"/>
          <w:szCs w:val="24"/>
        </w:rPr>
        <w:t xml:space="preserve"> Multi-Agency Risk Assessment Conference (MARAC) </w:t>
      </w:r>
      <w:r w:rsidR="00A9071F">
        <w:rPr>
          <w:rFonts w:eastAsia="Arial"/>
          <w:color w:val="000000" w:themeColor="text1"/>
          <w:sz w:val="24"/>
          <w:szCs w:val="24"/>
        </w:rPr>
        <w:t xml:space="preserve">which </w:t>
      </w:r>
      <w:r w:rsidR="00866FA2">
        <w:rPr>
          <w:rFonts w:eastAsia="Arial"/>
          <w:color w:val="000000" w:themeColor="text1"/>
          <w:sz w:val="24"/>
          <w:szCs w:val="24"/>
        </w:rPr>
        <w:t xml:space="preserve">focuses on managing the risk posed to the victim, involving agencies beyond just those involved in the criminal </w:t>
      </w:r>
      <w:r w:rsidR="00E70C52">
        <w:rPr>
          <w:rFonts w:eastAsia="Arial"/>
          <w:color w:val="000000" w:themeColor="text1"/>
          <w:sz w:val="24"/>
          <w:szCs w:val="24"/>
        </w:rPr>
        <w:t>justice system, and allows for information to be shared, and actions implemented</w:t>
      </w:r>
      <w:r w:rsidR="00247C54">
        <w:rPr>
          <w:rFonts w:eastAsia="Arial"/>
          <w:color w:val="000000" w:themeColor="text1"/>
          <w:sz w:val="24"/>
          <w:szCs w:val="24"/>
        </w:rPr>
        <w:t xml:space="preserve"> to attempt to reduce the risk of further harm to the victim (Robinson, 2006)</w:t>
      </w:r>
      <w:r w:rsidR="00376094">
        <w:rPr>
          <w:rFonts w:eastAsia="Arial"/>
          <w:color w:val="000000" w:themeColor="text1"/>
          <w:sz w:val="24"/>
          <w:szCs w:val="24"/>
        </w:rPr>
        <w:t xml:space="preserve">. The MARAC process therefore aims to protect high risk victims of domestic violence from repeat </w:t>
      </w:r>
      <w:r w:rsidR="00B93692">
        <w:rPr>
          <w:rFonts w:eastAsia="Arial"/>
          <w:color w:val="000000" w:themeColor="text1"/>
          <w:sz w:val="24"/>
          <w:szCs w:val="24"/>
        </w:rPr>
        <w:t>victimisation and</w:t>
      </w:r>
      <w:r w:rsidR="003675C1">
        <w:rPr>
          <w:rFonts w:eastAsia="Arial"/>
          <w:color w:val="000000" w:themeColor="text1"/>
          <w:sz w:val="24"/>
          <w:szCs w:val="24"/>
        </w:rPr>
        <w:t xml:space="preserve"> allows for a common understanding between all agencies of the vulnerabilities of each individual victim, in order to organise a uniformed and collaborative response. </w:t>
      </w:r>
    </w:p>
    <w:p w14:paraId="55A8265D" w14:textId="77777777" w:rsidR="00C268EE" w:rsidRDefault="00C268EE" w:rsidP="00602A84">
      <w:pPr>
        <w:spacing w:line="360" w:lineRule="auto"/>
        <w:ind w:right="237"/>
        <w:jc w:val="both"/>
        <w:rPr>
          <w:rFonts w:eastAsia="Arial"/>
          <w:color w:val="000000" w:themeColor="text1"/>
          <w:sz w:val="24"/>
          <w:szCs w:val="24"/>
        </w:rPr>
      </w:pPr>
    </w:p>
    <w:p w14:paraId="5775361C" w14:textId="3154B948" w:rsidR="00CB1C33" w:rsidRPr="00CB1C33" w:rsidRDefault="008E390B" w:rsidP="00CB1C33">
      <w:pPr>
        <w:spacing w:line="360" w:lineRule="auto"/>
        <w:ind w:right="237"/>
        <w:jc w:val="both"/>
        <w:rPr>
          <w:rFonts w:eastAsia="Arial"/>
          <w:color w:val="000000" w:themeColor="text1"/>
          <w:sz w:val="24"/>
          <w:szCs w:val="24"/>
        </w:rPr>
      </w:pPr>
      <w:r>
        <w:rPr>
          <w:rFonts w:eastAsia="Arial"/>
          <w:color w:val="000000" w:themeColor="text1"/>
          <w:sz w:val="24"/>
          <w:szCs w:val="24"/>
        </w:rPr>
        <w:t xml:space="preserve">As a result of the MARAC process, the victim in this case was offered support by external agencies, including the support of an IDVA. </w:t>
      </w:r>
      <w:r w:rsidR="00CB1C33" w:rsidRPr="00CB1C33">
        <w:rPr>
          <w:rFonts w:eastAsia="Arial"/>
          <w:color w:val="000000" w:themeColor="text1"/>
          <w:sz w:val="24"/>
          <w:szCs w:val="24"/>
        </w:rPr>
        <w:t xml:space="preserve">The victim agreed to engage with external services to help support her </w:t>
      </w:r>
      <w:r w:rsidR="008A0FD5" w:rsidRPr="00CB1C33">
        <w:rPr>
          <w:rFonts w:eastAsia="Arial"/>
          <w:color w:val="000000" w:themeColor="text1"/>
          <w:sz w:val="24"/>
          <w:szCs w:val="24"/>
        </w:rPr>
        <w:t>in regard to</w:t>
      </w:r>
      <w:r w:rsidR="00CB1C33" w:rsidRPr="00CB1C33">
        <w:rPr>
          <w:rFonts w:eastAsia="Arial"/>
          <w:color w:val="000000" w:themeColor="text1"/>
          <w:sz w:val="24"/>
          <w:szCs w:val="24"/>
        </w:rPr>
        <w:t xml:space="preserve"> her mental health, as well as her history regarding domestic violence and being a repeat victim of this. </w:t>
      </w:r>
    </w:p>
    <w:p w14:paraId="46A9BA1F" w14:textId="77777777" w:rsidR="00CB1C33" w:rsidRPr="00CB1C33" w:rsidRDefault="00CB1C33" w:rsidP="00CB1C33">
      <w:pPr>
        <w:spacing w:line="360" w:lineRule="auto"/>
        <w:ind w:right="237"/>
        <w:jc w:val="both"/>
        <w:rPr>
          <w:rFonts w:eastAsia="Arial"/>
          <w:color w:val="000000" w:themeColor="text1"/>
          <w:sz w:val="24"/>
          <w:szCs w:val="24"/>
        </w:rPr>
      </w:pPr>
    </w:p>
    <w:p w14:paraId="28DFBD4C" w14:textId="4F146463" w:rsidR="005F58D8" w:rsidRDefault="00CB68AA" w:rsidP="00CB1C33">
      <w:pPr>
        <w:spacing w:line="360" w:lineRule="auto"/>
        <w:ind w:right="237"/>
        <w:jc w:val="both"/>
        <w:rPr>
          <w:rFonts w:eastAsia="Arial"/>
          <w:color w:val="000000" w:themeColor="text1"/>
          <w:sz w:val="24"/>
          <w:szCs w:val="24"/>
        </w:rPr>
      </w:pPr>
      <w:r>
        <w:rPr>
          <w:rFonts w:eastAsia="Arial"/>
          <w:color w:val="000000" w:themeColor="text1"/>
          <w:sz w:val="24"/>
          <w:szCs w:val="24"/>
        </w:rPr>
        <w:t>Further, in relation to the dash questions,</w:t>
      </w:r>
      <w:r w:rsidR="00CB1C33" w:rsidRPr="00CB1C33">
        <w:rPr>
          <w:rFonts w:eastAsia="Arial"/>
          <w:color w:val="000000" w:themeColor="text1"/>
          <w:sz w:val="24"/>
          <w:szCs w:val="24"/>
        </w:rPr>
        <w:t xml:space="preserve"> I feel like because I had built up a good rapport with the victim initially, I was able to get a good level of detail when going through these questions, and so the overview we all had of her as a person, and the issues she had, was quite comprehensive.</w:t>
      </w:r>
      <w:r>
        <w:rPr>
          <w:rFonts w:eastAsia="Arial"/>
          <w:color w:val="000000" w:themeColor="text1"/>
          <w:sz w:val="24"/>
          <w:szCs w:val="24"/>
        </w:rPr>
        <w:t xml:space="preserve"> This meant that each agency could better target the support they were able to provide</w:t>
      </w:r>
      <w:r w:rsidR="004655F5">
        <w:rPr>
          <w:rFonts w:eastAsia="Arial"/>
          <w:color w:val="000000" w:themeColor="text1"/>
          <w:sz w:val="24"/>
          <w:szCs w:val="24"/>
        </w:rPr>
        <w:t xml:space="preserve">, and ensure the support is appropriate for the victim and the struggles they face </w:t>
      </w:r>
      <w:r w:rsidR="00F42B60">
        <w:rPr>
          <w:rFonts w:eastAsia="Arial"/>
          <w:color w:val="000000" w:themeColor="text1"/>
          <w:sz w:val="24"/>
          <w:szCs w:val="24"/>
        </w:rPr>
        <w:t>specifically and targeted all areas of concern.</w:t>
      </w:r>
    </w:p>
    <w:p w14:paraId="40EAE4C7" w14:textId="77777777" w:rsidR="004161DA" w:rsidRDefault="004161DA" w:rsidP="00CB1C33">
      <w:pPr>
        <w:spacing w:line="360" w:lineRule="auto"/>
        <w:ind w:right="237"/>
        <w:jc w:val="both"/>
        <w:rPr>
          <w:rFonts w:eastAsia="Arial"/>
          <w:color w:val="000000" w:themeColor="text1"/>
          <w:sz w:val="24"/>
          <w:szCs w:val="24"/>
        </w:rPr>
      </w:pPr>
    </w:p>
    <w:p w14:paraId="51E46157" w14:textId="1880AA9B" w:rsidR="005F58D8" w:rsidRDefault="004161DA" w:rsidP="00CB1C33">
      <w:pPr>
        <w:spacing w:line="360" w:lineRule="auto"/>
        <w:ind w:right="237"/>
        <w:jc w:val="both"/>
        <w:rPr>
          <w:rFonts w:eastAsia="Arial"/>
          <w:color w:val="000000" w:themeColor="text1"/>
          <w:sz w:val="24"/>
          <w:szCs w:val="24"/>
        </w:rPr>
      </w:pPr>
      <w:r>
        <w:rPr>
          <w:rFonts w:eastAsia="Arial"/>
          <w:color w:val="000000" w:themeColor="text1"/>
          <w:sz w:val="24"/>
          <w:szCs w:val="24"/>
        </w:rPr>
        <w:t>However, while in principle</w:t>
      </w:r>
      <w:r w:rsidR="0099526F">
        <w:rPr>
          <w:rFonts w:eastAsia="Arial"/>
          <w:color w:val="000000" w:themeColor="text1"/>
          <w:sz w:val="24"/>
          <w:szCs w:val="24"/>
        </w:rPr>
        <w:t xml:space="preserve">, the support provided to the victims should be cohesive across all agencies, targeted and well-informed, the practical benefits of a multi-agency response do face a number of difficulties. </w:t>
      </w:r>
      <w:r w:rsidR="00D965ED">
        <w:rPr>
          <w:rFonts w:eastAsia="Arial"/>
          <w:color w:val="000000" w:themeColor="text1"/>
          <w:sz w:val="24"/>
          <w:szCs w:val="24"/>
        </w:rPr>
        <w:t>Firstly,</w:t>
      </w:r>
      <w:r w:rsidR="0099526F">
        <w:rPr>
          <w:rFonts w:eastAsia="Arial"/>
          <w:color w:val="000000" w:themeColor="text1"/>
          <w:sz w:val="24"/>
          <w:szCs w:val="24"/>
        </w:rPr>
        <w:t xml:space="preserve"> </w:t>
      </w:r>
      <w:r w:rsidR="00200EE6">
        <w:rPr>
          <w:rFonts w:eastAsia="Arial"/>
          <w:color w:val="000000" w:themeColor="text1"/>
          <w:sz w:val="24"/>
          <w:szCs w:val="24"/>
        </w:rPr>
        <w:t xml:space="preserve">the range of different agencies </w:t>
      </w:r>
      <w:r w:rsidR="00513344">
        <w:rPr>
          <w:rFonts w:eastAsia="Arial"/>
          <w:color w:val="000000" w:themeColor="text1"/>
          <w:sz w:val="24"/>
          <w:szCs w:val="24"/>
        </w:rPr>
        <w:t>involved in an incident of domestic abuse, means that each agency often has a different idea of</w:t>
      </w:r>
      <w:r w:rsidR="006F63FC">
        <w:rPr>
          <w:rFonts w:eastAsia="Arial"/>
          <w:color w:val="000000" w:themeColor="text1"/>
          <w:sz w:val="24"/>
          <w:szCs w:val="24"/>
        </w:rPr>
        <w:t xml:space="preserve"> their role and accountability, and what actions they should be performing (Peckover and Golding, 2017). </w:t>
      </w:r>
      <w:r w:rsidR="00D965ED">
        <w:rPr>
          <w:rFonts w:eastAsia="Arial"/>
          <w:color w:val="000000" w:themeColor="text1"/>
          <w:sz w:val="24"/>
          <w:szCs w:val="24"/>
        </w:rPr>
        <w:t xml:space="preserve">This lack of consistency between the different organisations, means that </w:t>
      </w:r>
      <w:r w:rsidR="003B5BC5">
        <w:rPr>
          <w:rFonts w:eastAsia="Arial"/>
          <w:color w:val="000000" w:themeColor="text1"/>
          <w:sz w:val="24"/>
          <w:szCs w:val="24"/>
        </w:rPr>
        <w:t>actions which would benefit the victim do not get completed, as it is not clear who is responsible to undertaking that action. This therefore means while the vulnerabilities of a victim may have been identified, and an appropriate plan put in place, this plan is not followed</w:t>
      </w:r>
      <w:r w:rsidR="00846B82">
        <w:rPr>
          <w:rFonts w:eastAsia="Arial"/>
          <w:color w:val="000000" w:themeColor="text1"/>
          <w:sz w:val="24"/>
          <w:szCs w:val="24"/>
        </w:rPr>
        <w:t xml:space="preserve"> efficiently, and the victim in turn loses out on different elements of support which could prove fundamental in preventing further victimisation. </w:t>
      </w:r>
    </w:p>
    <w:p w14:paraId="001A4E06" w14:textId="77777777" w:rsidR="00A824B9" w:rsidRDefault="00A824B9" w:rsidP="00CB1C33">
      <w:pPr>
        <w:spacing w:line="360" w:lineRule="auto"/>
        <w:ind w:right="237"/>
        <w:jc w:val="both"/>
        <w:rPr>
          <w:rFonts w:eastAsia="Arial"/>
          <w:color w:val="000000" w:themeColor="text1"/>
          <w:sz w:val="24"/>
          <w:szCs w:val="24"/>
        </w:rPr>
      </w:pPr>
    </w:p>
    <w:p w14:paraId="25C4D4CF" w14:textId="2692BFD8" w:rsidR="00A824B9" w:rsidRDefault="0099526F" w:rsidP="00CB1C33">
      <w:pPr>
        <w:spacing w:line="360" w:lineRule="auto"/>
        <w:ind w:right="237"/>
        <w:jc w:val="both"/>
        <w:rPr>
          <w:rFonts w:eastAsia="Arial"/>
          <w:color w:val="000000" w:themeColor="text1"/>
          <w:sz w:val="24"/>
          <w:szCs w:val="24"/>
        </w:rPr>
      </w:pPr>
      <w:r>
        <w:rPr>
          <w:rFonts w:eastAsia="Arial"/>
          <w:color w:val="000000" w:themeColor="text1"/>
          <w:sz w:val="24"/>
          <w:szCs w:val="24"/>
        </w:rPr>
        <w:t>The MARAC process can also</w:t>
      </w:r>
      <w:r w:rsidR="00A824B9">
        <w:rPr>
          <w:rFonts w:eastAsia="Arial"/>
          <w:color w:val="000000" w:themeColor="text1"/>
          <w:sz w:val="24"/>
          <w:szCs w:val="24"/>
        </w:rPr>
        <w:t xml:space="preserve"> be hindered </w:t>
      </w:r>
      <w:r w:rsidR="00943947">
        <w:rPr>
          <w:rFonts w:eastAsia="Arial"/>
          <w:color w:val="000000" w:themeColor="text1"/>
          <w:sz w:val="24"/>
          <w:szCs w:val="24"/>
        </w:rPr>
        <w:t>by the suspect in the investigation</w:t>
      </w:r>
      <w:r w:rsidR="00204AC5">
        <w:rPr>
          <w:rFonts w:eastAsia="Arial"/>
          <w:color w:val="000000" w:themeColor="text1"/>
          <w:sz w:val="24"/>
          <w:szCs w:val="24"/>
        </w:rPr>
        <w:t>.</w:t>
      </w:r>
      <w:r w:rsidR="001A51CB">
        <w:rPr>
          <w:rFonts w:eastAsia="Arial"/>
          <w:color w:val="000000" w:themeColor="text1"/>
          <w:sz w:val="24"/>
          <w:szCs w:val="24"/>
        </w:rPr>
        <w:t xml:space="preserve"> In this investigation, following arrest, the suspect was released on bail. Attached to this were a number of conditions, including that he was to have no contact with the victim, was not to attend her address and was not to approach her. </w:t>
      </w:r>
      <w:r w:rsidR="00922685">
        <w:rPr>
          <w:rFonts w:eastAsia="Arial"/>
          <w:color w:val="000000" w:themeColor="text1"/>
          <w:sz w:val="24"/>
          <w:szCs w:val="24"/>
        </w:rPr>
        <w:t xml:space="preserve">However, as highlighted by Gauthier, </w:t>
      </w:r>
      <w:r w:rsidR="00001AFE">
        <w:rPr>
          <w:rFonts w:eastAsia="Arial"/>
          <w:color w:val="000000" w:themeColor="text1"/>
          <w:sz w:val="24"/>
          <w:szCs w:val="24"/>
        </w:rPr>
        <w:t>there is no way to guarantee that the suspect will respect these conditions, and given the current state of policing, there are not enough resources to follow these conditions up</w:t>
      </w:r>
      <w:r w:rsidR="007F20C6">
        <w:rPr>
          <w:rFonts w:eastAsia="Arial"/>
          <w:color w:val="000000" w:themeColor="text1"/>
          <w:sz w:val="24"/>
          <w:szCs w:val="24"/>
        </w:rPr>
        <w:t xml:space="preserve"> (Gauthier, 2009)</w:t>
      </w:r>
      <w:r w:rsidR="00C437B9">
        <w:rPr>
          <w:rFonts w:eastAsia="Arial"/>
          <w:color w:val="000000" w:themeColor="text1"/>
          <w:sz w:val="24"/>
          <w:szCs w:val="24"/>
        </w:rPr>
        <w:t xml:space="preserve">. The only way for the police </w:t>
      </w:r>
      <w:r w:rsidR="00C437B9">
        <w:rPr>
          <w:rFonts w:eastAsia="Arial"/>
          <w:color w:val="000000" w:themeColor="text1"/>
          <w:sz w:val="24"/>
          <w:szCs w:val="24"/>
        </w:rPr>
        <w:lastRenderedPageBreak/>
        <w:t xml:space="preserve">to know whether there has been a breach of bail, is therefore if they happen to witness it themselves, or if it is reported. </w:t>
      </w:r>
      <w:r w:rsidR="00D41E07">
        <w:rPr>
          <w:rFonts w:eastAsia="Arial"/>
          <w:color w:val="000000" w:themeColor="text1"/>
          <w:sz w:val="24"/>
          <w:szCs w:val="24"/>
        </w:rPr>
        <w:t xml:space="preserve">Especially in cases of high-risk domestic violence victims, where </w:t>
      </w:r>
      <w:r w:rsidR="007D22BD">
        <w:rPr>
          <w:rFonts w:eastAsia="Arial"/>
          <w:color w:val="000000" w:themeColor="text1"/>
          <w:sz w:val="24"/>
          <w:szCs w:val="24"/>
        </w:rPr>
        <w:t xml:space="preserve">they are fearful of the suspect, it becomes less likely that they will report any breaches to the police. This will then in turn have the effect of cancelling out any work done as a result of the MARAC process, as the correct support, to help the victim </w:t>
      </w:r>
      <w:r w:rsidR="009802D5">
        <w:rPr>
          <w:rFonts w:eastAsia="Arial"/>
          <w:color w:val="000000" w:themeColor="text1"/>
          <w:sz w:val="24"/>
          <w:szCs w:val="24"/>
        </w:rPr>
        <w:t xml:space="preserve">escape the suspect, will not be present. </w:t>
      </w:r>
      <w:r w:rsidR="00534672">
        <w:rPr>
          <w:rFonts w:eastAsia="Arial"/>
          <w:color w:val="000000" w:themeColor="text1"/>
          <w:sz w:val="24"/>
          <w:szCs w:val="24"/>
        </w:rPr>
        <w:t xml:space="preserve">While this is not in itself a reason to deny a suspect bail, </w:t>
      </w:r>
      <w:r w:rsidR="00A03EAD">
        <w:rPr>
          <w:rFonts w:eastAsia="Arial"/>
          <w:color w:val="000000" w:themeColor="text1"/>
          <w:sz w:val="24"/>
          <w:szCs w:val="24"/>
        </w:rPr>
        <w:t xml:space="preserve">especially given the presumption in favour of bail </w:t>
      </w:r>
      <w:r w:rsidR="00566FB8">
        <w:rPr>
          <w:rFonts w:eastAsia="Arial"/>
          <w:color w:val="000000" w:themeColor="text1"/>
          <w:sz w:val="24"/>
          <w:szCs w:val="24"/>
        </w:rPr>
        <w:t>(Bail Act, 1976)</w:t>
      </w:r>
      <w:r w:rsidR="00A03EAD">
        <w:rPr>
          <w:rFonts w:eastAsia="Arial"/>
          <w:color w:val="000000" w:themeColor="text1"/>
          <w:sz w:val="24"/>
          <w:szCs w:val="24"/>
        </w:rPr>
        <w:t xml:space="preserve">, </w:t>
      </w:r>
      <w:r w:rsidR="00A6132F">
        <w:rPr>
          <w:rFonts w:eastAsia="Arial"/>
          <w:color w:val="000000" w:themeColor="text1"/>
          <w:sz w:val="24"/>
          <w:szCs w:val="24"/>
        </w:rPr>
        <w:t>it does highlight the point that while submitting a PPN and opening the victim up to support can be extremely effective at supporting</w:t>
      </w:r>
      <w:r w:rsidR="005C1764">
        <w:rPr>
          <w:rFonts w:eastAsia="Arial"/>
          <w:color w:val="000000" w:themeColor="text1"/>
          <w:sz w:val="24"/>
          <w:szCs w:val="24"/>
        </w:rPr>
        <w:t xml:space="preserve"> a vulnerable person and preventing them from being a repeat victim of domestic violence, this is something which can easily be </w:t>
      </w:r>
      <w:r w:rsidR="00D42E0F">
        <w:rPr>
          <w:rFonts w:eastAsia="Arial"/>
          <w:color w:val="000000" w:themeColor="text1"/>
          <w:sz w:val="24"/>
          <w:szCs w:val="24"/>
        </w:rPr>
        <w:t>de-railed</w:t>
      </w:r>
      <w:r w:rsidR="000235F1">
        <w:rPr>
          <w:rFonts w:eastAsia="Arial"/>
          <w:color w:val="000000" w:themeColor="text1"/>
          <w:sz w:val="24"/>
          <w:szCs w:val="24"/>
        </w:rPr>
        <w:t xml:space="preserve">, especially if those providing support are not aware of the full picture of the current circumstances. </w:t>
      </w:r>
    </w:p>
    <w:p w14:paraId="26451ECD" w14:textId="77C7159D" w:rsidR="000235F1" w:rsidRDefault="006C41BA" w:rsidP="00CB1C33">
      <w:pPr>
        <w:spacing w:line="360" w:lineRule="auto"/>
        <w:ind w:right="237"/>
        <w:jc w:val="both"/>
        <w:rPr>
          <w:rFonts w:eastAsia="Arial"/>
          <w:color w:val="000000" w:themeColor="text1"/>
          <w:sz w:val="24"/>
          <w:szCs w:val="24"/>
        </w:rPr>
      </w:pPr>
      <w:r>
        <w:rPr>
          <w:rFonts w:eastAsia="Arial"/>
          <w:color w:val="000000" w:themeColor="text1"/>
          <w:sz w:val="24"/>
          <w:szCs w:val="24"/>
        </w:rPr>
        <w:t xml:space="preserve"> </w:t>
      </w:r>
    </w:p>
    <w:p w14:paraId="6479C3F6" w14:textId="77777777" w:rsidR="000235F1" w:rsidRDefault="000235F1" w:rsidP="00CB1C33">
      <w:pPr>
        <w:spacing w:line="360" w:lineRule="auto"/>
        <w:ind w:right="237"/>
        <w:jc w:val="both"/>
        <w:rPr>
          <w:rFonts w:eastAsia="Arial"/>
          <w:color w:val="000000" w:themeColor="text1"/>
          <w:sz w:val="24"/>
          <w:szCs w:val="24"/>
        </w:rPr>
      </w:pPr>
    </w:p>
    <w:p w14:paraId="24664757" w14:textId="2ABE46ED" w:rsidR="000235F1" w:rsidRDefault="000235F1" w:rsidP="00CB1C33">
      <w:pPr>
        <w:spacing w:line="360" w:lineRule="auto"/>
        <w:ind w:right="237"/>
        <w:jc w:val="both"/>
        <w:rPr>
          <w:rFonts w:eastAsia="Arial"/>
          <w:b/>
          <w:bCs/>
          <w:color w:val="000000" w:themeColor="text1"/>
          <w:sz w:val="24"/>
          <w:szCs w:val="24"/>
        </w:rPr>
      </w:pPr>
      <w:r>
        <w:rPr>
          <w:rFonts w:eastAsia="Arial"/>
          <w:b/>
          <w:bCs/>
          <w:color w:val="000000" w:themeColor="text1"/>
          <w:sz w:val="24"/>
          <w:szCs w:val="24"/>
        </w:rPr>
        <w:t>Now What?</w:t>
      </w:r>
    </w:p>
    <w:p w14:paraId="742C9A4D" w14:textId="0685557F" w:rsidR="00ED5AD3" w:rsidRDefault="00ED5AD3" w:rsidP="00ED5AD3">
      <w:pPr>
        <w:spacing w:line="360" w:lineRule="auto"/>
        <w:ind w:right="237"/>
        <w:jc w:val="both"/>
        <w:rPr>
          <w:rFonts w:eastAsia="Arial"/>
          <w:color w:val="000000" w:themeColor="text1"/>
          <w:sz w:val="24"/>
          <w:szCs w:val="24"/>
        </w:rPr>
      </w:pPr>
      <w:r w:rsidRPr="004161DA">
        <w:rPr>
          <w:rFonts w:eastAsia="Arial"/>
          <w:color w:val="000000" w:themeColor="text1"/>
          <w:sz w:val="24"/>
          <w:szCs w:val="24"/>
        </w:rPr>
        <w:t>It is clear, that within the South Wales Police force area, the MARAC process is successful at preventing repeat victimisation of domestic violence victims in the majority of cases. Robinson identifie</w:t>
      </w:r>
      <w:r>
        <w:rPr>
          <w:rFonts w:eastAsia="Arial"/>
          <w:color w:val="000000" w:themeColor="text1"/>
          <w:sz w:val="24"/>
          <w:szCs w:val="24"/>
        </w:rPr>
        <w:t>d</w:t>
      </w:r>
      <w:r w:rsidRPr="004161DA">
        <w:rPr>
          <w:rFonts w:eastAsia="Arial"/>
          <w:color w:val="000000" w:themeColor="text1"/>
          <w:sz w:val="24"/>
          <w:szCs w:val="24"/>
        </w:rPr>
        <w:t xml:space="preserve"> through follow up interviews conducting with victims, that following the MARAC process, 60% had no additional police complaints, and 70% had no further domestic violence call outs (Robinson, 2006). This therefore goes some way in evidencing that implementing a multi-agency response to support vulnerable high-risk victims, is often successful at preventing repeat victimisation of these people.</w:t>
      </w:r>
    </w:p>
    <w:p w14:paraId="340B685C" w14:textId="77777777" w:rsidR="00ED5AD3" w:rsidRDefault="00ED5AD3" w:rsidP="00CB1C33">
      <w:pPr>
        <w:spacing w:line="360" w:lineRule="auto"/>
        <w:ind w:right="237"/>
        <w:jc w:val="both"/>
        <w:rPr>
          <w:rFonts w:eastAsia="Arial"/>
          <w:b/>
          <w:bCs/>
          <w:color w:val="000000" w:themeColor="text1"/>
          <w:sz w:val="24"/>
          <w:szCs w:val="24"/>
        </w:rPr>
      </w:pPr>
    </w:p>
    <w:p w14:paraId="523556EE" w14:textId="4EEA5D50" w:rsidR="00821CDB" w:rsidRDefault="004C6615" w:rsidP="00CB1C33">
      <w:pPr>
        <w:spacing w:line="360" w:lineRule="auto"/>
        <w:ind w:right="237"/>
        <w:jc w:val="both"/>
        <w:rPr>
          <w:rFonts w:eastAsia="Arial"/>
          <w:color w:val="000000" w:themeColor="text1"/>
          <w:sz w:val="24"/>
          <w:szCs w:val="24"/>
        </w:rPr>
      </w:pPr>
      <w:r>
        <w:rPr>
          <w:rFonts w:eastAsia="Arial"/>
          <w:color w:val="000000" w:themeColor="text1"/>
          <w:sz w:val="24"/>
          <w:szCs w:val="24"/>
        </w:rPr>
        <w:t>However, a</w:t>
      </w:r>
      <w:r w:rsidR="0061394C">
        <w:rPr>
          <w:rFonts w:eastAsia="Arial"/>
          <w:color w:val="000000" w:themeColor="text1"/>
          <w:sz w:val="24"/>
          <w:szCs w:val="24"/>
        </w:rPr>
        <w:t>s highlighted in a Home Office report into the effectiveness of the MARAC process, more needs to be done to ensure that the victim is engaged with the pr</w:t>
      </w:r>
      <w:r w:rsidR="0061394C">
        <w:rPr>
          <w:rFonts w:eastAsia="Arial"/>
          <w:color w:val="000000" w:themeColor="text1"/>
          <w:sz w:val="24"/>
          <w:szCs w:val="24"/>
        </w:rPr>
        <w:t xml:space="preserve">ocess (Home Office, </w:t>
      </w:r>
      <w:r w:rsidR="006B4822">
        <w:rPr>
          <w:rFonts w:eastAsia="Arial"/>
          <w:color w:val="000000" w:themeColor="text1"/>
          <w:sz w:val="24"/>
          <w:szCs w:val="24"/>
        </w:rPr>
        <w:t>2011)</w:t>
      </w:r>
      <w:r w:rsidR="008F25AE">
        <w:rPr>
          <w:rFonts w:eastAsia="Arial"/>
          <w:color w:val="000000" w:themeColor="text1"/>
          <w:sz w:val="24"/>
          <w:szCs w:val="24"/>
        </w:rPr>
        <w:t>. This report also highlights that one of the main barriers to the MARAC process, is the failure of agencies to make all attending aware of appropriate information, which can lead to ineffectiveness</w:t>
      </w:r>
      <w:r w:rsidR="00821CDB">
        <w:rPr>
          <w:rFonts w:eastAsia="Arial"/>
          <w:color w:val="000000" w:themeColor="text1"/>
          <w:sz w:val="24"/>
          <w:szCs w:val="24"/>
        </w:rPr>
        <w:t xml:space="preserve">, before going on to state that for MARAC to be effective there needs to be clear aims, along with a collaborative approach and effective coordination (Home Office, 2011). When looking at these issues, </w:t>
      </w:r>
      <w:r w:rsidR="005E51AD">
        <w:rPr>
          <w:rFonts w:eastAsia="Arial"/>
          <w:color w:val="000000" w:themeColor="text1"/>
          <w:sz w:val="24"/>
          <w:szCs w:val="24"/>
        </w:rPr>
        <w:t xml:space="preserve">I think there </w:t>
      </w:r>
      <w:r w:rsidR="007159A4">
        <w:rPr>
          <w:rFonts w:eastAsia="Arial"/>
          <w:color w:val="000000" w:themeColor="text1"/>
          <w:sz w:val="24"/>
          <w:szCs w:val="24"/>
        </w:rPr>
        <w:t>is one main thing which can be implemented in order to ensure the work done by all organisations is as effective as possible</w:t>
      </w:r>
      <w:r w:rsidR="00821CDB">
        <w:rPr>
          <w:rFonts w:eastAsia="Arial"/>
          <w:color w:val="000000" w:themeColor="text1"/>
          <w:sz w:val="24"/>
          <w:szCs w:val="24"/>
        </w:rPr>
        <w:t xml:space="preserve"> – </w:t>
      </w:r>
      <w:r w:rsidR="007E1DA5">
        <w:rPr>
          <w:rFonts w:eastAsia="Arial"/>
          <w:color w:val="000000" w:themeColor="text1"/>
          <w:sz w:val="24"/>
          <w:szCs w:val="24"/>
        </w:rPr>
        <w:t>communicatio</w:t>
      </w:r>
      <w:r w:rsidR="00821CDB">
        <w:rPr>
          <w:rFonts w:eastAsia="Arial"/>
          <w:color w:val="000000" w:themeColor="text1"/>
          <w:sz w:val="24"/>
          <w:szCs w:val="24"/>
        </w:rPr>
        <w:t xml:space="preserve">n. </w:t>
      </w:r>
    </w:p>
    <w:p w14:paraId="478EE00C" w14:textId="1A93AEE2" w:rsidR="00821CDB" w:rsidRDefault="00821CDB" w:rsidP="00CB1C33">
      <w:pPr>
        <w:spacing w:line="360" w:lineRule="auto"/>
        <w:ind w:right="237"/>
        <w:jc w:val="both"/>
        <w:rPr>
          <w:rFonts w:eastAsia="Arial"/>
          <w:color w:val="000000" w:themeColor="text1"/>
          <w:sz w:val="24"/>
          <w:szCs w:val="24"/>
        </w:rPr>
      </w:pPr>
      <w:r>
        <w:rPr>
          <w:rFonts w:eastAsia="Arial"/>
          <w:color w:val="000000" w:themeColor="text1"/>
          <w:sz w:val="24"/>
          <w:szCs w:val="24"/>
        </w:rPr>
        <w:lastRenderedPageBreak/>
        <w:t xml:space="preserve"> </w:t>
      </w:r>
    </w:p>
    <w:p w14:paraId="6B02BA9C" w14:textId="71FEC720" w:rsidR="000235F1" w:rsidRDefault="007E1DA5" w:rsidP="00CB1C33">
      <w:pPr>
        <w:spacing w:line="360" w:lineRule="auto"/>
        <w:ind w:right="237"/>
        <w:jc w:val="both"/>
        <w:rPr>
          <w:rFonts w:eastAsia="Arial"/>
          <w:color w:val="000000" w:themeColor="text1"/>
          <w:sz w:val="24"/>
          <w:szCs w:val="24"/>
        </w:rPr>
      </w:pPr>
      <w:r>
        <w:rPr>
          <w:rFonts w:eastAsia="Arial"/>
          <w:color w:val="000000" w:themeColor="text1"/>
          <w:sz w:val="24"/>
          <w:szCs w:val="24"/>
        </w:rPr>
        <w:t xml:space="preserve">I </w:t>
      </w:r>
      <w:r w:rsidR="00821CDB">
        <w:rPr>
          <w:rFonts w:eastAsia="Arial"/>
          <w:color w:val="000000" w:themeColor="text1"/>
          <w:sz w:val="24"/>
          <w:szCs w:val="24"/>
        </w:rPr>
        <w:t>believe</w:t>
      </w:r>
      <w:r>
        <w:rPr>
          <w:rFonts w:eastAsia="Arial"/>
          <w:color w:val="000000" w:themeColor="text1"/>
          <w:sz w:val="24"/>
          <w:szCs w:val="24"/>
        </w:rPr>
        <w:t xml:space="preserve"> the main issue that arises in terms of supporting vulnerable people, and preventing repeat victimisation, especially in a situation of domestic violence is a lack of communication between the different supporting agencies and the police, which in turn means that there is not a cohesive approach to the support offered, and things can slip through the cracks much more easily. Further by not </w:t>
      </w:r>
      <w:r w:rsidR="003F7DCD">
        <w:rPr>
          <w:rFonts w:eastAsia="Arial"/>
          <w:color w:val="000000" w:themeColor="text1"/>
          <w:sz w:val="24"/>
          <w:szCs w:val="24"/>
        </w:rPr>
        <w:t>offering support in a cohesive manner</w:t>
      </w:r>
      <w:r w:rsidR="006C41BA">
        <w:rPr>
          <w:rFonts w:eastAsia="Arial"/>
          <w:color w:val="000000" w:themeColor="text1"/>
          <w:sz w:val="24"/>
          <w:szCs w:val="24"/>
        </w:rPr>
        <w:t xml:space="preserve"> and not communicating regularly with the victim</w:t>
      </w:r>
      <w:r w:rsidR="003F7DCD">
        <w:rPr>
          <w:rFonts w:eastAsia="Arial"/>
          <w:color w:val="000000" w:themeColor="text1"/>
          <w:sz w:val="24"/>
          <w:szCs w:val="24"/>
        </w:rPr>
        <w:t>, the</w:t>
      </w:r>
      <w:r w:rsidR="006C41BA">
        <w:rPr>
          <w:rFonts w:eastAsia="Arial"/>
          <w:color w:val="000000" w:themeColor="text1"/>
          <w:sz w:val="24"/>
          <w:szCs w:val="24"/>
        </w:rPr>
        <w:t>y m</w:t>
      </w:r>
      <w:r w:rsidR="003F7DCD">
        <w:rPr>
          <w:rFonts w:eastAsia="Arial"/>
          <w:color w:val="000000" w:themeColor="text1"/>
          <w:sz w:val="24"/>
          <w:szCs w:val="24"/>
        </w:rPr>
        <w:t xml:space="preserve">ay feel confused about </w:t>
      </w:r>
      <w:r w:rsidR="006C41BA">
        <w:rPr>
          <w:rFonts w:eastAsia="Arial"/>
          <w:color w:val="000000" w:themeColor="text1"/>
          <w:sz w:val="24"/>
          <w:szCs w:val="24"/>
        </w:rPr>
        <w:t>the role of each agency</w:t>
      </w:r>
      <w:r w:rsidR="003F7DCD">
        <w:rPr>
          <w:rFonts w:eastAsia="Arial"/>
          <w:color w:val="000000" w:themeColor="text1"/>
          <w:sz w:val="24"/>
          <w:szCs w:val="24"/>
        </w:rPr>
        <w:t>, and they may therefore not know who to talk to regarding different issues</w:t>
      </w:r>
      <w:r w:rsidR="006C41BA">
        <w:rPr>
          <w:rFonts w:eastAsia="Arial"/>
          <w:color w:val="000000" w:themeColor="text1"/>
          <w:sz w:val="24"/>
          <w:szCs w:val="24"/>
        </w:rPr>
        <w:t>, and as a result may</w:t>
      </w:r>
      <w:r w:rsidR="003F7DCD">
        <w:rPr>
          <w:rFonts w:eastAsia="Arial"/>
          <w:color w:val="000000" w:themeColor="text1"/>
          <w:sz w:val="24"/>
          <w:szCs w:val="24"/>
        </w:rPr>
        <w:t xml:space="preserve"> </w:t>
      </w:r>
      <w:r w:rsidR="006C41BA">
        <w:rPr>
          <w:rFonts w:eastAsia="Arial"/>
          <w:color w:val="000000" w:themeColor="text1"/>
          <w:sz w:val="24"/>
          <w:szCs w:val="24"/>
        </w:rPr>
        <w:t xml:space="preserve">not reach out </w:t>
      </w:r>
      <w:r w:rsidR="00D9321F">
        <w:rPr>
          <w:rFonts w:eastAsia="Arial"/>
          <w:color w:val="000000" w:themeColor="text1"/>
          <w:sz w:val="24"/>
          <w:szCs w:val="24"/>
        </w:rPr>
        <w:t>and disclose important information.</w:t>
      </w:r>
    </w:p>
    <w:p w14:paraId="2749DD48" w14:textId="77777777" w:rsidR="00A150FF" w:rsidRDefault="00A150FF" w:rsidP="00CB1C33">
      <w:pPr>
        <w:spacing w:line="360" w:lineRule="auto"/>
        <w:ind w:right="237"/>
        <w:jc w:val="both"/>
        <w:rPr>
          <w:rFonts w:eastAsia="Arial"/>
          <w:color w:val="000000" w:themeColor="text1"/>
          <w:sz w:val="24"/>
          <w:szCs w:val="24"/>
        </w:rPr>
      </w:pPr>
    </w:p>
    <w:p w14:paraId="33CA81DE" w14:textId="772CA878" w:rsidR="00A150FF" w:rsidRDefault="00A150FF" w:rsidP="00CB1C33">
      <w:pPr>
        <w:spacing w:line="360" w:lineRule="auto"/>
        <w:ind w:right="237"/>
        <w:jc w:val="both"/>
        <w:rPr>
          <w:rFonts w:eastAsia="Arial"/>
          <w:color w:val="000000" w:themeColor="text1"/>
          <w:sz w:val="24"/>
          <w:szCs w:val="24"/>
        </w:rPr>
      </w:pPr>
      <w:r>
        <w:rPr>
          <w:rFonts w:eastAsia="Arial"/>
          <w:color w:val="000000" w:themeColor="text1"/>
          <w:sz w:val="24"/>
          <w:szCs w:val="24"/>
        </w:rPr>
        <w:t xml:space="preserve">I also however think it is important for communication to be improved within each individual agency. Within the police for example, those involved with the MARAC process, and the officer in charge of the investigation, are very much separate, and there is very little communication advising on the progress of both the investigation, and the </w:t>
      </w:r>
      <w:r w:rsidR="00E7740E">
        <w:rPr>
          <w:rFonts w:eastAsia="Arial"/>
          <w:color w:val="000000" w:themeColor="text1"/>
          <w:sz w:val="24"/>
          <w:szCs w:val="24"/>
        </w:rPr>
        <w:t xml:space="preserve">support being offered to the victim. This means that an important change in the investigation, which could have a big impact on the support needed by the victim, is not necessarily known by those involved in the MARAC process, but equally, a change within the support being offered, such as withdrawing </w:t>
      </w:r>
      <w:r w:rsidR="00404A0C">
        <w:rPr>
          <w:rFonts w:eastAsia="Arial"/>
          <w:color w:val="000000" w:themeColor="text1"/>
          <w:sz w:val="24"/>
          <w:szCs w:val="24"/>
        </w:rPr>
        <w:t xml:space="preserve">a support measure, or falling engagement of the victim, is not known by the officer in the investigation, which can have a big impact on both the strength of the victim to not return to their abuser, and also the support of the victim in securing </w:t>
      </w:r>
      <w:r w:rsidR="009F45AC">
        <w:rPr>
          <w:rFonts w:eastAsia="Arial"/>
          <w:color w:val="000000" w:themeColor="text1"/>
          <w:sz w:val="24"/>
          <w:szCs w:val="24"/>
        </w:rPr>
        <w:t xml:space="preserve">a charge. </w:t>
      </w:r>
      <w:r w:rsidR="0042301C">
        <w:rPr>
          <w:rFonts w:eastAsia="Arial"/>
          <w:color w:val="000000" w:themeColor="text1"/>
          <w:sz w:val="24"/>
          <w:szCs w:val="24"/>
        </w:rPr>
        <w:t>As highlighted by the College of Policing, failure to effectively support a victim is likely to lead to their mistrust in the police</w:t>
      </w:r>
      <w:r w:rsidR="00A3763B">
        <w:rPr>
          <w:rFonts w:eastAsia="Arial"/>
          <w:color w:val="000000" w:themeColor="text1"/>
          <w:sz w:val="24"/>
          <w:szCs w:val="24"/>
        </w:rPr>
        <w:t>, and it is therefore imperative that improvement is made to ensure the support offered is effective</w:t>
      </w:r>
      <w:r w:rsidR="00143B9B">
        <w:rPr>
          <w:rFonts w:eastAsia="Arial"/>
          <w:color w:val="000000" w:themeColor="text1"/>
          <w:sz w:val="24"/>
          <w:szCs w:val="24"/>
        </w:rPr>
        <w:t xml:space="preserve"> (College of Policing, 2015).</w:t>
      </w:r>
    </w:p>
    <w:p w14:paraId="285B8D86" w14:textId="77777777" w:rsidR="00D9321F" w:rsidRDefault="00D9321F" w:rsidP="00CB1C33">
      <w:pPr>
        <w:spacing w:line="360" w:lineRule="auto"/>
        <w:ind w:right="237"/>
        <w:jc w:val="both"/>
        <w:rPr>
          <w:rFonts w:eastAsia="Arial"/>
          <w:color w:val="000000" w:themeColor="text1"/>
          <w:sz w:val="24"/>
          <w:szCs w:val="24"/>
        </w:rPr>
      </w:pPr>
    </w:p>
    <w:p w14:paraId="4E8942FC" w14:textId="5F70363D" w:rsidR="00D9321F" w:rsidRPr="00821CDB" w:rsidRDefault="00A150FF" w:rsidP="00CB1C33">
      <w:pPr>
        <w:spacing w:line="360" w:lineRule="auto"/>
        <w:ind w:right="237"/>
        <w:jc w:val="both"/>
        <w:rPr>
          <w:rFonts w:eastAsia="Arial"/>
          <w:b/>
          <w:bCs/>
          <w:color w:val="000000" w:themeColor="text1"/>
          <w:sz w:val="24"/>
          <w:szCs w:val="24"/>
        </w:rPr>
      </w:pPr>
      <w:r>
        <w:rPr>
          <w:rFonts w:eastAsia="Arial"/>
          <w:color w:val="000000" w:themeColor="text1"/>
          <w:sz w:val="24"/>
          <w:szCs w:val="24"/>
        </w:rPr>
        <w:t>In the example given within this essay, the victim was very engaged with the process initially, however as time went on the involvement of outside agencies dropped off, and communication reduced. By the time the case was ready to send to the CPS, it was only myself who was maintaining</w:t>
      </w:r>
      <w:r w:rsidR="00B16BF6">
        <w:rPr>
          <w:rFonts w:eastAsia="Arial"/>
          <w:color w:val="000000" w:themeColor="text1"/>
          <w:sz w:val="24"/>
          <w:szCs w:val="24"/>
        </w:rPr>
        <w:t xml:space="preserve"> contact with the victim, however I was unaware that she was no longer receiving effective support from the other involved agencies. </w:t>
      </w:r>
      <w:r w:rsidR="00B727D7">
        <w:rPr>
          <w:rFonts w:eastAsia="Arial"/>
          <w:color w:val="000000" w:themeColor="text1"/>
          <w:sz w:val="24"/>
          <w:szCs w:val="24"/>
        </w:rPr>
        <w:t xml:space="preserve">The victim therefore withdrew her complaint, and the matter was deemed by the CPS to lack sufficient evidence to charge. </w:t>
      </w:r>
      <w:r w:rsidR="00591825">
        <w:rPr>
          <w:rFonts w:eastAsia="Arial"/>
          <w:color w:val="000000" w:themeColor="text1"/>
          <w:sz w:val="24"/>
          <w:szCs w:val="24"/>
        </w:rPr>
        <w:t>However,</w:t>
      </w:r>
      <w:r w:rsidR="00B727D7">
        <w:rPr>
          <w:rFonts w:eastAsia="Arial"/>
          <w:color w:val="000000" w:themeColor="text1"/>
          <w:sz w:val="24"/>
          <w:szCs w:val="24"/>
        </w:rPr>
        <w:t xml:space="preserve"> had I been in better communication with the domestic abuse unit, and the other agencies offering </w:t>
      </w:r>
      <w:r w:rsidR="00B727D7">
        <w:rPr>
          <w:rFonts w:eastAsia="Arial"/>
          <w:color w:val="000000" w:themeColor="text1"/>
          <w:sz w:val="24"/>
          <w:szCs w:val="24"/>
        </w:rPr>
        <w:lastRenderedPageBreak/>
        <w:t xml:space="preserve">support, I would have been better informed </w:t>
      </w:r>
      <w:r w:rsidR="003C7D16">
        <w:rPr>
          <w:rFonts w:eastAsia="Arial"/>
          <w:color w:val="000000" w:themeColor="text1"/>
          <w:sz w:val="24"/>
          <w:szCs w:val="24"/>
        </w:rPr>
        <w:t>as to the full circumstances surrounding the victim</w:t>
      </w:r>
      <w:r w:rsidR="003B0E9F">
        <w:rPr>
          <w:rFonts w:eastAsia="Arial"/>
          <w:color w:val="000000" w:themeColor="text1"/>
          <w:sz w:val="24"/>
          <w:szCs w:val="24"/>
        </w:rPr>
        <w:t xml:space="preserve">, and would have known that actions being taken within the investigation, such as needing to speak with the victim’s children, would have been difficult for the victim, which ultimately led to their withdrawal. </w:t>
      </w:r>
      <w:r w:rsidR="003C7D16">
        <w:rPr>
          <w:rFonts w:eastAsia="Arial"/>
          <w:color w:val="000000" w:themeColor="text1"/>
          <w:sz w:val="24"/>
          <w:szCs w:val="24"/>
        </w:rPr>
        <w:t xml:space="preserve"> </w:t>
      </w:r>
    </w:p>
    <w:p w14:paraId="325397E1" w14:textId="77777777" w:rsidR="00A65F75" w:rsidRDefault="00A65F75" w:rsidP="00CA0690">
      <w:pPr>
        <w:spacing w:line="360" w:lineRule="auto"/>
        <w:ind w:right="237"/>
        <w:rPr>
          <w:rFonts w:eastAsia="Arial"/>
          <w:color w:val="000000" w:themeColor="text1"/>
          <w:sz w:val="24"/>
          <w:szCs w:val="24"/>
        </w:rPr>
      </w:pPr>
    </w:p>
    <w:p w14:paraId="736669DF" w14:textId="77777777" w:rsidR="00521D9C" w:rsidRDefault="00521D9C" w:rsidP="00CA0690">
      <w:pPr>
        <w:spacing w:line="360" w:lineRule="auto"/>
        <w:ind w:right="237"/>
        <w:rPr>
          <w:rFonts w:eastAsia="Arial"/>
          <w:b/>
          <w:bCs/>
          <w:color w:val="000000" w:themeColor="text1"/>
          <w:sz w:val="24"/>
          <w:szCs w:val="24"/>
        </w:rPr>
      </w:pPr>
    </w:p>
    <w:p w14:paraId="19F0416D" w14:textId="77777777" w:rsidR="00521D9C" w:rsidRDefault="00521D9C" w:rsidP="00CA0690">
      <w:pPr>
        <w:spacing w:line="360" w:lineRule="auto"/>
        <w:ind w:right="237"/>
        <w:rPr>
          <w:rFonts w:eastAsia="Arial"/>
          <w:b/>
          <w:bCs/>
          <w:color w:val="000000" w:themeColor="text1"/>
          <w:sz w:val="24"/>
          <w:szCs w:val="24"/>
        </w:rPr>
      </w:pPr>
      <w:r>
        <w:rPr>
          <w:rFonts w:eastAsia="Arial"/>
          <w:b/>
          <w:bCs/>
          <w:color w:val="000000" w:themeColor="text1"/>
          <w:sz w:val="24"/>
          <w:szCs w:val="24"/>
        </w:rPr>
        <w:t xml:space="preserve">Conclusion </w:t>
      </w:r>
    </w:p>
    <w:p w14:paraId="0C59C869" w14:textId="5789FAC7" w:rsidR="00941665" w:rsidRPr="00C00E19" w:rsidRDefault="00521D9C" w:rsidP="00591825">
      <w:pPr>
        <w:spacing w:line="360" w:lineRule="auto"/>
        <w:ind w:right="237"/>
        <w:rPr>
          <w:rFonts w:eastAsia="Arial"/>
          <w:b/>
          <w:bCs/>
          <w:color w:val="000000" w:themeColor="text1"/>
          <w:sz w:val="24"/>
          <w:szCs w:val="24"/>
        </w:rPr>
      </w:pPr>
      <w:r>
        <w:rPr>
          <w:rFonts w:eastAsia="Arial"/>
          <w:color w:val="000000" w:themeColor="text1"/>
          <w:sz w:val="24"/>
          <w:szCs w:val="24"/>
        </w:rPr>
        <w:t xml:space="preserve">To conclude, while there are currently process in place (specifically the MARAC process) which can be extremely effective in supporting vulnerable victims of domestic </w:t>
      </w:r>
      <w:r w:rsidR="00352738">
        <w:rPr>
          <w:rFonts w:eastAsia="Arial"/>
          <w:color w:val="000000" w:themeColor="text1"/>
          <w:sz w:val="24"/>
          <w:szCs w:val="24"/>
        </w:rPr>
        <w:t>abuse and</w:t>
      </w:r>
      <w:r>
        <w:rPr>
          <w:rFonts w:eastAsia="Arial"/>
          <w:color w:val="000000" w:themeColor="text1"/>
          <w:sz w:val="24"/>
          <w:szCs w:val="24"/>
        </w:rPr>
        <w:t xml:space="preserve"> prevent them being a repeat victim of crime</w:t>
      </w:r>
      <w:r w:rsidR="00B729AE">
        <w:rPr>
          <w:rFonts w:eastAsia="Arial"/>
          <w:color w:val="000000" w:themeColor="text1"/>
          <w:sz w:val="24"/>
          <w:szCs w:val="24"/>
        </w:rPr>
        <w:t xml:space="preserve"> by offering support from a number of different agencies in a cohesive manner, the current set up, and poor communication both between and within the different agencies, and with the victim themselves, means that the victim is not </w:t>
      </w:r>
      <w:r w:rsidR="00352738">
        <w:rPr>
          <w:rFonts w:eastAsia="Arial"/>
          <w:color w:val="000000" w:themeColor="text1"/>
          <w:sz w:val="24"/>
          <w:szCs w:val="24"/>
        </w:rPr>
        <w:t xml:space="preserve">receiving the support they need. However, </w:t>
      </w:r>
      <w:r w:rsidR="00257603">
        <w:rPr>
          <w:rFonts w:eastAsia="Arial"/>
          <w:color w:val="000000" w:themeColor="text1"/>
          <w:sz w:val="24"/>
          <w:szCs w:val="24"/>
        </w:rPr>
        <w:t xml:space="preserve">minor changes, which promote better communication, </w:t>
      </w:r>
      <w:r w:rsidR="00B0572E">
        <w:rPr>
          <w:rFonts w:eastAsia="Arial"/>
          <w:color w:val="000000" w:themeColor="text1"/>
          <w:sz w:val="24"/>
          <w:szCs w:val="24"/>
        </w:rPr>
        <w:t xml:space="preserve">will hugely improve the effectiveness of the MARAC process, supporting those who are vulnerable, ensuring charges are secured, and preventing the victim from being subjected to the same abuse again. </w:t>
      </w:r>
      <w:r w:rsidR="00CA0690">
        <w:rPr>
          <w:rFonts w:eastAsia="Arial"/>
          <w:b/>
          <w:bCs/>
          <w:color w:val="000000" w:themeColor="text1"/>
          <w:sz w:val="24"/>
          <w:szCs w:val="24"/>
        </w:rPr>
        <w:br/>
      </w:r>
    </w:p>
    <w:p w14:paraId="65D2640A" w14:textId="77777777" w:rsidR="001435D7" w:rsidRDefault="001435D7" w:rsidP="00602A84">
      <w:pPr>
        <w:spacing w:line="360" w:lineRule="auto"/>
        <w:ind w:right="237"/>
        <w:jc w:val="both"/>
        <w:rPr>
          <w:rFonts w:eastAsia="Arial"/>
          <w:color w:val="000000" w:themeColor="text1"/>
          <w:sz w:val="24"/>
          <w:szCs w:val="24"/>
        </w:rPr>
      </w:pPr>
    </w:p>
    <w:p w14:paraId="515058BE" w14:textId="77777777" w:rsidR="00A75137" w:rsidRDefault="00A75137" w:rsidP="001435D7">
      <w:pPr>
        <w:spacing w:line="360" w:lineRule="auto"/>
        <w:ind w:right="237"/>
        <w:jc w:val="both"/>
        <w:rPr>
          <w:rFonts w:eastAsia="Arial"/>
          <w:color w:val="000000" w:themeColor="text1"/>
          <w:sz w:val="24"/>
          <w:szCs w:val="24"/>
        </w:rPr>
      </w:pPr>
    </w:p>
    <w:p w14:paraId="10FF9493" w14:textId="494E427E" w:rsidR="00C44964" w:rsidRDefault="00C44964" w:rsidP="001435D7">
      <w:pPr>
        <w:spacing w:line="360" w:lineRule="auto"/>
        <w:ind w:right="237"/>
        <w:jc w:val="both"/>
        <w:rPr>
          <w:rFonts w:eastAsia="Arial"/>
          <w:color w:val="000000" w:themeColor="text1"/>
          <w:sz w:val="24"/>
          <w:szCs w:val="24"/>
        </w:rPr>
      </w:pPr>
      <w:r>
        <w:rPr>
          <w:rFonts w:eastAsia="Arial"/>
          <w:color w:val="000000" w:themeColor="text1"/>
          <w:sz w:val="24"/>
          <w:szCs w:val="24"/>
        </w:rPr>
        <w:t>Word Count: 2</w:t>
      </w:r>
      <w:r w:rsidR="0028201E">
        <w:rPr>
          <w:rFonts w:eastAsia="Arial"/>
          <w:color w:val="000000" w:themeColor="text1"/>
          <w:sz w:val="24"/>
          <w:szCs w:val="24"/>
        </w:rPr>
        <w:t>252</w:t>
      </w:r>
    </w:p>
    <w:p w14:paraId="6D164A32" w14:textId="7FFB9C4D" w:rsidR="00A75137" w:rsidRDefault="00A75137" w:rsidP="001435D7">
      <w:pPr>
        <w:spacing w:line="360" w:lineRule="auto"/>
        <w:ind w:right="237"/>
        <w:jc w:val="both"/>
        <w:rPr>
          <w:rFonts w:eastAsia="Arial"/>
          <w:color w:val="000000" w:themeColor="text1"/>
          <w:sz w:val="24"/>
          <w:szCs w:val="24"/>
        </w:rPr>
      </w:pPr>
    </w:p>
    <w:p w14:paraId="455FA47B" w14:textId="1B39BE96" w:rsidR="0071390B" w:rsidRPr="00B84FB6" w:rsidRDefault="0071390B" w:rsidP="00211695">
      <w:pPr>
        <w:overflowPunct/>
        <w:autoSpaceDE/>
        <w:autoSpaceDN/>
        <w:adjustRightInd/>
        <w:textAlignment w:val="auto"/>
        <w:rPr>
          <w:rFonts w:eastAsia="Arial"/>
          <w:color w:val="000000" w:themeColor="text1"/>
          <w:sz w:val="24"/>
          <w:szCs w:val="24"/>
        </w:rPr>
      </w:pPr>
    </w:p>
    <w:p w14:paraId="0FEDC9E1" w14:textId="77777777" w:rsidR="00B84FB6" w:rsidRDefault="00B84FB6" w:rsidP="00211695">
      <w:pPr>
        <w:overflowPunct/>
        <w:autoSpaceDE/>
        <w:autoSpaceDN/>
        <w:adjustRightInd/>
        <w:textAlignment w:val="auto"/>
        <w:rPr>
          <w:rFonts w:eastAsia="Arial"/>
          <w:b/>
          <w:bCs/>
          <w:color w:val="000000" w:themeColor="text1"/>
          <w:sz w:val="24"/>
          <w:szCs w:val="24"/>
        </w:rPr>
      </w:pPr>
    </w:p>
    <w:p w14:paraId="660E1297" w14:textId="77777777" w:rsidR="00B84FB6" w:rsidRDefault="00B84FB6" w:rsidP="00211695">
      <w:pPr>
        <w:overflowPunct/>
        <w:autoSpaceDE/>
        <w:autoSpaceDN/>
        <w:adjustRightInd/>
        <w:textAlignment w:val="auto"/>
        <w:rPr>
          <w:rFonts w:eastAsia="Arial"/>
          <w:b/>
          <w:bCs/>
          <w:color w:val="000000" w:themeColor="text1"/>
          <w:sz w:val="24"/>
          <w:szCs w:val="24"/>
        </w:rPr>
      </w:pPr>
    </w:p>
    <w:p w14:paraId="2E490928" w14:textId="77777777" w:rsidR="00B84FB6" w:rsidRDefault="00B84FB6" w:rsidP="00211695">
      <w:pPr>
        <w:overflowPunct/>
        <w:autoSpaceDE/>
        <w:autoSpaceDN/>
        <w:adjustRightInd/>
        <w:textAlignment w:val="auto"/>
        <w:rPr>
          <w:rFonts w:eastAsia="Arial"/>
          <w:b/>
          <w:bCs/>
          <w:color w:val="000000" w:themeColor="text1"/>
          <w:sz w:val="24"/>
          <w:szCs w:val="24"/>
        </w:rPr>
      </w:pPr>
    </w:p>
    <w:p w14:paraId="3354A179" w14:textId="77777777" w:rsidR="00B84FB6" w:rsidRDefault="00B84FB6" w:rsidP="00211695">
      <w:pPr>
        <w:overflowPunct/>
        <w:autoSpaceDE/>
        <w:autoSpaceDN/>
        <w:adjustRightInd/>
        <w:textAlignment w:val="auto"/>
        <w:rPr>
          <w:rFonts w:eastAsia="Arial"/>
          <w:b/>
          <w:bCs/>
          <w:color w:val="000000" w:themeColor="text1"/>
          <w:sz w:val="24"/>
          <w:szCs w:val="24"/>
        </w:rPr>
      </w:pPr>
    </w:p>
    <w:p w14:paraId="76A79426" w14:textId="77777777" w:rsidR="00B84FB6" w:rsidRDefault="00B84FB6" w:rsidP="00211695">
      <w:pPr>
        <w:overflowPunct/>
        <w:autoSpaceDE/>
        <w:autoSpaceDN/>
        <w:adjustRightInd/>
        <w:textAlignment w:val="auto"/>
        <w:rPr>
          <w:b/>
          <w:bCs/>
          <w:sz w:val="24"/>
          <w:szCs w:val="24"/>
        </w:rPr>
      </w:pPr>
    </w:p>
    <w:p w14:paraId="32058FF2" w14:textId="6C4DF7F0"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7C2103C3"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DEF8156" w14:textId="77777777" w:rsidR="0028201E" w:rsidRDefault="0028201E" w:rsidP="00211695">
      <w:pPr>
        <w:ind w:right="237"/>
        <w:jc w:val="center"/>
        <w:rPr>
          <w:rFonts w:eastAsia="Arial"/>
          <w:b/>
          <w:bCs/>
          <w:color w:val="000000" w:themeColor="text1"/>
          <w:sz w:val="28"/>
          <w:szCs w:val="28"/>
          <w:u w:val="single"/>
        </w:rPr>
      </w:pPr>
    </w:p>
    <w:p w14:paraId="71C1C4D3" w14:textId="77777777" w:rsidR="00591825" w:rsidRDefault="00591825" w:rsidP="00211695">
      <w:pPr>
        <w:ind w:right="237"/>
        <w:jc w:val="center"/>
        <w:rPr>
          <w:rFonts w:eastAsia="Arial"/>
          <w:b/>
          <w:bCs/>
          <w:color w:val="000000" w:themeColor="text1"/>
          <w:sz w:val="28"/>
          <w:szCs w:val="28"/>
          <w:u w:val="single"/>
        </w:rPr>
      </w:pPr>
    </w:p>
    <w:p w14:paraId="354EE610" w14:textId="77777777" w:rsidR="00591825" w:rsidRDefault="00591825" w:rsidP="00211695">
      <w:pPr>
        <w:ind w:right="237"/>
        <w:jc w:val="center"/>
        <w:rPr>
          <w:rFonts w:eastAsia="Arial"/>
          <w:b/>
          <w:bCs/>
          <w:color w:val="000000" w:themeColor="text1"/>
          <w:sz w:val="28"/>
          <w:szCs w:val="28"/>
          <w:u w:val="single"/>
        </w:rPr>
      </w:pPr>
    </w:p>
    <w:p w14:paraId="58751063" w14:textId="31A8D70D"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Pr="00582196" w:rsidRDefault="0FF883D4" w:rsidP="0FF883D4">
      <w:pPr>
        <w:ind w:right="237"/>
        <w:jc w:val="both"/>
        <w:rPr>
          <w:color w:val="000000" w:themeColor="text1"/>
          <w:sz w:val="22"/>
          <w:szCs w:val="22"/>
        </w:rPr>
      </w:pPr>
    </w:p>
    <w:p w14:paraId="000F08EB" w14:textId="196384A3" w:rsidR="00582196" w:rsidRDefault="13AD8C62" w:rsidP="009370AE">
      <w:pPr>
        <w:ind w:right="237"/>
        <w:jc w:val="both"/>
        <w:rPr>
          <w:b/>
          <w:bCs/>
          <w:color w:val="000000" w:themeColor="text1"/>
          <w:sz w:val="24"/>
          <w:szCs w:val="24"/>
        </w:rPr>
      </w:pPr>
      <w:r w:rsidRPr="00582196">
        <w:rPr>
          <w:b/>
          <w:bCs/>
          <w:color w:val="000000" w:themeColor="text1"/>
          <w:sz w:val="24"/>
          <w:szCs w:val="24"/>
        </w:rPr>
        <w:t xml:space="preserve">Answer: </w:t>
      </w:r>
    </w:p>
    <w:p w14:paraId="5058D5F2" w14:textId="77777777" w:rsidR="00D758B6" w:rsidRDefault="00D758B6" w:rsidP="009370AE">
      <w:pPr>
        <w:ind w:right="237"/>
        <w:jc w:val="both"/>
        <w:rPr>
          <w:b/>
          <w:bCs/>
          <w:color w:val="000000" w:themeColor="text1"/>
          <w:sz w:val="24"/>
          <w:szCs w:val="24"/>
        </w:rPr>
      </w:pPr>
    </w:p>
    <w:p w14:paraId="5B978C10" w14:textId="24ECCB7B" w:rsidR="00D758B6" w:rsidRDefault="00D758B6" w:rsidP="00D758B6">
      <w:pPr>
        <w:spacing w:line="360" w:lineRule="auto"/>
        <w:ind w:right="237"/>
        <w:jc w:val="both"/>
        <w:rPr>
          <w:color w:val="000000" w:themeColor="text1"/>
          <w:sz w:val="24"/>
          <w:szCs w:val="24"/>
        </w:rPr>
      </w:pPr>
      <w:r>
        <w:rPr>
          <w:color w:val="000000" w:themeColor="text1"/>
          <w:sz w:val="24"/>
          <w:szCs w:val="24"/>
        </w:rPr>
        <w:t xml:space="preserve">This essay will look at a complex investigation I was involved in, evaluating the actions used within the investigation, as well as the support provided to the victims, witnesses and offenders. </w:t>
      </w:r>
      <w:r w:rsidR="00D337E9">
        <w:rPr>
          <w:color w:val="000000" w:themeColor="text1"/>
          <w:sz w:val="24"/>
          <w:szCs w:val="24"/>
        </w:rPr>
        <w:t xml:space="preserve">In order to reflect on this </w:t>
      </w:r>
      <w:r w:rsidR="003350C5">
        <w:rPr>
          <w:color w:val="000000" w:themeColor="text1"/>
          <w:sz w:val="24"/>
          <w:szCs w:val="24"/>
        </w:rPr>
        <w:t>incident,</w:t>
      </w:r>
      <w:r w:rsidR="00D337E9">
        <w:rPr>
          <w:color w:val="000000" w:themeColor="text1"/>
          <w:sz w:val="24"/>
          <w:szCs w:val="24"/>
        </w:rPr>
        <w:t xml:space="preserve"> I will use the Borton’s model of reflection (Borton, 1970).</w:t>
      </w:r>
    </w:p>
    <w:p w14:paraId="0D7B1414" w14:textId="77777777" w:rsidR="00366C06" w:rsidRDefault="00366C06" w:rsidP="00D758B6">
      <w:pPr>
        <w:spacing w:line="360" w:lineRule="auto"/>
        <w:ind w:right="237"/>
        <w:jc w:val="both"/>
        <w:rPr>
          <w:color w:val="000000" w:themeColor="text1"/>
          <w:sz w:val="24"/>
          <w:szCs w:val="24"/>
        </w:rPr>
      </w:pPr>
    </w:p>
    <w:p w14:paraId="7B952569" w14:textId="77777777" w:rsidR="00366C06" w:rsidRDefault="00366C06" w:rsidP="00D758B6">
      <w:pPr>
        <w:spacing w:line="360" w:lineRule="auto"/>
        <w:ind w:right="237"/>
        <w:jc w:val="both"/>
        <w:rPr>
          <w:color w:val="000000" w:themeColor="text1"/>
          <w:sz w:val="24"/>
          <w:szCs w:val="24"/>
        </w:rPr>
      </w:pPr>
    </w:p>
    <w:p w14:paraId="23B28891" w14:textId="67A540F4" w:rsidR="00366C06" w:rsidRDefault="00366C06" w:rsidP="00D758B6">
      <w:pPr>
        <w:spacing w:line="360" w:lineRule="auto"/>
        <w:ind w:right="237"/>
        <w:jc w:val="both"/>
        <w:rPr>
          <w:b/>
          <w:bCs/>
          <w:color w:val="000000" w:themeColor="text1"/>
          <w:sz w:val="24"/>
          <w:szCs w:val="24"/>
        </w:rPr>
      </w:pPr>
      <w:r w:rsidRPr="00366C06">
        <w:rPr>
          <w:b/>
          <w:bCs/>
          <w:color w:val="000000" w:themeColor="text1"/>
          <w:sz w:val="24"/>
          <w:szCs w:val="24"/>
        </w:rPr>
        <w:t>What?</w:t>
      </w:r>
    </w:p>
    <w:p w14:paraId="76455371" w14:textId="2A91EE99" w:rsidR="00366C06" w:rsidRDefault="00366C06" w:rsidP="00F371D5">
      <w:pPr>
        <w:spacing w:line="360" w:lineRule="auto"/>
        <w:ind w:right="237"/>
        <w:jc w:val="both"/>
        <w:rPr>
          <w:color w:val="000000" w:themeColor="text1"/>
          <w:sz w:val="24"/>
          <w:szCs w:val="24"/>
        </w:rPr>
      </w:pPr>
      <w:r>
        <w:rPr>
          <w:color w:val="000000" w:themeColor="text1"/>
          <w:sz w:val="24"/>
          <w:szCs w:val="24"/>
        </w:rPr>
        <w:t xml:space="preserve">Investigations are </w:t>
      </w:r>
      <w:r w:rsidR="004D240F">
        <w:rPr>
          <w:color w:val="000000" w:themeColor="text1"/>
          <w:sz w:val="24"/>
          <w:szCs w:val="24"/>
        </w:rPr>
        <w:t xml:space="preserve">governed primarily by the Criminal Procedure and Investigation Act 1996 (CPIA). The CPIA states that </w:t>
      </w:r>
      <w:r w:rsidR="00F371D5">
        <w:rPr>
          <w:color w:val="000000" w:themeColor="text1"/>
          <w:sz w:val="24"/>
          <w:szCs w:val="24"/>
        </w:rPr>
        <w:t>the purpose of a criminal investigation is to determine “</w:t>
      </w:r>
      <w:r w:rsidR="00F371D5" w:rsidRPr="00F371D5">
        <w:rPr>
          <w:color w:val="000000" w:themeColor="text1"/>
          <w:sz w:val="24"/>
          <w:szCs w:val="24"/>
        </w:rPr>
        <w:t>whether a person should be charged with an offence, or</w:t>
      </w:r>
      <w:r w:rsidR="00C44964">
        <w:rPr>
          <w:color w:val="000000" w:themeColor="text1"/>
          <w:sz w:val="24"/>
          <w:szCs w:val="24"/>
        </w:rPr>
        <w:t xml:space="preserve"> </w:t>
      </w:r>
      <w:r w:rsidR="00F371D5" w:rsidRPr="00F371D5">
        <w:rPr>
          <w:color w:val="000000" w:themeColor="text1"/>
          <w:sz w:val="24"/>
          <w:szCs w:val="24"/>
        </w:rPr>
        <w:t>whether a person charged with an offence is guilty of it</w:t>
      </w:r>
      <w:r w:rsidR="00C44964">
        <w:rPr>
          <w:color w:val="000000" w:themeColor="text1"/>
          <w:sz w:val="24"/>
          <w:szCs w:val="24"/>
        </w:rPr>
        <w:t>” (CPIA, 1996)</w:t>
      </w:r>
      <w:r w:rsidR="00E764D2">
        <w:rPr>
          <w:color w:val="000000" w:themeColor="text1"/>
          <w:sz w:val="24"/>
          <w:szCs w:val="24"/>
        </w:rPr>
        <w:t xml:space="preserve">. This indicates that the purpose of an investigation is to determine who is responsible for an offence, and whether the person suspected of an offence is guilty of </w:t>
      </w:r>
      <w:r w:rsidR="00E2770A">
        <w:rPr>
          <w:color w:val="000000" w:themeColor="text1"/>
          <w:sz w:val="24"/>
          <w:szCs w:val="24"/>
        </w:rPr>
        <w:t>it but</w:t>
      </w:r>
      <w:r w:rsidR="00E764D2">
        <w:rPr>
          <w:color w:val="000000" w:themeColor="text1"/>
          <w:sz w:val="24"/>
          <w:szCs w:val="24"/>
        </w:rPr>
        <w:t xml:space="preserve"> is not to </w:t>
      </w:r>
      <w:r w:rsidR="000167C8">
        <w:rPr>
          <w:color w:val="000000" w:themeColor="text1"/>
          <w:sz w:val="24"/>
          <w:szCs w:val="24"/>
        </w:rPr>
        <w:t xml:space="preserve">prove that one specific person is responsible for an offence. </w:t>
      </w:r>
      <w:r w:rsidR="00900D69">
        <w:rPr>
          <w:color w:val="000000" w:themeColor="text1"/>
          <w:sz w:val="24"/>
          <w:szCs w:val="24"/>
        </w:rPr>
        <w:t>As highlighted in the attestation taken by all Police Constables, officers must serve with impartiality (Police Act, 1996)</w:t>
      </w:r>
      <w:r w:rsidR="006000D2">
        <w:rPr>
          <w:color w:val="000000" w:themeColor="text1"/>
          <w:sz w:val="24"/>
          <w:szCs w:val="24"/>
        </w:rPr>
        <w:t xml:space="preserve">, and </w:t>
      </w:r>
      <w:r w:rsidR="006000D2">
        <w:rPr>
          <w:color w:val="000000" w:themeColor="text1"/>
          <w:sz w:val="24"/>
          <w:szCs w:val="24"/>
        </w:rPr>
        <w:lastRenderedPageBreak/>
        <w:t xml:space="preserve">therefore, just because someone is a suspect in an investigation, does not mean the role of the police force is prove they have committed the offence, but instead to investigate whether or not they have. This means </w:t>
      </w:r>
      <w:r w:rsidR="000A5D83">
        <w:rPr>
          <w:color w:val="000000" w:themeColor="text1"/>
          <w:sz w:val="24"/>
          <w:szCs w:val="24"/>
        </w:rPr>
        <w:t xml:space="preserve">as well as victims and witness, suspects should also be offered support. </w:t>
      </w:r>
    </w:p>
    <w:p w14:paraId="3CEB82DE" w14:textId="77777777" w:rsidR="004E3BB2" w:rsidRDefault="004E3BB2" w:rsidP="00F371D5">
      <w:pPr>
        <w:spacing w:line="360" w:lineRule="auto"/>
        <w:ind w:right="237"/>
        <w:jc w:val="both"/>
        <w:rPr>
          <w:color w:val="000000" w:themeColor="text1"/>
          <w:sz w:val="24"/>
          <w:szCs w:val="24"/>
        </w:rPr>
      </w:pPr>
    </w:p>
    <w:p w14:paraId="05D2BE1A" w14:textId="7D9D4C9E" w:rsidR="004E3BB2" w:rsidRDefault="004E3BB2" w:rsidP="00F371D5">
      <w:pPr>
        <w:spacing w:line="360" w:lineRule="auto"/>
        <w:ind w:right="237"/>
        <w:jc w:val="both"/>
        <w:rPr>
          <w:color w:val="000000" w:themeColor="text1"/>
          <w:sz w:val="24"/>
          <w:szCs w:val="24"/>
        </w:rPr>
      </w:pPr>
      <w:r>
        <w:rPr>
          <w:color w:val="000000" w:themeColor="text1"/>
          <w:sz w:val="24"/>
          <w:szCs w:val="24"/>
        </w:rPr>
        <w:t>One important point to remember specifically in relation to this, is that any personal feelings have to be set aside</w:t>
      </w:r>
      <w:r w:rsidR="001D7DFD">
        <w:rPr>
          <w:color w:val="000000" w:themeColor="text1"/>
          <w:sz w:val="24"/>
          <w:szCs w:val="24"/>
        </w:rPr>
        <w:t xml:space="preserve"> to maintain impartiality</w:t>
      </w:r>
      <w:r w:rsidR="00447571">
        <w:rPr>
          <w:color w:val="000000" w:themeColor="text1"/>
          <w:sz w:val="24"/>
          <w:szCs w:val="24"/>
        </w:rPr>
        <w:t>, and no matter what role they play in the investigation, people should always be treated fairly and</w:t>
      </w:r>
      <w:r w:rsidR="001D7DFD">
        <w:rPr>
          <w:color w:val="000000" w:themeColor="text1"/>
          <w:sz w:val="24"/>
          <w:szCs w:val="24"/>
        </w:rPr>
        <w:t xml:space="preserve"> with respect (College of Policing, 2024).</w:t>
      </w:r>
    </w:p>
    <w:p w14:paraId="7E2D39C5" w14:textId="77777777" w:rsidR="00E04A0E" w:rsidRDefault="00E04A0E" w:rsidP="00F371D5">
      <w:pPr>
        <w:spacing w:line="360" w:lineRule="auto"/>
        <w:ind w:right="237"/>
        <w:jc w:val="both"/>
        <w:rPr>
          <w:color w:val="000000" w:themeColor="text1"/>
          <w:sz w:val="24"/>
          <w:szCs w:val="24"/>
        </w:rPr>
      </w:pPr>
    </w:p>
    <w:p w14:paraId="42734606" w14:textId="727C92A3" w:rsidR="00E04A0E" w:rsidRDefault="00E04A0E" w:rsidP="00F371D5">
      <w:pPr>
        <w:spacing w:line="360" w:lineRule="auto"/>
        <w:ind w:right="237"/>
        <w:jc w:val="both"/>
        <w:rPr>
          <w:color w:val="000000" w:themeColor="text1"/>
          <w:sz w:val="24"/>
          <w:szCs w:val="24"/>
        </w:rPr>
      </w:pPr>
      <w:r w:rsidRPr="00E04A0E">
        <w:rPr>
          <w:color w:val="000000" w:themeColor="text1"/>
          <w:sz w:val="24"/>
          <w:szCs w:val="24"/>
        </w:rPr>
        <w:t>The specific incident I am going to reflect on for this essay is one of sexual grooming and sexual assault. The initial report that came into the police was that a male had been sending inappropriate messages to a teenage boy, however when contact was first made with the victim, this quickly progressed into an incident with multiple victims of not only inappropriate messages but also sexual contact.</w:t>
      </w:r>
      <w:r>
        <w:rPr>
          <w:color w:val="000000" w:themeColor="text1"/>
          <w:sz w:val="24"/>
          <w:szCs w:val="24"/>
        </w:rPr>
        <w:t xml:space="preserve"> It was therefore clear from the outset that there would be a number of victim and witness accounts that need to be obtained, as well as a significant amount of digital data which could be recovered from the </w:t>
      </w:r>
      <w:r w:rsidR="00B564CF">
        <w:rPr>
          <w:color w:val="000000" w:themeColor="text1"/>
          <w:sz w:val="24"/>
          <w:szCs w:val="24"/>
        </w:rPr>
        <w:t>individuals’</w:t>
      </w:r>
      <w:r w:rsidR="004E4C33">
        <w:rPr>
          <w:color w:val="000000" w:themeColor="text1"/>
          <w:sz w:val="24"/>
          <w:szCs w:val="24"/>
        </w:rPr>
        <w:t xml:space="preserve"> devices. </w:t>
      </w:r>
    </w:p>
    <w:p w14:paraId="7D1FB99A" w14:textId="77777777" w:rsidR="00710A5F" w:rsidRDefault="00710A5F" w:rsidP="00F371D5">
      <w:pPr>
        <w:spacing w:line="360" w:lineRule="auto"/>
        <w:ind w:right="237"/>
        <w:jc w:val="both"/>
        <w:rPr>
          <w:color w:val="000000" w:themeColor="text1"/>
          <w:sz w:val="24"/>
          <w:szCs w:val="24"/>
        </w:rPr>
      </w:pPr>
    </w:p>
    <w:p w14:paraId="004D2375" w14:textId="10A85526" w:rsidR="00710A5F" w:rsidRDefault="00710A5F" w:rsidP="00F371D5">
      <w:pPr>
        <w:spacing w:line="360" w:lineRule="auto"/>
        <w:ind w:right="237"/>
        <w:jc w:val="both"/>
        <w:rPr>
          <w:color w:val="000000" w:themeColor="text1"/>
          <w:sz w:val="24"/>
          <w:szCs w:val="24"/>
        </w:rPr>
      </w:pPr>
      <w:r>
        <w:rPr>
          <w:color w:val="000000" w:themeColor="text1"/>
          <w:sz w:val="24"/>
          <w:szCs w:val="24"/>
        </w:rPr>
        <w:t>The college of policing identifies that fast-track actions are those which, if completed straight away, may assist in identifying the facts, identifying a suspect, or assisting in a quick resolution of an incident (College of Policing</w:t>
      </w:r>
      <w:r w:rsidR="00662459">
        <w:rPr>
          <w:color w:val="000000" w:themeColor="text1"/>
          <w:sz w:val="24"/>
          <w:szCs w:val="24"/>
        </w:rPr>
        <w:t>, 2013)</w:t>
      </w:r>
      <w:r w:rsidR="006231AB">
        <w:rPr>
          <w:color w:val="000000" w:themeColor="text1"/>
          <w:sz w:val="24"/>
          <w:szCs w:val="24"/>
        </w:rPr>
        <w:t>. The fast-track actions which are applicable to an investigation will differ depending on what the incident is, where it has happened, and who is involved</w:t>
      </w:r>
      <w:r w:rsidR="00DF4EDE">
        <w:rPr>
          <w:color w:val="000000" w:themeColor="text1"/>
          <w:sz w:val="24"/>
          <w:szCs w:val="24"/>
        </w:rPr>
        <w:t xml:space="preserve">, but could include things such as identifying victims, reviewing CCTV, and forensic considerations. </w:t>
      </w:r>
      <w:r w:rsidR="004E4C33">
        <w:rPr>
          <w:color w:val="000000" w:themeColor="text1"/>
          <w:sz w:val="24"/>
          <w:szCs w:val="24"/>
        </w:rPr>
        <w:t>2</w:t>
      </w:r>
    </w:p>
    <w:p w14:paraId="74EBE494" w14:textId="77777777" w:rsidR="004E4C33" w:rsidRDefault="004E4C33" w:rsidP="00F371D5">
      <w:pPr>
        <w:spacing w:line="360" w:lineRule="auto"/>
        <w:ind w:right="237"/>
        <w:jc w:val="both"/>
        <w:rPr>
          <w:color w:val="000000" w:themeColor="text1"/>
          <w:sz w:val="24"/>
          <w:szCs w:val="24"/>
        </w:rPr>
      </w:pPr>
    </w:p>
    <w:p w14:paraId="3EEE5E91" w14:textId="60484B53" w:rsidR="00DE68C3" w:rsidRDefault="004E4C33" w:rsidP="00F371D5">
      <w:pPr>
        <w:spacing w:line="360" w:lineRule="auto"/>
        <w:ind w:right="237"/>
        <w:jc w:val="both"/>
        <w:rPr>
          <w:color w:val="000000" w:themeColor="text1"/>
          <w:sz w:val="24"/>
          <w:szCs w:val="24"/>
        </w:rPr>
      </w:pPr>
      <w:r>
        <w:rPr>
          <w:color w:val="000000" w:themeColor="text1"/>
          <w:sz w:val="24"/>
          <w:szCs w:val="24"/>
        </w:rPr>
        <w:t xml:space="preserve">Within this incident, the fast-track actions which were prioritised were obtaining initial victim and witness accounts, as well as downloads of the victims’ digital devices in order to obtain a good understanding of the offending that had taken place. Due to the number of victim’s and the nature of the allegations, the arrest of the suspect was also prioritised as a fast-track action, to ensure safeguarding could be addressed. </w:t>
      </w:r>
    </w:p>
    <w:p w14:paraId="22A7BAF2" w14:textId="77777777" w:rsidR="004E4C33" w:rsidRDefault="004E4C33" w:rsidP="00F371D5">
      <w:pPr>
        <w:spacing w:line="360" w:lineRule="auto"/>
        <w:ind w:right="237"/>
        <w:jc w:val="both"/>
        <w:rPr>
          <w:color w:val="000000" w:themeColor="text1"/>
          <w:sz w:val="24"/>
          <w:szCs w:val="24"/>
        </w:rPr>
      </w:pPr>
    </w:p>
    <w:p w14:paraId="6298A29E" w14:textId="72B2E729" w:rsidR="008918D6" w:rsidRDefault="004B6436" w:rsidP="00F371D5">
      <w:pPr>
        <w:spacing w:line="360" w:lineRule="auto"/>
        <w:ind w:right="237"/>
        <w:jc w:val="both"/>
        <w:rPr>
          <w:color w:val="000000" w:themeColor="text1"/>
          <w:sz w:val="24"/>
          <w:szCs w:val="24"/>
        </w:rPr>
      </w:pPr>
      <w:r>
        <w:rPr>
          <w:color w:val="000000" w:themeColor="text1"/>
          <w:sz w:val="24"/>
          <w:szCs w:val="24"/>
        </w:rPr>
        <w:lastRenderedPageBreak/>
        <w:t>In terms of support for the victims, all the victims identified were referred to the sexual assault referral centre (SARC)</w:t>
      </w:r>
      <w:r w:rsidR="00CE2BE3">
        <w:rPr>
          <w:color w:val="000000" w:themeColor="text1"/>
          <w:sz w:val="24"/>
          <w:szCs w:val="24"/>
        </w:rPr>
        <w:t>. The SARC offers support to victims of sexual assault, to assist in recovery and help people rebuild following a sexual assault (</w:t>
      </w:r>
      <w:r w:rsidR="006B7C47" w:rsidRPr="006B7C47">
        <w:rPr>
          <w:color w:val="000000" w:themeColor="text1"/>
          <w:sz w:val="24"/>
          <w:szCs w:val="24"/>
        </w:rPr>
        <w:t>Eogan</w:t>
      </w:r>
      <w:r w:rsidR="006B7C47">
        <w:rPr>
          <w:color w:val="000000" w:themeColor="text1"/>
          <w:sz w:val="24"/>
          <w:szCs w:val="24"/>
        </w:rPr>
        <w:t xml:space="preserve"> et al, 2013)</w:t>
      </w:r>
      <w:r w:rsidR="008918D6">
        <w:rPr>
          <w:color w:val="000000" w:themeColor="text1"/>
          <w:sz w:val="24"/>
          <w:szCs w:val="24"/>
        </w:rPr>
        <w:t xml:space="preserve">. Especially given that the victims in this incident were teenagers, I felt it was important that they got specialist support as quickly as possible, to try and limit the impact this incident will have on them as they continue to develop. </w:t>
      </w:r>
    </w:p>
    <w:p w14:paraId="36BF504F" w14:textId="77777777" w:rsidR="004B32D4" w:rsidRDefault="004B32D4" w:rsidP="00F371D5">
      <w:pPr>
        <w:spacing w:line="360" w:lineRule="auto"/>
        <w:ind w:right="237"/>
        <w:jc w:val="both"/>
        <w:rPr>
          <w:color w:val="000000" w:themeColor="text1"/>
          <w:sz w:val="24"/>
          <w:szCs w:val="24"/>
        </w:rPr>
      </w:pPr>
    </w:p>
    <w:p w14:paraId="31C6E2DF" w14:textId="40E722E4" w:rsidR="00EA70CC" w:rsidRPr="00366C06" w:rsidRDefault="004B32D4" w:rsidP="00F371D5">
      <w:pPr>
        <w:spacing w:line="360" w:lineRule="auto"/>
        <w:ind w:right="237"/>
        <w:jc w:val="both"/>
        <w:rPr>
          <w:color w:val="000000" w:themeColor="text1"/>
          <w:sz w:val="24"/>
          <w:szCs w:val="24"/>
        </w:rPr>
      </w:pPr>
      <w:r>
        <w:rPr>
          <w:color w:val="000000" w:themeColor="text1"/>
          <w:sz w:val="24"/>
          <w:szCs w:val="24"/>
        </w:rPr>
        <w:t xml:space="preserve">The suspect was also however given support in this incident, due to the nature of the offence he had been arrested for. </w:t>
      </w:r>
      <w:r w:rsidR="000B0499">
        <w:rPr>
          <w:color w:val="000000" w:themeColor="text1"/>
          <w:sz w:val="24"/>
          <w:szCs w:val="24"/>
        </w:rPr>
        <w:t>As is common in offences of this nature, t</w:t>
      </w:r>
      <w:r w:rsidR="005B3AFA">
        <w:rPr>
          <w:color w:val="000000" w:themeColor="text1"/>
          <w:sz w:val="24"/>
          <w:szCs w:val="24"/>
        </w:rPr>
        <w:t xml:space="preserve">here </w:t>
      </w:r>
      <w:r w:rsidR="001F6705">
        <w:rPr>
          <w:color w:val="000000" w:themeColor="text1"/>
          <w:sz w:val="24"/>
          <w:szCs w:val="24"/>
        </w:rPr>
        <w:t>was</w:t>
      </w:r>
      <w:r w:rsidR="005B3AFA">
        <w:rPr>
          <w:color w:val="000000" w:themeColor="text1"/>
          <w:sz w:val="24"/>
          <w:szCs w:val="24"/>
        </w:rPr>
        <w:t xml:space="preserve"> a concern regarding the mental health of the suspect following. </w:t>
      </w:r>
      <w:r w:rsidR="007B307E">
        <w:rPr>
          <w:color w:val="000000" w:themeColor="text1"/>
          <w:sz w:val="24"/>
          <w:szCs w:val="24"/>
        </w:rPr>
        <w:t>To support the suspect, he was therefore given information regarding the Lucy Faithful foundation, wh</w:t>
      </w:r>
      <w:r w:rsidR="00D00B0C">
        <w:rPr>
          <w:color w:val="000000" w:themeColor="text1"/>
          <w:sz w:val="24"/>
          <w:szCs w:val="24"/>
        </w:rPr>
        <w:t xml:space="preserve">o work with those perpetrating abuse against children to </w:t>
      </w:r>
      <w:r w:rsidR="00107753">
        <w:rPr>
          <w:color w:val="000000" w:themeColor="text1"/>
          <w:sz w:val="24"/>
          <w:szCs w:val="24"/>
        </w:rPr>
        <w:t xml:space="preserve">prevent further harm being caused (Lucy Faithful Foundation). </w:t>
      </w:r>
    </w:p>
    <w:p w14:paraId="5AD5936F" w14:textId="77777777" w:rsidR="00366C06" w:rsidRPr="00366C06" w:rsidRDefault="00366C06" w:rsidP="00D758B6">
      <w:pPr>
        <w:spacing w:line="360" w:lineRule="auto"/>
        <w:ind w:right="237"/>
        <w:jc w:val="both"/>
        <w:rPr>
          <w:b/>
          <w:bCs/>
          <w:color w:val="000000" w:themeColor="text1"/>
          <w:sz w:val="24"/>
          <w:szCs w:val="24"/>
        </w:rPr>
      </w:pPr>
    </w:p>
    <w:p w14:paraId="751E27B6" w14:textId="77777777" w:rsidR="00366C06" w:rsidRDefault="00366C06" w:rsidP="00D758B6">
      <w:pPr>
        <w:spacing w:line="360" w:lineRule="auto"/>
        <w:ind w:right="237"/>
        <w:jc w:val="both"/>
        <w:rPr>
          <w:color w:val="000000" w:themeColor="text1"/>
          <w:sz w:val="24"/>
          <w:szCs w:val="24"/>
        </w:rPr>
      </w:pPr>
    </w:p>
    <w:p w14:paraId="42C731D9" w14:textId="7AE9BFED" w:rsidR="00366C06" w:rsidRDefault="00366C06" w:rsidP="00D758B6">
      <w:pPr>
        <w:spacing w:line="360" w:lineRule="auto"/>
        <w:ind w:right="237"/>
        <w:jc w:val="both"/>
        <w:rPr>
          <w:b/>
          <w:bCs/>
          <w:color w:val="000000" w:themeColor="text1"/>
          <w:sz w:val="24"/>
          <w:szCs w:val="24"/>
        </w:rPr>
      </w:pPr>
      <w:r w:rsidRPr="00366C06">
        <w:rPr>
          <w:b/>
          <w:bCs/>
          <w:color w:val="000000" w:themeColor="text1"/>
          <w:sz w:val="24"/>
          <w:szCs w:val="24"/>
        </w:rPr>
        <w:t>So what?</w:t>
      </w:r>
    </w:p>
    <w:p w14:paraId="7EEA3D78" w14:textId="09B0E699" w:rsidR="00BA721E" w:rsidRDefault="009E2BE7" w:rsidP="00D758B6">
      <w:pPr>
        <w:spacing w:line="360" w:lineRule="auto"/>
        <w:ind w:right="237"/>
        <w:jc w:val="both"/>
        <w:rPr>
          <w:color w:val="000000" w:themeColor="text1"/>
          <w:sz w:val="24"/>
          <w:szCs w:val="24"/>
        </w:rPr>
      </w:pPr>
      <w:r>
        <w:rPr>
          <w:color w:val="000000" w:themeColor="text1"/>
          <w:sz w:val="24"/>
          <w:szCs w:val="24"/>
        </w:rPr>
        <w:t>As highlighted in the Major Crime Investigation Manual,</w:t>
      </w:r>
      <w:r w:rsidR="00B76F34">
        <w:rPr>
          <w:color w:val="000000" w:themeColor="text1"/>
          <w:sz w:val="24"/>
          <w:szCs w:val="24"/>
        </w:rPr>
        <w:t xml:space="preserve"> </w:t>
      </w:r>
      <w:r w:rsidR="003E393C">
        <w:rPr>
          <w:color w:val="000000" w:themeColor="text1"/>
          <w:sz w:val="24"/>
          <w:szCs w:val="24"/>
        </w:rPr>
        <w:t>both witness accounts</w:t>
      </w:r>
      <w:r w:rsidR="001B25B7">
        <w:rPr>
          <w:color w:val="000000" w:themeColor="text1"/>
          <w:sz w:val="24"/>
          <w:szCs w:val="24"/>
        </w:rPr>
        <w:t xml:space="preserve"> and passive data opportunities are some of the most effective fast-track actions</w:t>
      </w:r>
      <w:r>
        <w:rPr>
          <w:color w:val="000000" w:themeColor="text1"/>
          <w:sz w:val="24"/>
          <w:szCs w:val="24"/>
        </w:rPr>
        <w:t xml:space="preserve"> </w:t>
      </w:r>
      <w:r w:rsidR="00F200B8">
        <w:rPr>
          <w:color w:val="000000" w:themeColor="text1"/>
          <w:sz w:val="24"/>
          <w:szCs w:val="24"/>
        </w:rPr>
        <w:t>(National Police Chief’s Council, 2021).</w:t>
      </w:r>
      <w:r w:rsidR="00BC3987">
        <w:rPr>
          <w:color w:val="000000" w:themeColor="text1"/>
          <w:sz w:val="24"/>
          <w:szCs w:val="24"/>
        </w:rPr>
        <w:t xml:space="preserve"> Indeed, in this investigation, while all victims later went on to provide video interviews, initial accounts were taken which allowed for the identity of a suspect to be obtained. </w:t>
      </w:r>
      <w:r w:rsidR="00422C0C">
        <w:rPr>
          <w:color w:val="000000" w:themeColor="text1"/>
          <w:sz w:val="24"/>
          <w:szCs w:val="24"/>
        </w:rPr>
        <w:t xml:space="preserve">Obtaining these initial accounts </w:t>
      </w:r>
      <w:r w:rsidR="00514C3E">
        <w:rPr>
          <w:color w:val="000000" w:themeColor="text1"/>
          <w:sz w:val="24"/>
          <w:szCs w:val="24"/>
        </w:rPr>
        <w:t>also allowed us to establish who the primary victims were, who could provide us with the most evidence</w:t>
      </w:r>
      <w:r w:rsidR="00422C0C">
        <w:rPr>
          <w:color w:val="000000" w:themeColor="text1"/>
          <w:sz w:val="24"/>
          <w:szCs w:val="24"/>
        </w:rPr>
        <w:t xml:space="preserve"> in order to prioritise </w:t>
      </w:r>
      <w:r w:rsidR="00514C3E">
        <w:rPr>
          <w:color w:val="000000" w:themeColor="text1"/>
          <w:sz w:val="24"/>
          <w:szCs w:val="24"/>
        </w:rPr>
        <w:t xml:space="preserve"> </w:t>
      </w:r>
    </w:p>
    <w:p w14:paraId="0B37FAEB" w14:textId="77777777" w:rsidR="009C76AD" w:rsidRDefault="009C76AD" w:rsidP="00D758B6">
      <w:pPr>
        <w:spacing w:line="360" w:lineRule="auto"/>
        <w:ind w:right="237"/>
        <w:jc w:val="both"/>
        <w:rPr>
          <w:color w:val="000000" w:themeColor="text1"/>
          <w:sz w:val="24"/>
          <w:szCs w:val="24"/>
        </w:rPr>
      </w:pPr>
    </w:p>
    <w:p w14:paraId="41B118AD" w14:textId="7F361146" w:rsidR="009C76AD" w:rsidRDefault="009C76AD" w:rsidP="00D758B6">
      <w:pPr>
        <w:spacing w:line="360" w:lineRule="auto"/>
        <w:ind w:right="237"/>
        <w:jc w:val="both"/>
        <w:rPr>
          <w:color w:val="000000" w:themeColor="text1"/>
          <w:sz w:val="24"/>
          <w:szCs w:val="24"/>
        </w:rPr>
      </w:pPr>
      <w:r>
        <w:rPr>
          <w:color w:val="000000" w:themeColor="text1"/>
          <w:sz w:val="24"/>
          <w:szCs w:val="24"/>
        </w:rPr>
        <w:t xml:space="preserve">Early identification of the victims also allowed us to put support in place, and address safeguarding issues straight away. </w:t>
      </w:r>
      <w:r w:rsidR="00AA7875">
        <w:rPr>
          <w:color w:val="000000" w:themeColor="text1"/>
          <w:sz w:val="24"/>
          <w:szCs w:val="24"/>
        </w:rPr>
        <w:t>The time just after a sexual assault is important when determining the resilience of a victim, and it is therefore important that support mechanisms are put in place during this time to try and reduce the risk of mental health issues such as post traumatic stress disorder later down the line (</w:t>
      </w:r>
      <w:r w:rsidR="00AA7875" w:rsidRPr="00AA7875">
        <w:rPr>
          <w:color w:val="000000" w:themeColor="text1"/>
          <w:sz w:val="24"/>
          <w:szCs w:val="24"/>
        </w:rPr>
        <w:t>Dworkin &amp; Schumacher</w:t>
      </w:r>
      <w:r w:rsidR="00AA7875">
        <w:rPr>
          <w:color w:val="000000" w:themeColor="text1"/>
          <w:sz w:val="24"/>
          <w:szCs w:val="24"/>
        </w:rPr>
        <w:t xml:space="preserve">, 2018). </w:t>
      </w:r>
      <w:r w:rsidR="00F14ED3">
        <w:rPr>
          <w:color w:val="000000" w:themeColor="text1"/>
          <w:sz w:val="24"/>
          <w:szCs w:val="24"/>
        </w:rPr>
        <w:t>Therefore,</w:t>
      </w:r>
      <w:r w:rsidR="00773D43">
        <w:rPr>
          <w:color w:val="000000" w:themeColor="text1"/>
          <w:sz w:val="24"/>
          <w:szCs w:val="24"/>
        </w:rPr>
        <w:t xml:space="preserve"> by referring the victims to specialist support straight away, this will hopefully allow for a better prospect in terms of them moving forward. </w:t>
      </w:r>
    </w:p>
    <w:p w14:paraId="1EF06BB7" w14:textId="77777777" w:rsidR="006D0FB7" w:rsidRDefault="006D0FB7" w:rsidP="00D758B6">
      <w:pPr>
        <w:spacing w:line="360" w:lineRule="auto"/>
        <w:ind w:right="237"/>
        <w:jc w:val="both"/>
        <w:rPr>
          <w:color w:val="000000" w:themeColor="text1"/>
          <w:sz w:val="24"/>
          <w:szCs w:val="24"/>
        </w:rPr>
      </w:pPr>
    </w:p>
    <w:p w14:paraId="76755C67" w14:textId="539C0B28" w:rsidR="009722DB" w:rsidRDefault="009722DB" w:rsidP="00D758B6">
      <w:pPr>
        <w:spacing w:line="360" w:lineRule="auto"/>
        <w:ind w:right="237"/>
        <w:jc w:val="both"/>
        <w:rPr>
          <w:color w:val="000000" w:themeColor="text1"/>
          <w:sz w:val="24"/>
          <w:szCs w:val="24"/>
        </w:rPr>
      </w:pPr>
      <w:r>
        <w:rPr>
          <w:color w:val="000000" w:themeColor="text1"/>
          <w:sz w:val="24"/>
          <w:szCs w:val="24"/>
        </w:rPr>
        <w:t xml:space="preserve">The arrest of the suspect was also a </w:t>
      </w:r>
      <w:r w:rsidR="003D5D74">
        <w:rPr>
          <w:color w:val="000000" w:themeColor="text1"/>
          <w:sz w:val="24"/>
          <w:szCs w:val="24"/>
        </w:rPr>
        <w:t>fast-track</w:t>
      </w:r>
      <w:r>
        <w:rPr>
          <w:color w:val="000000" w:themeColor="text1"/>
          <w:sz w:val="24"/>
          <w:szCs w:val="24"/>
        </w:rPr>
        <w:t xml:space="preserve"> action</w:t>
      </w:r>
      <w:r w:rsidR="003D5D74">
        <w:rPr>
          <w:color w:val="000000" w:themeColor="text1"/>
          <w:sz w:val="24"/>
          <w:szCs w:val="24"/>
        </w:rPr>
        <w:t xml:space="preserve"> of </w:t>
      </w:r>
      <w:r w:rsidR="00A17256">
        <w:rPr>
          <w:color w:val="000000" w:themeColor="text1"/>
          <w:sz w:val="24"/>
          <w:szCs w:val="24"/>
        </w:rPr>
        <w:t xml:space="preserve">importance in this incident specifically due to the need to safeguard the victim, as well as the suspect. </w:t>
      </w:r>
      <w:r w:rsidR="00E7181D">
        <w:rPr>
          <w:color w:val="000000" w:themeColor="text1"/>
          <w:sz w:val="24"/>
          <w:szCs w:val="24"/>
        </w:rPr>
        <w:t>T</w:t>
      </w:r>
      <w:r w:rsidR="00AF4098">
        <w:rPr>
          <w:color w:val="000000" w:themeColor="text1"/>
          <w:sz w:val="24"/>
          <w:szCs w:val="24"/>
        </w:rPr>
        <w:t xml:space="preserve">he </w:t>
      </w:r>
      <w:r w:rsidR="00AF4098">
        <w:rPr>
          <w:color w:val="000000" w:themeColor="text1"/>
          <w:sz w:val="24"/>
          <w:szCs w:val="24"/>
        </w:rPr>
        <w:lastRenderedPageBreak/>
        <w:t xml:space="preserve">arrest of a suspect is also identified within the Major Incident Manual as something which should always be a priority (National Police Chief’s Council, 2021). </w:t>
      </w:r>
      <w:r w:rsidR="00A17256">
        <w:rPr>
          <w:color w:val="000000" w:themeColor="text1"/>
          <w:sz w:val="24"/>
          <w:szCs w:val="24"/>
        </w:rPr>
        <w:t xml:space="preserve">By arresting the </w:t>
      </w:r>
      <w:r w:rsidR="007C600F">
        <w:rPr>
          <w:color w:val="000000" w:themeColor="text1"/>
          <w:sz w:val="24"/>
          <w:szCs w:val="24"/>
        </w:rPr>
        <w:t>suspect</w:t>
      </w:r>
      <w:r w:rsidR="00B9112B">
        <w:rPr>
          <w:color w:val="000000" w:themeColor="text1"/>
          <w:sz w:val="24"/>
          <w:szCs w:val="24"/>
        </w:rPr>
        <w:t>, not only were we able to interview them about the alleged offences, therefore generating additional lines of enquiry</w:t>
      </w:r>
      <w:r w:rsidR="007C600F">
        <w:rPr>
          <w:color w:val="000000" w:themeColor="text1"/>
          <w:sz w:val="24"/>
          <w:szCs w:val="24"/>
        </w:rPr>
        <w:t>,</w:t>
      </w:r>
      <w:r w:rsidR="00B9112B">
        <w:rPr>
          <w:color w:val="000000" w:themeColor="text1"/>
          <w:sz w:val="24"/>
          <w:szCs w:val="24"/>
        </w:rPr>
        <w:t xml:space="preserve"> but</w:t>
      </w:r>
      <w:r w:rsidR="00A17256">
        <w:rPr>
          <w:color w:val="000000" w:themeColor="text1"/>
          <w:sz w:val="24"/>
          <w:szCs w:val="24"/>
        </w:rPr>
        <w:t xml:space="preserve"> we were</w:t>
      </w:r>
      <w:r w:rsidR="00B9112B">
        <w:rPr>
          <w:color w:val="000000" w:themeColor="text1"/>
          <w:sz w:val="24"/>
          <w:szCs w:val="24"/>
        </w:rPr>
        <w:t xml:space="preserve"> also</w:t>
      </w:r>
      <w:r w:rsidR="00A17256">
        <w:rPr>
          <w:color w:val="000000" w:themeColor="text1"/>
          <w:sz w:val="24"/>
          <w:szCs w:val="24"/>
        </w:rPr>
        <w:t xml:space="preserve"> able to attach conditions to them</w:t>
      </w:r>
      <w:r w:rsidR="00B9112B">
        <w:rPr>
          <w:color w:val="000000" w:themeColor="text1"/>
          <w:sz w:val="24"/>
          <w:szCs w:val="24"/>
        </w:rPr>
        <w:t xml:space="preserve"> when bailed</w:t>
      </w:r>
      <w:r w:rsidR="00A17256">
        <w:rPr>
          <w:color w:val="000000" w:themeColor="text1"/>
          <w:sz w:val="24"/>
          <w:szCs w:val="24"/>
        </w:rPr>
        <w:t xml:space="preserve"> to prevent them from being in contact with the children involved in this incident, but also children in general</w:t>
      </w:r>
      <w:r w:rsidR="00B9112B">
        <w:rPr>
          <w:color w:val="000000" w:themeColor="text1"/>
          <w:sz w:val="24"/>
          <w:szCs w:val="24"/>
        </w:rPr>
        <w:t>. This</w:t>
      </w:r>
      <w:r w:rsidR="00A17256">
        <w:rPr>
          <w:color w:val="000000" w:themeColor="text1"/>
          <w:sz w:val="24"/>
          <w:szCs w:val="24"/>
        </w:rPr>
        <w:t xml:space="preserve"> not only safeguards the victim in this case, but also further children. While it was highlighted above the role of a police investigation is not to assume one person has committed the crime alleged</w:t>
      </w:r>
      <w:r w:rsidR="009709F9">
        <w:rPr>
          <w:color w:val="000000" w:themeColor="text1"/>
          <w:sz w:val="24"/>
          <w:szCs w:val="24"/>
        </w:rPr>
        <w:t>, there must also be a focus on safeguarding</w:t>
      </w:r>
      <w:r w:rsidR="0096277B">
        <w:rPr>
          <w:color w:val="000000" w:themeColor="text1"/>
          <w:sz w:val="24"/>
          <w:szCs w:val="24"/>
        </w:rPr>
        <w:t xml:space="preserve">. </w:t>
      </w:r>
      <w:r w:rsidR="00056748">
        <w:rPr>
          <w:color w:val="000000" w:themeColor="text1"/>
          <w:sz w:val="24"/>
          <w:szCs w:val="24"/>
        </w:rPr>
        <w:t>Directive 2012/29/EU of the European Parliament</w:t>
      </w:r>
      <w:r w:rsidR="00476DDE">
        <w:rPr>
          <w:color w:val="000000" w:themeColor="text1"/>
          <w:sz w:val="24"/>
          <w:szCs w:val="24"/>
        </w:rPr>
        <w:t xml:space="preserve"> highlights that victims of crime should be protected from secondary victimisation and should have sufficient access to justice (European Parliament, 2012),</w:t>
      </w:r>
      <w:r w:rsidR="003B0317">
        <w:rPr>
          <w:color w:val="000000" w:themeColor="text1"/>
          <w:sz w:val="24"/>
          <w:szCs w:val="24"/>
        </w:rPr>
        <w:t xml:space="preserve"> and this therefore supports the idea that while the police act as impartial investigators, they also have to ensure </w:t>
      </w:r>
      <w:r w:rsidR="00DC1330">
        <w:rPr>
          <w:color w:val="000000" w:themeColor="text1"/>
          <w:sz w:val="24"/>
          <w:szCs w:val="24"/>
        </w:rPr>
        <w:t xml:space="preserve">victims are protected, and are able to access the justice system, free from fear of retaliation of the suspect. </w:t>
      </w:r>
    </w:p>
    <w:p w14:paraId="5E07BAAF" w14:textId="77777777" w:rsidR="00B53616" w:rsidRDefault="00B53616" w:rsidP="00D758B6">
      <w:pPr>
        <w:spacing w:line="360" w:lineRule="auto"/>
        <w:ind w:right="237"/>
        <w:jc w:val="both"/>
        <w:rPr>
          <w:color w:val="000000" w:themeColor="text1"/>
          <w:sz w:val="24"/>
          <w:szCs w:val="24"/>
        </w:rPr>
      </w:pPr>
    </w:p>
    <w:p w14:paraId="1615E791" w14:textId="3E3942A1" w:rsidR="00B53616" w:rsidRDefault="00B53616" w:rsidP="00D758B6">
      <w:pPr>
        <w:spacing w:line="360" w:lineRule="auto"/>
        <w:ind w:right="237"/>
        <w:jc w:val="both"/>
        <w:rPr>
          <w:color w:val="000000" w:themeColor="text1"/>
          <w:sz w:val="24"/>
          <w:szCs w:val="24"/>
        </w:rPr>
      </w:pPr>
      <w:r>
        <w:rPr>
          <w:color w:val="000000" w:themeColor="text1"/>
          <w:sz w:val="24"/>
          <w:szCs w:val="24"/>
        </w:rPr>
        <w:t xml:space="preserve">The final fast-track action utilised </w:t>
      </w:r>
      <w:r w:rsidR="001F22B7">
        <w:rPr>
          <w:color w:val="000000" w:themeColor="text1"/>
          <w:sz w:val="24"/>
          <w:szCs w:val="24"/>
        </w:rPr>
        <w:t xml:space="preserve">within this investigation of completing phone downloads was of paramount importance, specifically the download of the </w:t>
      </w:r>
      <w:r w:rsidR="008B4D63">
        <w:rPr>
          <w:color w:val="000000" w:themeColor="text1"/>
          <w:sz w:val="24"/>
          <w:szCs w:val="24"/>
        </w:rPr>
        <w:t>suspect’s</w:t>
      </w:r>
      <w:r w:rsidR="001F22B7">
        <w:rPr>
          <w:color w:val="000000" w:themeColor="text1"/>
          <w:sz w:val="24"/>
          <w:szCs w:val="24"/>
        </w:rPr>
        <w:t xml:space="preserve"> phone. </w:t>
      </w:r>
      <w:r w:rsidR="00295B2A">
        <w:rPr>
          <w:color w:val="000000" w:themeColor="text1"/>
          <w:sz w:val="24"/>
          <w:szCs w:val="24"/>
        </w:rPr>
        <w:t>Granja and Rafael highlight</w:t>
      </w:r>
      <w:r w:rsidR="00212E7A">
        <w:rPr>
          <w:color w:val="000000" w:themeColor="text1"/>
          <w:sz w:val="24"/>
          <w:szCs w:val="24"/>
        </w:rPr>
        <w:t xml:space="preserve"> the preservation of evidence in a digital context as an important factor of forensic investigation, and while this often relates to the preservation of evidence during the download process, this can also be applied to the need to obtain the digital device of the suspect quickly</w:t>
      </w:r>
      <w:r w:rsidR="00295B2A">
        <w:rPr>
          <w:color w:val="000000" w:themeColor="text1"/>
          <w:sz w:val="24"/>
          <w:szCs w:val="24"/>
        </w:rPr>
        <w:t xml:space="preserve"> (Granja and Rafael, 2015)</w:t>
      </w:r>
      <w:r w:rsidR="00212E7A">
        <w:rPr>
          <w:color w:val="000000" w:themeColor="text1"/>
          <w:sz w:val="24"/>
          <w:szCs w:val="24"/>
        </w:rPr>
        <w:t xml:space="preserve">. </w:t>
      </w:r>
      <w:r w:rsidR="00F07977">
        <w:rPr>
          <w:color w:val="000000" w:themeColor="text1"/>
          <w:sz w:val="24"/>
          <w:szCs w:val="24"/>
        </w:rPr>
        <w:t xml:space="preserve">Should the suspect become aware of the allegations that have been made, then </w:t>
      </w:r>
      <w:r w:rsidR="008C7D4B">
        <w:rPr>
          <w:color w:val="000000" w:themeColor="text1"/>
          <w:sz w:val="24"/>
          <w:szCs w:val="24"/>
        </w:rPr>
        <w:t xml:space="preserve">they may alter their digital device in order to </w:t>
      </w:r>
      <w:r w:rsidR="006F04FA">
        <w:rPr>
          <w:color w:val="000000" w:themeColor="text1"/>
          <w:sz w:val="24"/>
          <w:szCs w:val="24"/>
        </w:rPr>
        <w:t xml:space="preserve">hide evidence which would point towards their guilt. Given that </w:t>
      </w:r>
      <w:r w:rsidR="006A0EEF">
        <w:rPr>
          <w:color w:val="000000" w:themeColor="text1"/>
          <w:sz w:val="24"/>
          <w:szCs w:val="24"/>
        </w:rPr>
        <w:t xml:space="preserve">a lot of the allegations in this specific case </w:t>
      </w:r>
      <w:r w:rsidR="002D4E3B">
        <w:rPr>
          <w:color w:val="000000" w:themeColor="text1"/>
          <w:sz w:val="24"/>
          <w:szCs w:val="24"/>
        </w:rPr>
        <w:t xml:space="preserve">centred around digital communication, it was extremely important that any evidence on digital devices was preserved and obtained as a fast-track action. This also factored into the need for a quick arrest of the suspect. </w:t>
      </w:r>
    </w:p>
    <w:p w14:paraId="00388BAD" w14:textId="77777777" w:rsidR="00BA50CA" w:rsidRDefault="00BA50CA" w:rsidP="00D758B6">
      <w:pPr>
        <w:spacing w:line="360" w:lineRule="auto"/>
        <w:ind w:right="237"/>
        <w:jc w:val="both"/>
        <w:rPr>
          <w:color w:val="000000" w:themeColor="text1"/>
          <w:sz w:val="24"/>
          <w:szCs w:val="24"/>
        </w:rPr>
      </w:pPr>
    </w:p>
    <w:p w14:paraId="541662A0" w14:textId="4CA48CDE" w:rsidR="00BA50CA" w:rsidRDefault="00BA50CA" w:rsidP="00D758B6">
      <w:pPr>
        <w:spacing w:line="360" w:lineRule="auto"/>
        <w:ind w:right="237"/>
        <w:jc w:val="both"/>
        <w:rPr>
          <w:color w:val="000000" w:themeColor="text1"/>
          <w:sz w:val="24"/>
          <w:szCs w:val="24"/>
        </w:rPr>
      </w:pPr>
      <w:r>
        <w:rPr>
          <w:color w:val="000000" w:themeColor="text1"/>
          <w:sz w:val="24"/>
          <w:szCs w:val="24"/>
        </w:rPr>
        <w:t xml:space="preserve">I do however think support provided to the suspect </w:t>
      </w:r>
      <w:r w:rsidR="00811205">
        <w:rPr>
          <w:color w:val="000000" w:themeColor="text1"/>
          <w:sz w:val="24"/>
          <w:szCs w:val="24"/>
        </w:rPr>
        <w:t xml:space="preserve">in this scenario </w:t>
      </w:r>
      <w:r>
        <w:rPr>
          <w:color w:val="000000" w:themeColor="text1"/>
          <w:sz w:val="24"/>
          <w:szCs w:val="24"/>
        </w:rPr>
        <w:t xml:space="preserve">could have been a bit better. While I have highlighted above that police officers should not let their feelings become involved in an investigation, and should always remain impartial, I think that it is extremely difficult to do this, especially in a case of this nature. I therefore think that I, and officers quite often in general, will provide the bare minimum level of support, before handing the support element over to other </w:t>
      </w:r>
      <w:r>
        <w:rPr>
          <w:color w:val="000000" w:themeColor="text1"/>
          <w:sz w:val="24"/>
          <w:szCs w:val="24"/>
        </w:rPr>
        <w:lastRenderedPageBreak/>
        <w:t xml:space="preserve">agencies. I think that following bail, it is difficult to engage in a high level of support with suspects, </w:t>
      </w:r>
      <w:r w:rsidR="00D00188">
        <w:rPr>
          <w:color w:val="000000" w:themeColor="text1"/>
          <w:sz w:val="24"/>
          <w:szCs w:val="24"/>
        </w:rPr>
        <w:t xml:space="preserve">as I am conscious of this spiralling into the suspect trying to discuss the offence, however in custody I definitely think I could have done more to ask the suspect how they are feeling about the allegations, and whether there is anything going forward they feel like we can do for them. </w:t>
      </w:r>
    </w:p>
    <w:p w14:paraId="3C2CF28B" w14:textId="77777777" w:rsidR="00D00188" w:rsidRPr="008806A7" w:rsidRDefault="00D00188" w:rsidP="00D758B6">
      <w:pPr>
        <w:spacing w:line="360" w:lineRule="auto"/>
        <w:ind w:right="237"/>
        <w:jc w:val="both"/>
        <w:rPr>
          <w:color w:val="000000" w:themeColor="text1"/>
          <w:sz w:val="24"/>
          <w:szCs w:val="24"/>
        </w:rPr>
      </w:pPr>
    </w:p>
    <w:p w14:paraId="45ABF1C5" w14:textId="77777777" w:rsidR="00366C06" w:rsidRDefault="00366C06" w:rsidP="00D758B6">
      <w:pPr>
        <w:spacing w:line="360" w:lineRule="auto"/>
        <w:ind w:right="237"/>
        <w:jc w:val="both"/>
        <w:rPr>
          <w:color w:val="000000" w:themeColor="text1"/>
          <w:sz w:val="24"/>
          <w:szCs w:val="24"/>
        </w:rPr>
      </w:pPr>
    </w:p>
    <w:p w14:paraId="3634F2B7" w14:textId="4D55F2C5" w:rsidR="00366C06" w:rsidRPr="00366C06" w:rsidRDefault="00366C06" w:rsidP="00D758B6">
      <w:pPr>
        <w:spacing w:line="360" w:lineRule="auto"/>
        <w:ind w:right="237"/>
        <w:jc w:val="both"/>
        <w:rPr>
          <w:b/>
          <w:bCs/>
          <w:color w:val="000000" w:themeColor="text1"/>
          <w:sz w:val="24"/>
          <w:szCs w:val="24"/>
        </w:rPr>
      </w:pPr>
      <w:r w:rsidRPr="00366C06">
        <w:rPr>
          <w:b/>
          <w:bCs/>
          <w:color w:val="000000" w:themeColor="text1"/>
          <w:sz w:val="24"/>
          <w:szCs w:val="24"/>
        </w:rPr>
        <w:t>Now what?</w:t>
      </w:r>
    </w:p>
    <w:p w14:paraId="5541A8D1" w14:textId="28E452F8" w:rsidR="000A3465" w:rsidRDefault="003A5DCC" w:rsidP="00B95D6C">
      <w:pPr>
        <w:spacing w:line="360" w:lineRule="auto"/>
        <w:ind w:right="237"/>
        <w:jc w:val="both"/>
        <w:rPr>
          <w:color w:val="000000" w:themeColor="text1"/>
          <w:sz w:val="24"/>
          <w:szCs w:val="24"/>
        </w:rPr>
      </w:pPr>
      <w:r>
        <w:rPr>
          <w:color w:val="000000" w:themeColor="text1"/>
          <w:sz w:val="24"/>
          <w:szCs w:val="24"/>
        </w:rPr>
        <w:t xml:space="preserve">Up to this point, this essay has highlighted that </w:t>
      </w:r>
      <w:r w:rsidR="005B7818">
        <w:rPr>
          <w:color w:val="000000" w:themeColor="text1"/>
          <w:sz w:val="24"/>
          <w:szCs w:val="24"/>
        </w:rPr>
        <w:t xml:space="preserve">during this investigation a number of </w:t>
      </w:r>
      <w:r w:rsidR="006A6646">
        <w:rPr>
          <w:color w:val="000000" w:themeColor="text1"/>
          <w:sz w:val="24"/>
          <w:szCs w:val="24"/>
        </w:rPr>
        <w:t>fast-track</w:t>
      </w:r>
      <w:r w:rsidR="005B7818">
        <w:rPr>
          <w:color w:val="000000" w:themeColor="text1"/>
          <w:sz w:val="24"/>
          <w:szCs w:val="24"/>
        </w:rPr>
        <w:t xml:space="preserve"> actions were utilised to not only progress and assist the investigation, but also to ensure support was given to </w:t>
      </w:r>
      <w:r w:rsidR="006A6646">
        <w:rPr>
          <w:color w:val="000000" w:themeColor="text1"/>
          <w:sz w:val="24"/>
          <w:szCs w:val="24"/>
        </w:rPr>
        <w:t xml:space="preserve">both the victims of this allegation, as well as the suspect. However, it is also important to reflect on what more could have been done to offer further assistance in both the investigation and support provided. </w:t>
      </w:r>
    </w:p>
    <w:p w14:paraId="75950F41" w14:textId="77777777" w:rsidR="00E24F14" w:rsidRDefault="00E24F14" w:rsidP="00B95D6C">
      <w:pPr>
        <w:spacing w:line="360" w:lineRule="auto"/>
        <w:ind w:right="237"/>
        <w:jc w:val="both"/>
        <w:rPr>
          <w:color w:val="000000" w:themeColor="text1"/>
          <w:sz w:val="24"/>
          <w:szCs w:val="24"/>
        </w:rPr>
      </w:pPr>
    </w:p>
    <w:p w14:paraId="61BB121E" w14:textId="6D6A1EB3" w:rsidR="00E24F14" w:rsidRDefault="00E24F14" w:rsidP="00B95D6C">
      <w:pPr>
        <w:spacing w:line="360" w:lineRule="auto"/>
        <w:ind w:right="237"/>
        <w:jc w:val="both"/>
        <w:rPr>
          <w:color w:val="000000" w:themeColor="text1"/>
          <w:sz w:val="24"/>
          <w:szCs w:val="24"/>
        </w:rPr>
      </w:pPr>
      <w:r>
        <w:rPr>
          <w:color w:val="000000" w:themeColor="text1"/>
          <w:sz w:val="24"/>
          <w:szCs w:val="24"/>
        </w:rPr>
        <w:t xml:space="preserve">I believe that, as an investigator, fast-track actions will always be at the forefront of your mind, and as a result, </w:t>
      </w:r>
      <w:r w:rsidR="0029646B">
        <w:rPr>
          <w:color w:val="000000" w:themeColor="text1"/>
          <w:sz w:val="24"/>
          <w:szCs w:val="24"/>
        </w:rPr>
        <w:t>this is an area which the police are strong in. W</w:t>
      </w:r>
      <w:r>
        <w:rPr>
          <w:color w:val="000000" w:themeColor="text1"/>
          <w:sz w:val="24"/>
          <w:szCs w:val="24"/>
        </w:rPr>
        <w:t xml:space="preserve">hile there are more fast-track actions that could be considered, in relation to this investigation in particular, </w:t>
      </w:r>
      <w:r w:rsidR="0029646B">
        <w:rPr>
          <w:color w:val="000000" w:themeColor="text1"/>
          <w:sz w:val="24"/>
          <w:szCs w:val="24"/>
        </w:rPr>
        <w:t xml:space="preserve">alternate fast-track actions would not have yielded any further information. </w:t>
      </w:r>
      <w:r w:rsidR="009E0195">
        <w:rPr>
          <w:color w:val="000000" w:themeColor="text1"/>
          <w:sz w:val="24"/>
          <w:szCs w:val="24"/>
        </w:rPr>
        <w:t xml:space="preserve">I believe that in this investigation, all the appropriate fast-track actions were completed. However there clearly needs to be consideration of all possible actions from the outset of each individual investigation, as there will never be a one size fits all scenario, and the relevant actions will be massively dependant on the circumstances that have led to the investigation. </w:t>
      </w:r>
    </w:p>
    <w:p w14:paraId="3E0D1001" w14:textId="3F9148B6" w:rsidR="006A6646" w:rsidRDefault="006A6646" w:rsidP="00B95D6C">
      <w:pPr>
        <w:spacing w:line="360" w:lineRule="auto"/>
        <w:ind w:right="237"/>
        <w:jc w:val="both"/>
        <w:rPr>
          <w:color w:val="000000" w:themeColor="text1"/>
          <w:sz w:val="24"/>
          <w:szCs w:val="24"/>
        </w:rPr>
      </w:pPr>
    </w:p>
    <w:p w14:paraId="2794C6F2" w14:textId="188E5B2C" w:rsidR="006A6646" w:rsidRDefault="006A6646" w:rsidP="00B95D6C">
      <w:pPr>
        <w:spacing w:line="360" w:lineRule="auto"/>
        <w:ind w:right="237"/>
        <w:jc w:val="both"/>
        <w:rPr>
          <w:color w:val="000000" w:themeColor="text1"/>
          <w:sz w:val="24"/>
          <w:szCs w:val="24"/>
        </w:rPr>
      </w:pPr>
      <w:r>
        <w:rPr>
          <w:color w:val="000000" w:themeColor="text1"/>
          <w:sz w:val="24"/>
          <w:szCs w:val="24"/>
        </w:rPr>
        <w:t xml:space="preserve">In relation to the support afforded the victim, </w:t>
      </w:r>
      <w:r w:rsidR="0033196E">
        <w:rPr>
          <w:color w:val="000000" w:themeColor="text1"/>
          <w:sz w:val="24"/>
          <w:szCs w:val="24"/>
        </w:rPr>
        <w:t xml:space="preserve">I think this investigation specifically shows how important it is to identify those who are victims and those who are witnesses quickly, to ensure the </w:t>
      </w:r>
      <w:r w:rsidR="003A66A2">
        <w:rPr>
          <w:color w:val="000000" w:themeColor="text1"/>
          <w:sz w:val="24"/>
          <w:szCs w:val="24"/>
        </w:rPr>
        <w:t>right support is offered. In this investigation, while support was offered and provided to the initial complainant, once further victims were identified, this offer of support was not extended to them initially.</w:t>
      </w:r>
      <w:r w:rsidR="00EA7101">
        <w:rPr>
          <w:color w:val="000000" w:themeColor="text1"/>
          <w:sz w:val="24"/>
          <w:szCs w:val="24"/>
        </w:rPr>
        <w:t xml:space="preserve"> As highlighted by the home office, </w:t>
      </w:r>
      <w:r w:rsidR="00C93C1A">
        <w:rPr>
          <w:color w:val="000000" w:themeColor="text1"/>
          <w:sz w:val="24"/>
          <w:szCs w:val="24"/>
        </w:rPr>
        <w:t>an experience of sexual abuse as a child can have adverse outcomes in all areas of someone’s life (Home Office, 2020)</w:t>
      </w:r>
      <w:r w:rsidR="00F70F34">
        <w:rPr>
          <w:color w:val="000000" w:themeColor="text1"/>
          <w:sz w:val="24"/>
          <w:szCs w:val="24"/>
        </w:rPr>
        <w:t xml:space="preserve">, and it is therefore imperative that support is provided straight away to try and limit the impact the incident will have. While support was provided in this incident, I think the desire to complete the identified fast track </w:t>
      </w:r>
      <w:r w:rsidR="007951CF">
        <w:rPr>
          <w:color w:val="000000" w:themeColor="text1"/>
          <w:sz w:val="24"/>
          <w:szCs w:val="24"/>
        </w:rPr>
        <w:t>actions and</w:t>
      </w:r>
      <w:r w:rsidR="00F70F34">
        <w:rPr>
          <w:color w:val="000000" w:themeColor="text1"/>
          <w:sz w:val="24"/>
          <w:szCs w:val="24"/>
        </w:rPr>
        <w:t xml:space="preserve"> obtain as much relevant evidence as </w:t>
      </w:r>
      <w:r w:rsidR="00F70F34">
        <w:rPr>
          <w:color w:val="000000" w:themeColor="text1"/>
          <w:sz w:val="24"/>
          <w:szCs w:val="24"/>
        </w:rPr>
        <w:lastRenderedPageBreak/>
        <w:t xml:space="preserve">possible in the initial stages of the investigation, led to a </w:t>
      </w:r>
      <w:r w:rsidR="00906A43">
        <w:rPr>
          <w:color w:val="000000" w:themeColor="text1"/>
          <w:sz w:val="24"/>
          <w:szCs w:val="24"/>
        </w:rPr>
        <w:t xml:space="preserve">lapse in recognising the support that needed to be offered. I think this clearly highlights that despite the importance of </w:t>
      </w:r>
      <w:r w:rsidR="007951CF">
        <w:rPr>
          <w:color w:val="000000" w:themeColor="text1"/>
          <w:sz w:val="24"/>
          <w:szCs w:val="24"/>
        </w:rPr>
        <w:t>fast-track</w:t>
      </w:r>
      <w:r w:rsidR="00906A43">
        <w:rPr>
          <w:color w:val="000000" w:themeColor="text1"/>
          <w:sz w:val="24"/>
          <w:szCs w:val="24"/>
        </w:rPr>
        <w:t xml:space="preserve"> actions, as an investigator you need to avoid becoming narrow in focus, and make sure that support of victims and witnesses is included as a</w:t>
      </w:r>
      <w:r w:rsidR="007951CF">
        <w:rPr>
          <w:color w:val="000000" w:themeColor="text1"/>
          <w:sz w:val="24"/>
          <w:szCs w:val="24"/>
        </w:rPr>
        <w:t xml:space="preserve"> consideration when deciding on</w:t>
      </w:r>
      <w:r w:rsidR="00906A43">
        <w:rPr>
          <w:color w:val="000000" w:themeColor="text1"/>
          <w:sz w:val="24"/>
          <w:szCs w:val="24"/>
        </w:rPr>
        <w:t xml:space="preserve"> </w:t>
      </w:r>
      <w:r w:rsidR="007951CF">
        <w:rPr>
          <w:color w:val="000000" w:themeColor="text1"/>
          <w:sz w:val="24"/>
          <w:szCs w:val="24"/>
        </w:rPr>
        <w:t>fast-track</w:t>
      </w:r>
      <w:r w:rsidR="00906A43">
        <w:rPr>
          <w:color w:val="000000" w:themeColor="text1"/>
          <w:sz w:val="24"/>
          <w:szCs w:val="24"/>
        </w:rPr>
        <w:t xml:space="preserve"> action</w:t>
      </w:r>
      <w:r w:rsidR="007951CF">
        <w:rPr>
          <w:color w:val="000000" w:themeColor="text1"/>
          <w:sz w:val="24"/>
          <w:szCs w:val="24"/>
        </w:rPr>
        <w:t>s.</w:t>
      </w:r>
    </w:p>
    <w:p w14:paraId="3708FADF" w14:textId="77777777" w:rsidR="00F70F34" w:rsidRDefault="00F70F34" w:rsidP="00B95D6C">
      <w:pPr>
        <w:spacing w:line="360" w:lineRule="auto"/>
        <w:ind w:right="237"/>
        <w:jc w:val="both"/>
        <w:rPr>
          <w:color w:val="000000" w:themeColor="text1"/>
          <w:sz w:val="24"/>
          <w:szCs w:val="24"/>
        </w:rPr>
      </w:pPr>
    </w:p>
    <w:p w14:paraId="3E6B6607" w14:textId="5B5273FA" w:rsidR="007D7273" w:rsidRDefault="007D7273" w:rsidP="00B95D6C">
      <w:pPr>
        <w:spacing w:line="360" w:lineRule="auto"/>
        <w:ind w:right="237"/>
        <w:jc w:val="both"/>
        <w:rPr>
          <w:color w:val="000000" w:themeColor="text1"/>
          <w:sz w:val="24"/>
          <w:szCs w:val="24"/>
        </w:rPr>
      </w:pPr>
      <w:r>
        <w:rPr>
          <w:color w:val="000000" w:themeColor="text1"/>
          <w:sz w:val="24"/>
          <w:szCs w:val="24"/>
        </w:rPr>
        <w:t>I</w:t>
      </w:r>
      <w:r w:rsidR="009E0195">
        <w:rPr>
          <w:color w:val="000000" w:themeColor="text1"/>
          <w:sz w:val="24"/>
          <w:szCs w:val="24"/>
        </w:rPr>
        <w:t xml:space="preserve"> also think that better support needs to be afforded to suspects. As highlighted above, while the police are impartial, it is very difficult, especially </w:t>
      </w:r>
      <w:r w:rsidR="00C9714C">
        <w:rPr>
          <w:color w:val="000000" w:themeColor="text1"/>
          <w:sz w:val="24"/>
          <w:szCs w:val="24"/>
        </w:rPr>
        <w:t xml:space="preserve">when investigating child sex offences, to completely keep your emotions at bay, and this can lead to suspect support being hugely neglected. </w:t>
      </w:r>
      <w:r w:rsidR="007C6D9F">
        <w:rPr>
          <w:color w:val="000000" w:themeColor="text1"/>
          <w:sz w:val="24"/>
          <w:szCs w:val="24"/>
        </w:rPr>
        <w:t xml:space="preserve">As highlighted by </w:t>
      </w:r>
      <w:r w:rsidR="00264F25">
        <w:rPr>
          <w:color w:val="000000" w:themeColor="text1"/>
          <w:sz w:val="24"/>
          <w:szCs w:val="24"/>
        </w:rPr>
        <w:t>Lowenstein</w:t>
      </w:r>
      <w:r w:rsidR="007C6D9F">
        <w:rPr>
          <w:color w:val="000000" w:themeColor="text1"/>
          <w:sz w:val="24"/>
          <w:szCs w:val="24"/>
        </w:rPr>
        <w:t xml:space="preserve"> while the police should not have a culture of disbelieving victims, </w:t>
      </w:r>
      <w:r w:rsidR="003248B5">
        <w:rPr>
          <w:color w:val="000000" w:themeColor="text1"/>
          <w:sz w:val="24"/>
          <w:szCs w:val="24"/>
        </w:rPr>
        <w:t>false allegations are made, and it is human nature to err on the side of caution</w:t>
      </w:r>
      <w:r w:rsidR="00264F25">
        <w:rPr>
          <w:color w:val="000000" w:themeColor="text1"/>
          <w:sz w:val="24"/>
          <w:szCs w:val="24"/>
        </w:rPr>
        <w:t xml:space="preserve"> (Lowenstein, 2001). </w:t>
      </w:r>
      <w:r w:rsidR="00B21D51">
        <w:rPr>
          <w:color w:val="000000" w:themeColor="text1"/>
          <w:sz w:val="24"/>
          <w:szCs w:val="24"/>
        </w:rPr>
        <w:t xml:space="preserve">This is important to remember, especially in these type of investigations, where the effect on the suspect could be devastating, as the mental health and safety of the suspect needs to be maintained. I therefore believe that while the suspect is directed towards support services, the methods of obtaining support offered to victims, should in certain circumstances, such as these, also be afforded to suspects. For </w:t>
      </w:r>
      <w:r w:rsidR="00591825">
        <w:rPr>
          <w:color w:val="000000" w:themeColor="text1"/>
          <w:sz w:val="24"/>
          <w:szCs w:val="24"/>
        </w:rPr>
        <w:t>example,</w:t>
      </w:r>
      <w:r w:rsidR="00B21D51">
        <w:rPr>
          <w:color w:val="000000" w:themeColor="text1"/>
          <w:sz w:val="24"/>
          <w:szCs w:val="24"/>
        </w:rPr>
        <w:t xml:space="preserve"> the submission of a public protection notification, to make external agencies aware of the allegations, who can then reach out to the suspect and offer them support. </w:t>
      </w:r>
    </w:p>
    <w:p w14:paraId="545BBFAF" w14:textId="77777777" w:rsidR="00B21D51" w:rsidRDefault="00B21D51" w:rsidP="00B95D6C">
      <w:pPr>
        <w:spacing w:line="360" w:lineRule="auto"/>
        <w:ind w:right="237"/>
        <w:jc w:val="both"/>
        <w:rPr>
          <w:color w:val="000000" w:themeColor="text1"/>
          <w:sz w:val="24"/>
          <w:szCs w:val="24"/>
        </w:rPr>
      </w:pPr>
    </w:p>
    <w:p w14:paraId="40011D1A" w14:textId="77777777" w:rsidR="00B21D51" w:rsidRDefault="00B21D51" w:rsidP="00B95D6C">
      <w:pPr>
        <w:spacing w:line="360" w:lineRule="auto"/>
        <w:ind w:right="237"/>
        <w:jc w:val="both"/>
        <w:rPr>
          <w:color w:val="000000" w:themeColor="text1"/>
          <w:sz w:val="24"/>
          <w:szCs w:val="24"/>
        </w:rPr>
      </w:pPr>
    </w:p>
    <w:p w14:paraId="1FD06CB9" w14:textId="5EF1C5FA" w:rsidR="00B21D51" w:rsidRDefault="00B21D51" w:rsidP="00B95D6C">
      <w:pPr>
        <w:spacing w:line="360" w:lineRule="auto"/>
        <w:ind w:right="237"/>
        <w:jc w:val="both"/>
        <w:rPr>
          <w:b/>
          <w:bCs/>
          <w:color w:val="000000" w:themeColor="text1"/>
          <w:sz w:val="24"/>
          <w:szCs w:val="24"/>
        </w:rPr>
      </w:pPr>
      <w:r>
        <w:rPr>
          <w:b/>
          <w:bCs/>
          <w:color w:val="000000" w:themeColor="text1"/>
          <w:sz w:val="24"/>
          <w:szCs w:val="24"/>
        </w:rPr>
        <w:t>Conclusion</w:t>
      </w:r>
    </w:p>
    <w:p w14:paraId="1990CA94" w14:textId="5F59FD5B" w:rsidR="00F70F34" w:rsidRDefault="00B21D51" w:rsidP="00B95D6C">
      <w:pPr>
        <w:spacing w:line="360" w:lineRule="auto"/>
        <w:ind w:right="237"/>
        <w:jc w:val="both"/>
        <w:rPr>
          <w:color w:val="000000" w:themeColor="text1"/>
          <w:sz w:val="24"/>
          <w:szCs w:val="24"/>
        </w:rPr>
      </w:pPr>
      <w:r>
        <w:rPr>
          <w:color w:val="000000" w:themeColor="text1"/>
          <w:sz w:val="24"/>
          <w:szCs w:val="24"/>
        </w:rPr>
        <w:t>To conclude, this essay has highlighted that often in police investigations, the investigative side of policing comes before the need for support, and personal attitudes</w:t>
      </w:r>
      <w:r w:rsidR="005109DB">
        <w:rPr>
          <w:color w:val="000000" w:themeColor="text1"/>
          <w:sz w:val="24"/>
          <w:szCs w:val="24"/>
        </w:rPr>
        <w:t>,</w:t>
      </w:r>
      <w:r>
        <w:rPr>
          <w:color w:val="000000" w:themeColor="text1"/>
          <w:sz w:val="24"/>
          <w:szCs w:val="24"/>
        </w:rPr>
        <w:t xml:space="preserve"> especially </w:t>
      </w:r>
      <w:r w:rsidR="005109DB">
        <w:rPr>
          <w:color w:val="000000" w:themeColor="text1"/>
          <w:sz w:val="24"/>
          <w:szCs w:val="24"/>
        </w:rPr>
        <w:t xml:space="preserve">when sensitive topics such as child sexual offences are involved, can alter the way support is provided to all involved. I think the biggest takeaway from this reflection for me, is that fast-track actions should not come ahead of the offering of support, and instead support should be viewed as a fast-track action. Victims often have a variety of complex needs, and a delay in support could lead to </w:t>
      </w:r>
      <w:r w:rsidR="00E32C86">
        <w:rPr>
          <w:color w:val="000000" w:themeColor="text1"/>
          <w:sz w:val="24"/>
          <w:szCs w:val="24"/>
        </w:rPr>
        <w:t xml:space="preserve">them experiencing problems as time goes on, and this in turn could affect the progress of the investigation. </w:t>
      </w:r>
      <w:r w:rsidR="00591825">
        <w:rPr>
          <w:color w:val="000000" w:themeColor="text1"/>
          <w:sz w:val="24"/>
          <w:szCs w:val="24"/>
        </w:rPr>
        <w:t>Therefore,</w:t>
      </w:r>
      <w:r w:rsidR="00E32C86">
        <w:rPr>
          <w:color w:val="000000" w:themeColor="text1"/>
          <w:sz w:val="24"/>
          <w:szCs w:val="24"/>
        </w:rPr>
        <w:t xml:space="preserve"> to ensure the investigation progresses smoothly, </w:t>
      </w:r>
      <w:r w:rsidR="00591825">
        <w:rPr>
          <w:color w:val="000000" w:themeColor="text1"/>
          <w:sz w:val="24"/>
          <w:szCs w:val="24"/>
        </w:rPr>
        <w:t xml:space="preserve">support should be at least offered as soon as possible, and this should then be a continuing process for all involved in the investigation, and not just the victim. </w:t>
      </w:r>
    </w:p>
    <w:p w14:paraId="1360601F" w14:textId="77777777" w:rsidR="00227197" w:rsidRDefault="00227197" w:rsidP="00B95D6C">
      <w:pPr>
        <w:spacing w:line="360" w:lineRule="auto"/>
        <w:ind w:right="237"/>
        <w:jc w:val="both"/>
        <w:rPr>
          <w:color w:val="000000" w:themeColor="text1"/>
          <w:sz w:val="24"/>
          <w:szCs w:val="24"/>
        </w:rPr>
      </w:pPr>
    </w:p>
    <w:p w14:paraId="050DEE6D" w14:textId="7FEB24A3" w:rsidR="00227197" w:rsidRPr="00D00188" w:rsidRDefault="00227197" w:rsidP="00B95D6C">
      <w:pPr>
        <w:spacing w:line="360" w:lineRule="auto"/>
        <w:ind w:right="237"/>
        <w:jc w:val="both"/>
        <w:rPr>
          <w:color w:val="000000" w:themeColor="text1"/>
          <w:sz w:val="24"/>
          <w:szCs w:val="24"/>
        </w:rPr>
      </w:pPr>
      <w:r>
        <w:rPr>
          <w:color w:val="000000" w:themeColor="text1"/>
          <w:sz w:val="24"/>
          <w:szCs w:val="24"/>
        </w:rPr>
        <w:t>Word Count: 2</w:t>
      </w:r>
      <w:r w:rsidR="00591825">
        <w:rPr>
          <w:color w:val="000000" w:themeColor="text1"/>
          <w:sz w:val="24"/>
          <w:szCs w:val="24"/>
        </w:rPr>
        <w:t>090</w:t>
      </w:r>
    </w:p>
    <w:p w14:paraId="048AB4D0" w14:textId="1A1095BA" w:rsidR="00582196" w:rsidRPr="00582196" w:rsidRDefault="00582196" w:rsidP="009370AE">
      <w:pPr>
        <w:ind w:right="237"/>
        <w:jc w:val="both"/>
        <w:rPr>
          <w:color w:val="000000" w:themeColor="text1"/>
          <w:sz w:val="24"/>
          <w:szCs w:val="24"/>
        </w:rPr>
      </w:pPr>
    </w:p>
    <w:p w14:paraId="3659D13F" w14:textId="77777777" w:rsidR="00582196" w:rsidRDefault="00582196" w:rsidP="009370AE">
      <w:pPr>
        <w:ind w:right="237"/>
        <w:jc w:val="both"/>
        <w:rPr>
          <w:b/>
          <w:bCs/>
          <w:color w:val="000000" w:themeColor="text1"/>
          <w:sz w:val="28"/>
          <w:szCs w:val="28"/>
        </w:rPr>
      </w:pPr>
    </w:p>
    <w:p w14:paraId="2A27023B" w14:textId="77777777" w:rsidR="00582196" w:rsidRDefault="00582196" w:rsidP="009370AE">
      <w:pPr>
        <w:ind w:right="237"/>
        <w:jc w:val="both"/>
        <w:rPr>
          <w:b/>
          <w:bCs/>
          <w:color w:val="000000" w:themeColor="text1"/>
          <w:sz w:val="28"/>
          <w:szCs w:val="28"/>
        </w:rPr>
      </w:pP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5E2B1BDB" w14:textId="77777777" w:rsidR="00220DC8" w:rsidRDefault="00220DC8" w:rsidP="5CE196A1">
      <w:pPr>
        <w:rPr>
          <w:rFonts w:eastAsia="Arial"/>
          <w:b/>
          <w:bCs/>
          <w:color w:val="000000" w:themeColor="text1"/>
          <w:sz w:val="24"/>
          <w:szCs w:val="24"/>
        </w:rPr>
      </w:pPr>
    </w:p>
    <w:p w14:paraId="2B0D1F05" w14:textId="77777777" w:rsidR="00220DC8" w:rsidRDefault="00220DC8" w:rsidP="5CE196A1">
      <w:pPr>
        <w:rPr>
          <w:rFonts w:eastAsia="Arial"/>
          <w:b/>
          <w:bCs/>
          <w:color w:val="000000" w:themeColor="text1"/>
          <w:sz w:val="24"/>
          <w:szCs w:val="24"/>
        </w:rPr>
      </w:pPr>
    </w:p>
    <w:p w14:paraId="0FB28517" w14:textId="77777777" w:rsidR="00220DC8" w:rsidRDefault="00220DC8" w:rsidP="5CE196A1">
      <w:pPr>
        <w:rPr>
          <w:rFonts w:eastAsia="Arial"/>
          <w:b/>
          <w:bCs/>
          <w:color w:val="000000" w:themeColor="text1"/>
          <w:sz w:val="24"/>
          <w:szCs w:val="24"/>
        </w:rPr>
      </w:pPr>
    </w:p>
    <w:p w14:paraId="2F53E185" w14:textId="77777777" w:rsidR="00220DC8" w:rsidRDefault="00220DC8" w:rsidP="5CE196A1">
      <w:pPr>
        <w:rPr>
          <w:rFonts w:eastAsia="Arial"/>
          <w:b/>
          <w:bCs/>
          <w:color w:val="000000" w:themeColor="text1"/>
          <w:sz w:val="24"/>
          <w:szCs w:val="24"/>
        </w:rPr>
      </w:pPr>
    </w:p>
    <w:p w14:paraId="44F54B9F" w14:textId="77777777" w:rsidR="00220DC8" w:rsidRDefault="00220DC8" w:rsidP="5CE196A1">
      <w:pPr>
        <w:rPr>
          <w:rFonts w:eastAsia="Arial"/>
          <w:b/>
          <w:bCs/>
          <w:color w:val="000000" w:themeColor="text1"/>
          <w:sz w:val="24"/>
          <w:szCs w:val="24"/>
        </w:rPr>
      </w:pPr>
    </w:p>
    <w:p w14:paraId="1C6352E0" w14:textId="77777777" w:rsidR="00220DC8" w:rsidRDefault="00220DC8" w:rsidP="5CE196A1">
      <w:pPr>
        <w:rPr>
          <w:rFonts w:eastAsia="Arial"/>
          <w:b/>
          <w:bCs/>
          <w:color w:val="000000" w:themeColor="text1"/>
          <w:sz w:val="24"/>
          <w:szCs w:val="24"/>
        </w:rPr>
      </w:pPr>
    </w:p>
    <w:p w14:paraId="28DDE1BA" w14:textId="77777777" w:rsidR="00220DC8" w:rsidRDefault="00220DC8" w:rsidP="5CE196A1">
      <w:pPr>
        <w:rPr>
          <w:rFonts w:eastAsia="Arial"/>
          <w:b/>
          <w:bCs/>
          <w:color w:val="000000" w:themeColor="text1"/>
          <w:sz w:val="24"/>
          <w:szCs w:val="24"/>
        </w:rPr>
      </w:pPr>
    </w:p>
    <w:p w14:paraId="43E7E2E9" w14:textId="77777777" w:rsidR="00220DC8" w:rsidRDefault="00220DC8" w:rsidP="5CE196A1">
      <w:pPr>
        <w:rPr>
          <w:rFonts w:eastAsia="Arial"/>
          <w:b/>
          <w:bCs/>
          <w:color w:val="000000" w:themeColor="text1"/>
          <w:sz w:val="24"/>
          <w:szCs w:val="24"/>
        </w:rPr>
      </w:pPr>
    </w:p>
    <w:p w14:paraId="320C1D46" w14:textId="77777777" w:rsidR="00220DC8" w:rsidRDefault="00220DC8" w:rsidP="5CE196A1">
      <w:pPr>
        <w:rPr>
          <w:rFonts w:eastAsia="Arial"/>
          <w:b/>
          <w:bCs/>
          <w:color w:val="000000" w:themeColor="text1"/>
          <w:sz w:val="24"/>
          <w:szCs w:val="24"/>
        </w:rPr>
      </w:pPr>
    </w:p>
    <w:p w14:paraId="47E65A11" w14:textId="77777777" w:rsidR="00220DC8" w:rsidRDefault="00220DC8" w:rsidP="5CE196A1">
      <w:pPr>
        <w:rPr>
          <w:rFonts w:eastAsia="Arial"/>
          <w:b/>
          <w:bCs/>
          <w:color w:val="000000" w:themeColor="text1"/>
          <w:sz w:val="24"/>
          <w:szCs w:val="24"/>
        </w:rPr>
      </w:pPr>
    </w:p>
    <w:p w14:paraId="654B89C6" w14:textId="77777777" w:rsidR="00220DC8" w:rsidRDefault="00220DC8" w:rsidP="5CE196A1">
      <w:pPr>
        <w:rPr>
          <w:rFonts w:eastAsia="Arial"/>
          <w:b/>
          <w:bCs/>
          <w:color w:val="000000" w:themeColor="text1"/>
          <w:sz w:val="24"/>
          <w:szCs w:val="24"/>
        </w:rPr>
      </w:pPr>
    </w:p>
    <w:p w14:paraId="5231FB29" w14:textId="77777777" w:rsidR="00220DC8" w:rsidRDefault="00220DC8" w:rsidP="5CE196A1">
      <w:pPr>
        <w:rPr>
          <w:rFonts w:eastAsia="Arial"/>
          <w:b/>
          <w:bCs/>
          <w:color w:val="000000" w:themeColor="text1"/>
          <w:sz w:val="24"/>
          <w:szCs w:val="24"/>
        </w:rPr>
      </w:pPr>
    </w:p>
    <w:p w14:paraId="79C2FAC6" w14:textId="77777777" w:rsidR="00220DC8" w:rsidRDefault="00220DC8" w:rsidP="5CE196A1">
      <w:pPr>
        <w:rPr>
          <w:rFonts w:eastAsia="Arial"/>
          <w:b/>
          <w:bCs/>
          <w:color w:val="000000" w:themeColor="text1"/>
          <w:sz w:val="24"/>
          <w:szCs w:val="24"/>
        </w:rPr>
      </w:pPr>
    </w:p>
    <w:p w14:paraId="5F4A4C8C" w14:textId="77777777" w:rsidR="00220DC8" w:rsidRDefault="00220DC8" w:rsidP="5CE196A1">
      <w:pPr>
        <w:rPr>
          <w:rFonts w:eastAsia="Arial"/>
          <w:b/>
          <w:bCs/>
          <w:color w:val="000000" w:themeColor="text1"/>
          <w:sz w:val="24"/>
          <w:szCs w:val="24"/>
        </w:rPr>
      </w:pPr>
    </w:p>
    <w:p w14:paraId="5FF8BF8B" w14:textId="77777777" w:rsidR="00220DC8" w:rsidRDefault="00220DC8" w:rsidP="5CE196A1">
      <w:pPr>
        <w:rPr>
          <w:rFonts w:eastAsia="Arial"/>
          <w:b/>
          <w:bCs/>
          <w:color w:val="000000" w:themeColor="text1"/>
          <w:sz w:val="24"/>
          <w:szCs w:val="24"/>
        </w:rPr>
      </w:pPr>
    </w:p>
    <w:p w14:paraId="7B4C0A6E" w14:textId="77777777" w:rsidR="00220DC8" w:rsidRDefault="00220DC8" w:rsidP="5CE196A1">
      <w:pPr>
        <w:rPr>
          <w:rFonts w:eastAsia="Arial"/>
          <w:b/>
          <w:bCs/>
          <w:color w:val="000000" w:themeColor="text1"/>
          <w:sz w:val="24"/>
          <w:szCs w:val="24"/>
        </w:rPr>
      </w:pPr>
    </w:p>
    <w:p w14:paraId="3CBA296B" w14:textId="77777777" w:rsidR="00220DC8" w:rsidRDefault="00220DC8" w:rsidP="5CE196A1">
      <w:pPr>
        <w:rPr>
          <w:rFonts w:eastAsia="Arial"/>
          <w:b/>
          <w:bCs/>
          <w:color w:val="000000" w:themeColor="text1"/>
          <w:sz w:val="24"/>
          <w:szCs w:val="24"/>
        </w:rPr>
      </w:pPr>
    </w:p>
    <w:p w14:paraId="716B1C43" w14:textId="77777777" w:rsidR="00220DC8" w:rsidRDefault="00220DC8" w:rsidP="5CE196A1">
      <w:pPr>
        <w:rPr>
          <w:rFonts w:eastAsia="Arial"/>
          <w:b/>
          <w:bCs/>
          <w:color w:val="000000" w:themeColor="text1"/>
          <w:sz w:val="24"/>
          <w:szCs w:val="24"/>
        </w:rPr>
      </w:pPr>
    </w:p>
    <w:p w14:paraId="639E9A35" w14:textId="77777777" w:rsidR="00220DC8" w:rsidRDefault="00220DC8" w:rsidP="5CE196A1">
      <w:pPr>
        <w:rPr>
          <w:rFonts w:eastAsia="Arial"/>
          <w:b/>
          <w:bCs/>
          <w:color w:val="000000" w:themeColor="text1"/>
          <w:sz w:val="24"/>
          <w:szCs w:val="24"/>
        </w:rPr>
      </w:pPr>
    </w:p>
    <w:p w14:paraId="411803EE" w14:textId="77777777" w:rsidR="00220DC8" w:rsidRDefault="00220DC8" w:rsidP="5CE196A1">
      <w:pPr>
        <w:rPr>
          <w:rFonts w:eastAsia="Arial"/>
          <w:b/>
          <w:bCs/>
          <w:color w:val="000000" w:themeColor="text1"/>
          <w:sz w:val="24"/>
          <w:szCs w:val="24"/>
        </w:rPr>
      </w:pPr>
    </w:p>
    <w:p w14:paraId="3FE0A77C" w14:textId="77777777" w:rsidR="00220DC8" w:rsidRDefault="00220DC8" w:rsidP="5CE196A1">
      <w:pPr>
        <w:rPr>
          <w:rFonts w:eastAsia="Arial"/>
          <w:b/>
          <w:bCs/>
          <w:color w:val="000000" w:themeColor="text1"/>
          <w:sz w:val="24"/>
          <w:szCs w:val="24"/>
        </w:rPr>
      </w:pPr>
    </w:p>
    <w:p w14:paraId="1ADEFAE5" w14:textId="515B8A97"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985B69B" w:rsidR="0FF883D4" w:rsidRDefault="5CE196A1" w:rsidP="5CE196A1">
      <w:r w:rsidRPr="5CE196A1">
        <w:rPr>
          <w:rFonts w:eastAsia="Arial"/>
          <w:b/>
          <w:bCs/>
          <w:color w:val="000000" w:themeColor="text1"/>
          <w:sz w:val="24"/>
          <w:szCs w:val="24"/>
        </w:rPr>
        <w:t xml:space="preserve">Signed: </w:t>
      </w:r>
      <w:r w:rsidR="00220DC8">
        <w:rPr>
          <w:rFonts w:eastAsia="Arial"/>
          <w:b/>
          <w:bCs/>
          <w:color w:val="000000" w:themeColor="text1"/>
          <w:sz w:val="24"/>
          <w:szCs w:val="24"/>
        </w:rPr>
        <w:t>Elisha Rooke</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5B3A33C" w:rsidR="0FF883D4" w:rsidRPr="00220DC8" w:rsidRDefault="5CE196A1" w:rsidP="00220DC8">
      <w:pPr>
        <w:sectPr w:rsidR="0FF883D4" w:rsidRPr="00220DC8" w:rsidSect="00843732">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220DC8">
        <w:rPr>
          <w:rFonts w:eastAsia="Arial"/>
          <w:b/>
          <w:bCs/>
          <w:color w:val="000000" w:themeColor="text1"/>
          <w:sz w:val="24"/>
          <w:szCs w:val="24"/>
        </w:rPr>
        <w:t xml:space="preserve"> </w:t>
      </w:r>
      <w:r w:rsidR="00591825">
        <w:rPr>
          <w:rFonts w:eastAsia="Arial"/>
          <w:b/>
          <w:bCs/>
          <w:color w:val="000000" w:themeColor="text1"/>
          <w:sz w:val="24"/>
          <w:szCs w:val="24"/>
        </w:rPr>
        <w:t>24</w:t>
      </w:r>
      <w:r w:rsidR="00220DC8" w:rsidRPr="00220DC8">
        <w:rPr>
          <w:b/>
          <w:bCs/>
          <w:sz w:val="24"/>
          <w:szCs w:val="24"/>
        </w:rPr>
        <w:t>/</w:t>
      </w:r>
      <w:r w:rsidR="00591825">
        <w:rPr>
          <w:b/>
          <w:bCs/>
          <w:sz w:val="24"/>
          <w:szCs w:val="24"/>
        </w:rPr>
        <w:t>10</w:t>
      </w:r>
      <w:r w:rsidR="00220DC8" w:rsidRPr="00220DC8">
        <w:rPr>
          <w:b/>
          <w:bCs/>
          <w:sz w:val="24"/>
          <w:szCs w:val="24"/>
        </w:rPr>
        <w:t>/24</w:t>
      </w:r>
    </w:p>
    <w:p w14:paraId="2B4DA333" w14:textId="7450C73F" w:rsidR="004923DA" w:rsidRPr="00E676F7" w:rsidRDefault="004923DA" w:rsidP="00340E9A">
      <w:pPr>
        <w:keepNext/>
        <w:spacing w:before="240" w:after="60"/>
        <w:ind w:right="237"/>
        <w:jc w:val="both"/>
        <w:rPr>
          <w:b/>
          <w:sz w:val="24"/>
          <w:szCs w:val="24"/>
        </w:rPr>
      </w:pPr>
      <w:r w:rsidRPr="00E676F7">
        <w:rPr>
          <w:b/>
          <w:sz w:val="24"/>
          <w:szCs w:val="24"/>
        </w:rPr>
        <w:lastRenderedPageBreak/>
        <w:t>B</w:t>
      </w:r>
      <w:r w:rsidR="00220DC8">
        <w:rPr>
          <w:b/>
          <w:sz w:val="24"/>
          <w:szCs w:val="24"/>
        </w:rPr>
        <w:t>i</w:t>
      </w:r>
      <w:r w:rsidRPr="00E676F7">
        <w:rPr>
          <w:b/>
          <w:sz w:val="24"/>
          <w:szCs w:val="24"/>
        </w:rPr>
        <w:t>bliography</w:t>
      </w:r>
    </w:p>
    <w:p w14:paraId="055E627C" w14:textId="70FB75CB" w:rsidR="00293D09" w:rsidRDefault="000F7ECD" w:rsidP="00414E15">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2E9FDE3" w14:textId="77777777" w:rsidR="006B7C47" w:rsidRDefault="006B7C47" w:rsidP="00414E15">
      <w:pPr>
        <w:keepNext/>
        <w:spacing w:before="240" w:after="60"/>
        <w:ind w:right="237"/>
        <w:jc w:val="both"/>
        <w:rPr>
          <w:sz w:val="24"/>
          <w:szCs w:val="24"/>
        </w:rPr>
      </w:pPr>
    </w:p>
    <w:p w14:paraId="53BC5233" w14:textId="56766F1C" w:rsidR="00A03EAD" w:rsidRDefault="00A03EAD" w:rsidP="00414E15">
      <w:pPr>
        <w:keepNext/>
        <w:spacing w:before="240" w:after="60"/>
        <w:ind w:right="237"/>
        <w:jc w:val="both"/>
        <w:rPr>
          <w:sz w:val="24"/>
          <w:szCs w:val="24"/>
        </w:rPr>
      </w:pPr>
      <w:r>
        <w:rPr>
          <w:sz w:val="24"/>
          <w:szCs w:val="24"/>
        </w:rPr>
        <w:t>Bail Act (1976)</w:t>
      </w:r>
    </w:p>
    <w:p w14:paraId="74059488" w14:textId="77777777" w:rsidR="00A03EAD" w:rsidRPr="00EF2DEB" w:rsidRDefault="00A03EAD" w:rsidP="00414E15">
      <w:pPr>
        <w:keepNext/>
        <w:spacing w:before="240" w:after="60"/>
        <w:ind w:right="237"/>
        <w:jc w:val="both"/>
        <w:rPr>
          <w:sz w:val="24"/>
          <w:szCs w:val="24"/>
        </w:rPr>
      </w:pPr>
    </w:p>
    <w:p w14:paraId="2A9E83CE" w14:textId="72DACE64" w:rsidR="00C44964" w:rsidRDefault="00D337E9" w:rsidP="00EF2DEB">
      <w:pPr>
        <w:rPr>
          <w:sz w:val="24"/>
          <w:szCs w:val="24"/>
        </w:rPr>
      </w:pPr>
      <w:r w:rsidRPr="006B7C47">
        <w:rPr>
          <w:sz w:val="24"/>
          <w:szCs w:val="24"/>
        </w:rPr>
        <w:t>Borton, T. (1970) Reach Touch and Teach. New York: McGraw-Hill Paperbacks.</w:t>
      </w:r>
    </w:p>
    <w:p w14:paraId="0EA372BD" w14:textId="77777777" w:rsidR="00F00BEC" w:rsidRDefault="00F00BEC" w:rsidP="00EF2DEB">
      <w:pPr>
        <w:rPr>
          <w:sz w:val="24"/>
          <w:szCs w:val="24"/>
        </w:rPr>
      </w:pPr>
    </w:p>
    <w:p w14:paraId="1BC0E1A7" w14:textId="77777777" w:rsidR="00143B9B" w:rsidRDefault="00143B9B" w:rsidP="00EF2DEB">
      <w:pPr>
        <w:rPr>
          <w:sz w:val="24"/>
          <w:szCs w:val="24"/>
        </w:rPr>
      </w:pPr>
    </w:p>
    <w:p w14:paraId="223E091D" w14:textId="741E8E58" w:rsidR="00143B9B" w:rsidRDefault="00143B9B" w:rsidP="00EF2DEB">
      <w:pPr>
        <w:rPr>
          <w:sz w:val="24"/>
          <w:szCs w:val="24"/>
        </w:rPr>
      </w:pPr>
      <w:r>
        <w:rPr>
          <w:sz w:val="24"/>
          <w:szCs w:val="24"/>
        </w:rPr>
        <w:t xml:space="preserve">College of Policing (2015), </w:t>
      </w:r>
      <w:r w:rsidR="00B16BF6">
        <w:rPr>
          <w:sz w:val="24"/>
          <w:szCs w:val="24"/>
        </w:rPr>
        <w:t xml:space="preserve">‘Context and dynamics of domestic abuse’, accessed 24/10/24 at </w:t>
      </w:r>
      <w:hyperlink r:id="rId21" w:history="1">
        <w:r w:rsidR="00E2770A" w:rsidRPr="002D5D71">
          <w:rPr>
            <w:rStyle w:val="Hyperlink"/>
            <w:sz w:val="24"/>
            <w:szCs w:val="24"/>
          </w:rPr>
          <w:t>www.college.police.uk/app/major-investigation-and-public-protection/domestic-abuse/context-and-dynamics-domestic-abuse</w:t>
        </w:r>
      </w:hyperlink>
      <w:r w:rsidR="00B16BF6">
        <w:rPr>
          <w:sz w:val="24"/>
          <w:szCs w:val="24"/>
        </w:rPr>
        <w:t xml:space="preserve"> </w:t>
      </w:r>
    </w:p>
    <w:p w14:paraId="6168CED8" w14:textId="77777777" w:rsidR="00143B9B" w:rsidRDefault="00143B9B" w:rsidP="00EF2DEB">
      <w:pPr>
        <w:rPr>
          <w:sz w:val="24"/>
          <w:szCs w:val="24"/>
        </w:rPr>
      </w:pPr>
    </w:p>
    <w:p w14:paraId="1ECFD346" w14:textId="77777777" w:rsidR="006B7C47" w:rsidRPr="006B7C47" w:rsidRDefault="006B7C47" w:rsidP="00EF2DEB">
      <w:pPr>
        <w:rPr>
          <w:sz w:val="24"/>
          <w:szCs w:val="24"/>
        </w:rPr>
      </w:pPr>
    </w:p>
    <w:p w14:paraId="5CDBD123" w14:textId="02F6B4F6" w:rsidR="00143B9B" w:rsidRDefault="00662459" w:rsidP="00EF2DEB">
      <w:pPr>
        <w:rPr>
          <w:sz w:val="24"/>
          <w:szCs w:val="24"/>
        </w:rPr>
      </w:pPr>
      <w:r w:rsidRPr="006B7C47">
        <w:rPr>
          <w:sz w:val="24"/>
          <w:szCs w:val="24"/>
        </w:rPr>
        <w:t xml:space="preserve">College of Policing (2013), ‘Investigation Process’, accessed 20/09/24 at </w:t>
      </w:r>
      <w:hyperlink r:id="rId22" w:history="1">
        <w:r w:rsidR="006231AB" w:rsidRPr="006B7C47">
          <w:rPr>
            <w:rStyle w:val="Hyperlink"/>
            <w:sz w:val="24"/>
            <w:szCs w:val="24"/>
          </w:rPr>
          <w:t>www.college.police.uk/app/investigation/investigation-process</w:t>
        </w:r>
      </w:hyperlink>
      <w:r w:rsidR="006231AB" w:rsidRPr="006B7C47">
        <w:rPr>
          <w:sz w:val="24"/>
          <w:szCs w:val="24"/>
        </w:rPr>
        <w:t xml:space="preserve"> </w:t>
      </w:r>
    </w:p>
    <w:p w14:paraId="47C05BDC" w14:textId="77777777" w:rsidR="00F00BEC" w:rsidRDefault="00F00BEC" w:rsidP="00EF2DEB">
      <w:pPr>
        <w:rPr>
          <w:sz w:val="24"/>
          <w:szCs w:val="24"/>
        </w:rPr>
      </w:pPr>
    </w:p>
    <w:p w14:paraId="74336879" w14:textId="77777777" w:rsidR="006B7C47" w:rsidRPr="006B7C47" w:rsidRDefault="006B7C47" w:rsidP="00EF2DEB">
      <w:pPr>
        <w:rPr>
          <w:sz w:val="24"/>
          <w:szCs w:val="24"/>
        </w:rPr>
      </w:pPr>
    </w:p>
    <w:p w14:paraId="13B19E71" w14:textId="09977995" w:rsidR="00EF2DEB" w:rsidRDefault="00293D09" w:rsidP="00EF2DEB">
      <w:pPr>
        <w:rPr>
          <w:rStyle w:val="Hyperlink"/>
          <w:sz w:val="24"/>
          <w:szCs w:val="24"/>
        </w:rPr>
      </w:pPr>
      <w:r w:rsidRPr="006B7C47">
        <w:rPr>
          <w:sz w:val="24"/>
          <w:szCs w:val="24"/>
        </w:rPr>
        <w:t>College of Policing (2015), ‘Understanding risk and vulnerability in the contact of domestic abuse’, accessed 20/09/24 at</w:t>
      </w:r>
      <w:r w:rsidR="00EF2DEB" w:rsidRPr="006B7C47">
        <w:rPr>
          <w:sz w:val="24"/>
          <w:szCs w:val="24"/>
        </w:rPr>
        <w:t xml:space="preserve"> </w:t>
      </w:r>
      <w:hyperlink r:id="rId23" w:history="1">
        <w:r w:rsidR="00EF2DEB" w:rsidRPr="006B7C47">
          <w:rPr>
            <w:rStyle w:val="Hyperlink"/>
            <w:sz w:val="24"/>
            <w:szCs w:val="24"/>
          </w:rPr>
          <w:t>www.college.police.uk/app/major-investigation-and-public-protection/domestic-abuse/understanding-risk-and-vulnerability-context-domestic-abuse</w:t>
        </w:r>
      </w:hyperlink>
    </w:p>
    <w:p w14:paraId="5C88444C" w14:textId="77777777" w:rsidR="001D7DFD" w:rsidRDefault="001D7DFD" w:rsidP="00EF2DEB">
      <w:pPr>
        <w:rPr>
          <w:rStyle w:val="Hyperlink"/>
          <w:sz w:val="24"/>
          <w:szCs w:val="24"/>
        </w:rPr>
      </w:pPr>
    </w:p>
    <w:p w14:paraId="0BB25D5B" w14:textId="77777777" w:rsidR="001D7DFD" w:rsidRDefault="001D7DFD" w:rsidP="00EF2DEB">
      <w:pPr>
        <w:rPr>
          <w:rStyle w:val="Hyperlink"/>
          <w:sz w:val="24"/>
          <w:szCs w:val="24"/>
        </w:rPr>
      </w:pPr>
    </w:p>
    <w:p w14:paraId="1C222858" w14:textId="559FF53F" w:rsidR="001D7DFD" w:rsidRPr="001D7DFD" w:rsidRDefault="001D7DFD" w:rsidP="00EF2DEB">
      <w:pPr>
        <w:rPr>
          <w:color w:val="auto"/>
          <w:sz w:val="24"/>
          <w:szCs w:val="24"/>
        </w:rPr>
      </w:pPr>
      <w:r w:rsidRPr="001D7DFD">
        <w:rPr>
          <w:rStyle w:val="Hyperlink"/>
          <w:color w:val="auto"/>
          <w:sz w:val="24"/>
          <w:szCs w:val="24"/>
          <w:u w:val="none"/>
        </w:rPr>
        <w:t xml:space="preserve">College </w:t>
      </w:r>
      <w:r>
        <w:rPr>
          <w:rStyle w:val="Hyperlink"/>
          <w:color w:val="auto"/>
          <w:sz w:val="24"/>
          <w:szCs w:val="24"/>
          <w:u w:val="none"/>
        </w:rPr>
        <w:t>of Policing (2024), ‘</w:t>
      </w:r>
      <w:r w:rsidR="00E2770A" w:rsidRPr="00E2770A">
        <w:rPr>
          <w:rStyle w:val="Hyperlink"/>
          <w:color w:val="auto"/>
          <w:sz w:val="24"/>
          <w:szCs w:val="24"/>
          <w:u w:val="none"/>
        </w:rPr>
        <w:t>Ethical policing principles</w:t>
      </w:r>
      <w:r w:rsidR="00E2770A">
        <w:rPr>
          <w:rStyle w:val="Hyperlink"/>
          <w:color w:val="auto"/>
          <w:sz w:val="24"/>
          <w:szCs w:val="24"/>
          <w:u w:val="none"/>
        </w:rPr>
        <w:t xml:space="preserve">’, accessed 24/10/24 at </w:t>
      </w:r>
      <w:hyperlink r:id="rId24" w:history="1">
        <w:r w:rsidR="00E2770A" w:rsidRPr="002D5D71">
          <w:rPr>
            <w:rStyle w:val="Hyperlink"/>
            <w:sz w:val="24"/>
            <w:szCs w:val="24"/>
          </w:rPr>
          <w:t>www.college.police.uk/ethics/code-of-ethics/principles</w:t>
        </w:r>
      </w:hyperlink>
      <w:r w:rsidR="00E2770A">
        <w:rPr>
          <w:rStyle w:val="Hyperlink"/>
          <w:color w:val="auto"/>
          <w:sz w:val="24"/>
          <w:szCs w:val="24"/>
          <w:u w:val="none"/>
        </w:rPr>
        <w:t xml:space="preserve"> </w:t>
      </w:r>
    </w:p>
    <w:p w14:paraId="075BBB62" w14:textId="77777777" w:rsidR="00F00BEC" w:rsidRDefault="00F00BEC" w:rsidP="00EF2DEB">
      <w:pPr>
        <w:rPr>
          <w:sz w:val="24"/>
          <w:szCs w:val="24"/>
        </w:rPr>
      </w:pPr>
    </w:p>
    <w:p w14:paraId="58ECC2BF" w14:textId="77777777" w:rsidR="006B7C47" w:rsidRPr="006B7C47" w:rsidRDefault="006B7C47" w:rsidP="00EF2DEB">
      <w:pPr>
        <w:rPr>
          <w:sz w:val="24"/>
          <w:szCs w:val="24"/>
        </w:rPr>
      </w:pPr>
    </w:p>
    <w:p w14:paraId="73E4F15C" w14:textId="2A40CB1D" w:rsidR="00E81D34" w:rsidRDefault="00D754EC" w:rsidP="00EF2DEB">
      <w:pPr>
        <w:rPr>
          <w:sz w:val="24"/>
          <w:szCs w:val="24"/>
        </w:rPr>
      </w:pPr>
      <w:r w:rsidRPr="006B7C47">
        <w:rPr>
          <w:sz w:val="24"/>
          <w:szCs w:val="24"/>
        </w:rPr>
        <w:t>College of Policing and National Police Chiefs’ Council, (2023), ‘National Vulnerability Action Plan (NVAP),</w:t>
      </w:r>
      <w:r w:rsidR="00414E15" w:rsidRPr="006B7C47">
        <w:rPr>
          <w:sz w:val="24"/>
          <w:szCs w:val="24"/>
        </w:rPr>
        <w:t xml:space="preserve"> accessed 15/08/24 at </w:t>
      </w:r>
      <w:r w:rsidRPr="006B7C47">
        <w:rPr>
          <w:sz w:val="24"/>
          <w:szCs w:val="24"/>
        </w:rPr>
        <w:t xml:space="preserve"> </w:t>
      </w:r>
      <w:hyperlink r:id="rId25" w:history="1">
        <w:r w:rsidR="00E81D34" w:rsidRPr="006B7C47">
          <w:rPr>
            <w:rStyle w:val="Hyperlink"/>
            <w:sz w:val="24"/>
            <w:szCs w:val="24"/>
          </w:rPr>
          <w:t>www.vkpp.org.uk/assets/Files/NVAP-with-Interim-Measures-2023.pdf</w:t>
        </w:r>
      </w:hyperlink>
    </w:p>
    <w:p w14:paraId="0C339F23" w14:textId="77777777" w:rsidR="00F00BEC" w:rsidRDefault="00F00BEC" w:rsidP="00EF2DEB">
      <w:pPr>
        <w:rPr>
          <w:sz w:val="24"/>
          <w:szCs w:val="24"/>
        </w:rPr>
      </w:pPr>
    </w:p>
    <w:p w14:paraId="7DC1B826" w14:textId="77777777" w:rsidR="006B7C47" w:rsidRPr="006B7C47" w:rsidRDefault="006B7C47" w:rsidP="00EF2DEB">
      <w:pPr>
        <w:rPr>
          <w:sz w:val="24"/>
          <w:szCs w:val="24"/>
        </w:rPr>
      </w:pPr>
    </w:p>
    <w:p w14:paraId="02C11DBF" w14:textId="318FDB1E" w:rsidR="00C44964" w:rsidRDefault="00C44964" w:rsidP="00EF2DEB">
      <w:pPr>
        <w:rPr>
          <w:sz w:val="24"/>
          <w:szCs w:val="24"/>
        </w:rPr>
      </w:pPr>
      <w:r w:rsidRPr="006B7C47">
        <w:rPr>
          <w:sz w:val="24"/>
          <w:szCs w:val="24"/>
        </w:rPr>
        <w:t>Criminal Procedure and Investigation Act 1996</w:t>
      </w:r>
    </w:p>
    <w:p w14:paraId="6BD1D195" w14:textId="77777777" w:rsidR="00F00BEC" w:rsidRDefault="00F00BEC" w:rsidP="00EF2DEB">
      <w:pPr>
        <w:rPr>
          <w:sz w:val="24"/>
          <w:szCs w:val="24"/>
        </w:rPr>
      </w:pPr>
    </w:p>
    <w:p w14:paraId="48257AFC" w14:textId="77777777" w:rsidR="00773D43" w:rsidRDefault="00773D43" w:rsidP="00EF2DEB">
      <w:pPr>
        <w:rPr>
          <w:sz w:val="24"/>
          <w:szCs w:val="24"/>
        </w:rPr>
      </w:pPr>
    </w:p>
    <w:p w14:paraId="5787AC69" w14:textId="45C282C4" w:rsidR="00773D43" w:rsidRDefault="00773D43" w:rsidP="00EF2DEB">
      <w:pPr>
        <w:rPr>
          <w:sz w:val="24"/>
          <w:szCs w:val="24"/>
        </w:rPr>
      </w:pPr>
      <w:r w:rsidRPr="00773D43">
        <w:rPr>
          <w:sz w:val="24"/>
          <w:szCs w:val="24"/>
        </w:rPr>
        <w:t>Dworkin, E. R., &amp; Schumacher, J. A. (2018)</w:t>
      </w:r>
      <w:r>
        <w:rPr>
          <w:sz w:val="24"/>
          <w:szCs w:val="24"/>
        </w:rPr>
        <w:t xml:space="preserve"> ‘</w:t>
      </w:r>
      <w:r w:rsidRPr="00773D43">
        <w:rPr>
          <w:sz w:val="24"/>
          <w:szCs w:val="24"/>
        </w:rPr>
        <w:t>Preventing Posttraumatic Stress Related to Sexual Assault Through Early Intervention: A Systematic Review</w:t>
      </w:r>
      <w:r>
        <w:rPr>
          <w:sz w:val="24"/>
          <w:szCs w:val="24"/>
        </w:rPr>
        <w:t>’,</w:t>
      </w:r>
      <w:r w:rsidRPr="00773D43">
        <w:rPr>
          <w:sz w:val="24"/>
          <w:szCs w:val="24"/>
        </w:rPr>
        <w:t xml:space="preserve"> </w:t>
      </w:r>
      <w:r w:rsidRPr="00773D43">
        <w:rPr>
          <w:i/>
          <w:iCs/>
          <w:sz w:val="24"/>
          <w:szCs w:val="24"/>
        </w:rPr>
        <w:t>Trauma, Violence, &amp; Abuse</w:t>
      </w:r>
      <w:r w:rsidRPr="00773D43">
        <w:rPr>
          <w:sz w:val="24"/>
          <w:szCs w:val="24"/>
        </w:rPr>
        <w:t>, 19(4), 459-472</w:t>
      </w:r>
      <w:r>
        <w:rPr>
          <w:sz w:val="24"/>
          <w:szCs w:val="24"/>
        </w:rPr>
        <w:t xml:space="preserve">, </w:t>
      </w:r>
      <w:hyperlink r:id="rId26" w:history="1">
        <w:r w:rsidRPr="00E61DB5">
          <w:rPr>
            <w:rStyle w:val="Hyperlink"/>
            <w:sz w:val="24"/>
            <w:szCs w:val="24"/>
          </w:rPr>
          <w:t>doi.org/10.1177/1524838016669518</w:t>
        </w:r>
      </w:hyperlink>
      <w:r>
        <w:rPr>
          <w:sz w:val="24"/>
          <w:szCs w:val="24"/>
        </w:rPr>
        <w:t xml:space="preserve"> </w:t>
      </w:r>
    </w:p>
    <w:p w14:paraId="32D8D28E" w14:textId="77777777" w:rsidR="00F00BEC" w:rsidRDefault="00F00BEC" w:rsidP="00EF2DEB">
      <w:pPr>
        <w:rPr>
          <w:sz w:val="24"/>
          <w:szCs w:val="24"/>
        </w:rPr>
      </w:pPr>
    </w:p>
    <w:p w14:paraId="4362E762" w14:textId="77777777" w:rsidR="006B7C47" w:rsidRPr="006B7C47" w:rsidRDefault="006B7C47" w:rsidP="00EF2DEB">
      <w:pPr>
        <w:rPr>
          <w:sz w:val="24"/>
          <w:szCs w:val="24"/>
        </w:rPr>
      </w:pPr>
    </w:p>
    <w:p w14:paraId="7881066F" w14:textId="273C0564" w:rsidR="00EF2DEB" w:rsidRDefault="00E81D34" w:rsidP="00EF2DEB">
      <w:pPr>
        <w:rPr>
          <w:sz w:val="24"/>
          <w:szCs w:val="24"/>
        </w:rPr>
      </w:pPr>
      <w:r w:rsidRPr="006B7C47">
        <w:rPr>
          <w:sz w:val="24"/>
          <w:szCs w:val="24"/>
        </w:rPr>
        <w:lastRenderedPageBreak/>
        <w:t xml:space="preserve">Effiong, J. E., Ibeagha, P. N., &amp; Iorfa, S. K. (2022). Traumatic bonding in victims of intimate partner violence is intensified via empathy. Journal of Social and Personal Relationships, 39(12), 3619-3637. </w:t>
      </w:r>
      <w:hyperlink r:id="rId27" w:history="1">
        <w:r w:rsidR="00EF2DEB" w:rsidRPr="006B7C47">
          <w:rPr>
            <w:rStyle w:val="Hyperlink"/>
            <w:sz w:val="24"/>
            <w:szCs w:val="24"/>
          </w:rPr>
          <w:t>doi.org/10.1177/02654075221106237</w:t>
        </w:r>
      </w:hyperlink>
    </w:p>
    <w:p w14:paraId="34F5032B" w14:textId="77777777" w:rsidR="00F00BEC" w:rsidRDefault="00F00BEC" w:rsidP="00EF2DEB">
      <w:pPr>
        <w:rPr>
          <w:sz w:val="24"/>
          <w:szCs w:val="24"/>
        </w:rPr>
      </w:pPr>
    </w:p>
    <w:p w14:paraId="528CAEDE" w14:textId="77777777" w:rsidR="006B7C47" w:rsidRPr="006B7C47" w:rsidRDefault="006B7C47" w:rsidP="00EF2DEB">
      <w:pPr>
        <w:rPr>
          <w:sz w:val="24"/>
          <w:szCs w:val="24"/>
        </w:rPr>
      </w:pPr>
    </w:p>
    <w:p w14:paraId="58077F73" w14:textId="1BAC1D3B" w:rsidR="00EF2DEB" w:rsidRDefault="00EF2DEB" w:rsidP="00EF2DEB">
      <w:pPr>
        <w:rPr>
          <w:rStyle w:val="Hyperlink"/>
          <w:sz w:val="24"/>
          <w:szCs w:val="24"/>
        </w:rPr>
      </w:pPr>
      <w:r w:rsidRPr="006B7C47">
        <w:rPr>
          <w:sz w:val="24"/>
          <w:szCs w:val="24"/>
        </w:rPr>
        <w:t xml:space="preserve">Eogan, M., McHugh, A., Holohan, M., (2013), ‘The role of the sexual assault centre’, Best Practice &amp; Research Clinical Obstetrics &amp; Gynaecology, 27(1), 47-58, </w:t>
      </w:r>
      <w:hyperlink r:id="rId28" w:history="1">
        <w:r w:rsidR="006B7C47" w:rsidRPr="00E61DB5">
          <w:rPr>
            <w:rStyle w:val="Hyperlink"/>
            <w:sz w:val="24"/>
            <w:szCs w:val="24"/>
          </w:rPr>
          <w:t>doi.org/10.1016/j.bpobgyn.2012.08.010</w:t>
        </w:r>
      </w:hyperlink>
    </w:p>
    <w:p w14:paraId="3A9D1F3A" w14:textId="77777777" w:rsidR="007F20C6" w:rsidRDefault="007F20C6" w:rsidP="00EF2DEB">
      <w:pPr>
        <w:rPr>
          <w:rStyle w:val="Hyperlink"/>
          <w:sz w:val="24"/>
          <w:szCs w:val="24"/>
        </w:rPr>
      </w:pPr>
    </w:p>
    <w:p w14:paraId="7861B00A" w14:textId="77777777" w:rsidR="00476DDE" w:rsidRDefault="00476DDE" w:rsidP="00EF2DEB">
      <w:pPr>
        <w:rPr>
          <w:rStyle w:val="Hyperlink"/>
          <w:sz w:val="24"/>
          <w:szCs w:val="24"/>
        </w:rPr>
      </w:pPr>
    </w:p>
    <w:p w14:paraId="08E002A6" w14:textId="3F76570A" w:rsidR="00476DDE" w:rsidRPr="00476DDE" w:rsidRDefault="00476DDE" w:rsidP="00EF2DEB">
      <w:pPr>
        <w:rPr>
          <w:rStyle w:val="Hyperlink"/>
          <w:color w:val="auto"/>
          <w:sz w:val="24"/>
          <w:szCs w:val="24"/>
          <w:u w:val="none"/>
        </w:rPr>
      </w:pPr>
      <w:r w:rsidRPr="00476DDE">
        <w:rPr>
          <w:rStyle w:val="Hyperlink"/>
          <w:color w:val="auto"/>
          <w:sz w:val="24"/>
          <w:szCs w:val="24"/>
          <w:u w:val="none"/>
        </w:rPr>
        <w:t>European Parliament</w:t>
      </w:r>
      <w:r w:rsidR="001A7FCB">
        <w:rPr>
          <w:rStyle w:val="Hyperlink"/>
          <w:color w:val="auto"/>
          <w:sz w:val="24"/>
          <w:szCs w:val="24"/>
          <w:u w:val="none"/>
        </w:rPr>
        <w:t xml:space="preserve"> (2012), Directive 2012/29/EU, ‘E</w:t>
      </w:r>
      <w:r w:rsidR="001A7FCB" w:rsidRPr="001A7FCB">
        <w:rPr>
          <w:rStyle w:val="Hyperlink"/>
          <w:color w:val="auto"/>
          <w:sz w:val="24"/>
          <w:szCs w:val="24"/>
          <w:u w:val="none"/>
        </w:rPr>
        <w:t>stablishing minimum standards on the rights, support and protection of victims of crime, and replacing Council Framework Decision</w:t>
      </w:r>
    </w:p>
    <w:p w14:paraId="6488919C" w14:textId="77777777" w:rsidR="00476DDE" w:rsidRDefault="00476DDE" w:rsidP="00EF2DEB">
      <w:pPr>
        <w:rPr>
          <w:rStyle w:val="Hyperlink"/>
          <w:sz w:val="24"/>
          <w:szCs w:val="24"/>
        </w:rPr>
      </w:pPr>
    </w:p>
    <w:p w14:paraId="4B0FB1B2" w14:textId="77777777" w:rsidR="007F20C6" w:rsidRDefault="007F20C6" w:rsidP="00EF2DEB">
      <w:pPr>
        <w:rPr>
          <w:rStyle w:val="Hyperlink"/>
          <w:sz w:val="24"/>
          <w:szCs w:val="24"/>
        </w:rPr>
      </w:pPr>
    </w:p>
    <w:p w14:paraId="6A420ED3" w14:textId="5385DC47" w:rsidR="007F20C6" w:rsidRPr="007F20C6" w:rsidRDefault="007F20C6" w:rsidP="00EF2DEB">
      <w:pPr>
        <w:rPr>
          <w:color w:val="auto"/>
          <w:sz w:val="24"/>
          <w:szCs w:val="24"/>
        </w:rPr>
      </w:pPr>
      <w:r w:rsidRPr="007F20C6">
        <w:rPr>
          <w:rStyle w:val="Hyperlink"/>
          <w:color w:val="auto"/>
          <w:sz w:val="24"/>
          <w:szCs w:val="24"/>
          <w:u w:val="none"/>
        </w:rPr>
        <w:t>Gauthier</w:t>
      </w:r>
      <w:r>
        <w:rPr>
          <w:rStyle w:val="Hyperlink"/>
          <w:color w:val="auto"/>
          <w:sz w:val="24"/>
          <w:szCs w:val="24"/>
          <w:u w:val="none"/>
        </w:rPr>
        <w:t xml:space="preserve">, S., (2009), </w:t>
      </w:r>
      <w:r w:rsidR="00EF642E">
        <w:rPr>
          <w:rStyle w:val="Hyperlink"/>
          <w:color w:val="auto"/>
          <w:sz w:val="24"/>
          <w:szCs w:val="24"/>
          <w:u w:val="none"/>
        </w:rPr>
        <w:t>‘</w:t>
      </w:r>
      <w:r w:rsidR="00EF642E" w:rsidRPr="00EF642E">
        <w:rPr>
          <w:rStyle w:val="Hyperlink"/>
          <w:color w:val="auto"/>
          <w:sz w:val="24"/>
          <w:szCs w:val="24"/>
          <w:u w:val="none"/>
        </w:rPr>
        <w:t>Police release with conditions of the accused in cases of domestic violence in Montreal, Canada</w:t>
      </w:r>
      <w:r w:rsidR="00EF642E">
        <w:rPr>
          <w:rStyle w:val="Hyperlink"/>
          <w:color w:val="auto"/>
          <w:sz w:val="24"/>
          <w:szCs w:val="24"/>
          <w:u w:val="none"/>
        </w:rPr>
        <w:t xml:space="preserve">’, </w:t>
      </w:r>
      <w:r w:rsidR="00EF642E" w:rsidRPr="00EF642E">
        <w:rPr>
          <w:rStyle w:val="Hyperlink"/>
          <w:i/>
          <w:iCs/>
          <w:color w:val="auto"/>
          <w:sz w:val="24"/>
          <w:szCs w:val="24"/>
          <w:u w:val="none"/>
        </w:rPr>
        <w:t>Criminology and Criminal Justice</w:t>
      </w:r>
      <w:r w:rsidR="00EF642E">
        <w:rPr>
          <w:rStyle w:val="Hyperlink"/>
          <w:color w:val="auto"/>
          <w:sz w:val="24"/>
          <w:szCs w:val="24"/>
          <w:u w:val="none"/>
        </w:rPr>
        <w:t>, 9(1), 4-119</w:t>
      </w:r>
    </w:p>
    <w:p w14:paraId="3BD67CC0" w14:textId="77777777" w:rsidR="00295B2A" w:rsidRDefault="00295B2A" w:rsidP="00EF2DEB">
      <w:pPr>
        <w:rPr>
          <w:sz w:val="24"/>
          <w:szCs w:val="24"/>
        </w:rPr>
      </w:pPr>
    </w:p>
    <w:p w14:paraId="7FC4120B" w14:textId="77777777" w:rsidR="00295B2A" w:rsidRDefault="00295B2A" w:rsidP="00EF2DEB">
      <w:pPr>
        <w:rPr>
          <w:sz w:val="24"/>
          <w:szCs w:val="24"/>
        </w:rPr>
      </w:pPr>
    </w:p>
    <w:p w14:paraId="2F2E7654" w14:textId="77777777" w:rsidR="00417A86" w:rsidRPr="00417A86" w:rsidRDefault="00295B2A" w:rsidP="00417A86">
      <w:pPr>
        <w:rPr>
          <w:sz w:val="24"/>
          <w:szCs w:val="24"/>
        </w:rPr>
      </w:pPr>
      <w:r>
        <w:rPr>
          <w:sz w:val="24"/>
          <w:szCs w:val="24"/>
        </w:rPr>
        <w:t xml:space="preserve">Granja, </w:t>
      </w:r>
      <w:r w:rsidR="00417A86">
        <w:rPr>
          <w:sz w:val="24"/>
          <w:szCs w:val="24"/>
        </w:rPr>
        <w:t>F., Rafael, G., (2015), ‘</w:t>
      </w:r>
      <w:r w:rsidR="00417A86" w:rsidRPr="00417A86">
        <w:rPr>
          <w:sz w:val="24"/>
          <w:szCs w:val="24"/>
        </w:rPr>
        <w:t xml:space="preserve">Preservation of Digital Evidence: Application in </w:t>
      </w:r>
    </w:p>
    <w:p w14:paraId="18EE4CD1" w14:textId="3D2D99BF" w:rsidR="00295B2A" w:rsidRDefault="00417A86" w:rsidP="00417A86">
      <w:pPr>
        <w:rPr>
          <w:sz w:val="24"/>
          <w:szCs w:val="24"/>
        </w:rPr>
      </w:pPr>
      <w:r w:rsidRPr="00417A86">
        <w:rPr>
          <w:sz w:val="24"/>
          <w:szCs w:val="24"/>
        </w:rPr>
        <w:t>Criminal Investigation</w:t>
      </w:r>
      <w:r>
        <w:rPr>
          <w:sz w:val="24"/>
          <w:szCs w:val="24"/>
        </w:rPr>
        <w:t xml:space="preserve">’, </w:t>
      </w:r>
      <w:r w:rsidR="00F07977" w:rsidRPr="00F07977">
        <w:rPr>
          <w:sz w:val="24"/>
          <w:szCs w:val="24"/>
        </w:rPr>
        <w:t xml:space="preserve">2015 Science and Information Conference (SAI), </w:t>
      </w:r>
      <w:r w:rsidR="00F07977">
        <w:rPr>
          <w:sz w:val="24"/>
          <w:szCs w:val="24"/>
        </w:rPr>
        <w:t>1</w:t>
      </w:r>
      <w:r w:rsidR="00F07977" w:rsidRPr="00F07977">
        <w:rPr>
          <w:sz w:val="24"/>
          <w:szCs w:val="24"/>
        </w:rPr>
        <w:t>284-1292, 10.1109/SAI.2015.7237309</w:t>
      </w:r>
    </w:p>
    <w:p w14:paraId="543AFB61" w14:textId="77777777" w:rsidR="00C93C1A" w:rsidRDefault="00C93C1A" w:rsidP="00417A86">
      <w:pPr>
        <w:rPr>
          <w:sz w:val="24"/>
          <w:szCs w:val="24"/>
        </w:rPr>
      </w:pPr>
    </w:p>
    <w:p w14:paraId="79300577" w14:textId="77777777" w:rsidR="00C93C1A" w:rsidRDefault="00C93C1A" w:rsidP="00417A86">
      <w:pPr>
        <w:rPr>
          <w:sz w:val="24"/>
          <w:szCs w:val="24"/>
        </w:rPr>
      </w:pPr>
    </w:p>
    <w:p w14:paraId="5ECB4242" w14:textId="77777777" w:rsidR="00F70F34" w:rsidRPr="00F70F34" w:rsidRDefault="00C93C1A" w:rsidP="00F70F34">
      <w:pPr>
        <w:rPr>
          <w:sz w:val="24"/>
          <w:szCs w:val="24"/>
        </w:rPr>
      </w:pPr>
      <w:r>
        <w:rPr>
          <w:sz w:val="24"/>
          <w:szCs w:val="24"/>
        </w:rPr>
        <w:t>Home Office, (202</w:t>
      </w:r>
      <w:r w:rsidR="00F70F34">
        <w:rPr>
          <w:sz w:val="24"/>
          <w:szCs w:val="24"/>
        </w:rPr>
        <w:t>0</w:t>
      </w:r>
      <w:r>
        <w:rPr>
          <w:sz w:val="24"/>
          <w:szCs w:val="24"/>
        </w:rPr>
        <w:t>), ‘</w:t>
      </w:r>
      <w:r w:rsidR="00F70F34" w:rsidRPr="00F70F34">
        <w:rPr>
          <w:sz w:val="24"/>
          <w:szCs w:val="24"/>
        </w:rPr>
        <w:t>Support for Victims and Survivors of Child</w:t>
      </w:r>
    </w:p>
    <w:p w14:paraId="5F39B7B9" w14:textId="0E4BED6A" w:rsidR="00C93C1A" w:rsidRDefault="00F70F34" w:rsidP="00F70F34">
      <w:pPr>
        <w:rPr>
          <w:sz w:val="24"/>
          <w:szCs w:val="24"/>
        </w:rPr>
      </w:pPr>
      <w:r w:rsidRPr="00F70F34">
        <w:rPr>
          <w:sz w:val="24"/>
          <w:szCs w:val="24"/>
        </w:rPr>
        <w:t>Sexual Abuse (SVSCSA) Fund 2020-22</w:t>
      </w:r>
      <w:r>
        <w:rPr>
          <w:sz w:val="24"/>
          <w:szCs w:val="24"/>
        </w:rPr>
        <w:t>’</w:t>
      </w:r>
    </w:p>
    <w:p w14:paraId="20E1A683" w14:textId="77777777" w:rsidR="0049506A" w:rsidRDefault="0049506A" w:rsidP="00EF2DEB">
      <w:pPr>
        <w:rPr>
          <w:sz w:val="24"/>
          <w:szCs w:val="24"/>
        </w:rPr>
      </w:pPr>
    </w:p>
    <w:p w14:paraId="04F1D72E" w14:textId="77777777" w:rsidR="0049506A" w:rsidRDefault="0049506A" w:rsidP="00EF2DEB">
      <w:pPr>
        <w:rPr>
          <w:sz w:val="24"/>
          <w:szCs w:val="24"/>
        </w:rPr>
      </w:pPr>
    </w:p>
    <w:p w14:paraId="754E44C6" w14:textId="77777777" w:rsidR="0049506A" w:rsidRPr="0049506A" w:rsidRDefault="0049506A" w:rsidP="0049506A">
      <w:pPr>
        <w:rPr>
          <w:sz w:val="24"/>
          <w:szCs w:val="24"/>
        </w:rPr>
      </w:pPr>
      <w:r w:rsidRPr="0049506A">
        <w:rPr>
          <w:sz w:val="24"/>
          <w:szCs w:val="24"/>
        </w:rPr>
        <w:t>Home Office Violent and Youth Crime Prevention Unit (VCYU) and Research and Analysis Unit (RAU), (2011), ‘Research into Multi-Agency Risk Assessment Conferences (MARACs)’</w:t>
      </w:r>
    </w:p>
    <w:p w14:paraId="56B161B5" w14:textId="77777777" w:rsidR="0049506A" w:rsidRPr="0049506A" w:rsidRDefault="0049506A" w:rsidP="0049506A">
      <w:pPr>
        <w:rPr>
          <w:sz w:val="24"/>
          <w:szCs w:val="24"/>
        </w:rPr>
      </w:pPr>
    </w:p>
    <w:p w14:paraId="6DFE3E62" w14:textId="77777777" w:rsidR="0049506A" w:rsidRPr="0049506A" w:rsidRDefault="0049506A" w:rsidP="0049506A">
      <w:pPr>
        <w:rPr>
          <w:sz w:val="24"/>
          <w:szCs w:val="24"/>
        </w:rPr>
      </w:pPr>
    </w:p>
    <w:p w14:paraId="2FEC0F49" w14:textId="2D2386D6" w:rsidR="0049506A" w:rsidRDefault="0049506A" w:rsidP="0049506A">
      <w:pPr>
        <w:rPr>
          <w:sz w:val="24"/>
          <w:szCs w:val="24"/>
        </w:rPr>
      </w:pPr>
      <w:r w:rsidRPr="0049506A">
        <w:rPr>
          <w:sz w:val="24"/>
          <w:szCs w:val="24"/>
        </w:rPr>
        <w:t xml:space="preserve">Hopkins, A., (2024), ‘Examining reasons for victim retraction in domestic violence and abuse: A qualitative analysis of police retraction statements in the United Kingdom’, The Police Journal, 97(2), 205-398, </w:t>
      </w:r>
      <w:hyperlink r:id="rId29" w:history="1">
        <w:r w:rsidR="00264F25" w:rsidRPr="002D5D71">
          <w:rPr>
            <w:rStyle w:val="Hyperlink"/>
            <w:sz w:val="24"/>
            <w:szCs w:val="24"/>
          </w:rPr>
          <w:t>https://doi.org/10.1177/0032258X231159807</w:t>
        </w:r>
      </w:hyperlink>
    </w:p>
    <w:p w14:paraId="1DF5FD11" w14:textId="77777777" w:rsidR="00264F25" w:rsidRDefault="00264F25" w:rsidP="0049506A">
      <w:pPr>
        <w:rPr>
          <w:sz w:val="24"/>
          <w:szCs w:val="24"/>
        </w:rPr>
      </w:pPr>
    </w:p>
    <w:p w14:paraId="49AD205D" w14:textId="77777777" w:rsidR="00264F25" w:rsidRDefault="00264F25" w:rsidP="0049506A">
      <w:pPr>
        <w:rPr>
          <w:sz w:val="24"/>
          <w:szCs w:val="24"/>
        </w:rPr>
      </w:pPr>
    </w:p>
    <w:p w14:paraId="1DCF991C" w14:textId="2E500FBF" w:rsidR="00264F25" w:rsidRDefault="00264F25" w:rsidP="0049506A">
      <w:pPr>
        <w:rPr>
          <w:sz w:val="24"/>
          <w:szCs w:val="24"/>
        </w:rPr>
      </w:pPr>
      <w:r w:rsidRPr="00264F25">
        <w:rPr>
          <w:sz w:val="24"/>
          <w:szCs w:val="24"/>
        </w:rPr>
        <w:t>Lowenstein, L. F.</w:t>
      </w:r>
      <w:r>
        <w:rPr>
          <w:sz w:val="24"/>
          <w:szCs w:val="24"/>
        </w:rPr>
        <w:t>,</w:t>
      </w:r>
      <w:r w:rsidRPr="00264F25">
        <w:rPr>
          <w:sz w:val="24"/>
          <w:szCs w:val="24"/>
        </w:rPr>
        <w:t xml:space="preserve"> (2001)</w:t>
      </w:r>
      <w:r>
        <w:rPr>
          <w:sz w:val="24"/>
          <w:szCs w:val="24"/>
        </w:rPr>
        <w:t>,</w:t>
      </w:r>
      <w:r w:rsidRPr="00264F25">
        <w:rPr>
          <w:sz w:val="24"/>
          <w:szCs w:val="24"/>
        </w:rPr>
        <w:t xml:space="preserve"> </w:t>
      </w:r>
      <w:r>
        <w:rPr>
          <w:sz w:val="24"/>
          <w:szCs w:val="24"/>
        </w:rPr>
        <w:t>‘</w:t>
      </w:r>
      <w:r w:rsidRPr="00264F25">
        <w:rPr>
          <w:sz w:val="24"/>
          <w:szCs w:val="24"/>
        </w:rPr>
        <w:t>The Identification and Diagnosis of Alleged Victims and Alleged Paedophiles (What to Dos and What to Avoid Doing)</w:t>
      </w:r>
      <w:r>
        <w:rPr>
          <w:sz w:val="24"/>
          <w:szCs w:val="24"/>
        </w:rPr>
        <w:t xml:space="preserve">’, </w:t>
      </w:r>
      <w:r w:rsidRPr="00264F25">
        <w:rPr>
          <w:i/>
          <w:iCs/>
          <w:sz w:val="24"/>
          <w:szCs w:val="24"/>
        </w:rPr>
        <w:t>The Police Journal</w:t>
      </w:r>
      <w:r w:rsidRPr="00264F25">
        <w:rPr>
          <w:sz w:val="24"/>
          <w:szCs w:val="24"/>
        </w:rPr>
        <w:t>, 74(3), 237-250</w:t>
      </w:r>
      <w:r>
        <w:rPr>
          <w:sz w:val="24"/>
          <w:szCs w:val="24"/>
        </w:rPr>
        <w:t>,</w:t>
      </w:r>
      <w:r w:rsidRPr="00264F25">
        <w:rPr>
          <w:sz w:val="24"/>
          <w:szCs w:val="24"/>
        </w:rPr>
        <w:t xml:space="preserve"> doi.org/10.1177/0032258X0107400308</w:t>
      </w:r>
      <w:r>
        <w:rPr>
          <w:sz w:val="24"/>
          <w:szCs w:val="24"/>
        </w:rPr>
        <w:t xml:space="preserve"> </w:t>
      </w:r>
    </w:p>
    <w:p w14:paraId="234F39A1" w14:textId="77777777" w:rsidR="0049506A" w:rsidRDefault="0049506A" w:rsidP="00EF2DEB">
      <w:pPr>
        <w:rPr>
          <w:sz w:val="24"/>
          <w:szCs w:val="24"/>
        </w:rPr>
      </w:pPr>
    </w:p>
    <w:p w14:paraId="2C77FA0B" w14:textId="77777777" w:rsidR="0049506A" w:rsidRDefault="0049506A" w:rsidP="00EF2DEB">
      <w:pPr>
        <w:rPr>
          <w:sz w:val="24"/>
          <w:szCs w:val="24"/>
        </w:rPr>
      </w:pPr>
    </w:p>
    <w:p w14:paraId="3B0B6D4F" w14:textId="429EC5B6" w:rsidR="00107753" w:rsidRDefault="00107753" w:rsidP="00BC7DB9">
      <w:pPr>
        <w:rPr>
          <w:sz w:val="24"/>
          <w:szCs w:val="24"/>
        </w:rPr>
      </w:pPr>
      <w:r>
        <w:rPr>
          <w:sz w:val="24"/>
          <w:szCs w:val="24"/>
        </w:rPr>
        <w:t xml:space="preserve">Lucy Faithful Foundation, ‘Our Strategic Plan 2020-2025’ accessed on 20/09/24 at </w:t>
      </w:r>
      <w:hyperlink r:id="rId30" w:history="1">
        <w:r w:rsidR="00BA721E" w:rsidRPr="00E61DB5">
          <w:rPr>
            <w:rStyle w:val="Hyperlink"/>
            <w:sz w:val="24"/>
            <w:szCs w:val="24"/>
          </w:rPr>
          <w:t>www.lucyfaithfull.org.uk/files/Strategic_plan_2020-25_Feb2024.pdf</w:t>
        </w:r>
      </w:hyperlink>
      <w:r w:rsidR="00BA721E">
        <w:rPr>
          <w:sz w:val="24"/>
          <w:szCs w:val="24"/>
        </w:rPr>
        <w:t xml:space="preserve"> </w:t>
      </w:r>
    </w:p>
    <w:p w14:paraId="111B90D6" w14:textId="77777777" w:rsidR="006B7C47" w:rsidRDefault="006B7C47" w:rsidP="00BC7DB9">
      <w:pPr>
        <w:rPr>
          <w:sz w:val="24"/>
          <w:szCs w:val="24"/>
        </w:rPr>
      </w:pPr>
    </w:p>
    <w:p w14:paraId="663B6AF5" w14:textId="77777777" w:rsidR="006B4822" w:rsidRPr="006B4822" w:rsidRDefault="006B4822" w:rsidP="00BC7DB9"/>
    <w:p w14:paraId="76F9BABE" w14:textId="77777777" w:rsidR="00F00BEC" w:rsidRPr="006B7C47" w:rsidRDefault="00F00BEC" w:rsidP="00BC7DB9">
      <w:pPr>
        <w:rPr>
          <w:sz w:val="24"/>
          <w:szCs w:val="24"/>
        </w:rPr>
      </w:pPr>
    </w:p>
    <w:p w14:paraId="0F3ECF9F" w14:textId="3DFF3026" w:rsidR="00E81D34" w:rsidRDefault="00E81D34" w:rsidP="00BC7DB9">
      <w:pPr>
        <w:rPr>
          <w:sz w:val="24"/>
          <w:szCs w:val="24"/>
        </w:rPr>
      </w:pPr>
      <w:r w:rsidRPr="006B7C47">
        <w:rPr>
          <w:sz w:val="24"/>
          <w:szCs w:val="24"/>
        </w:rPr>
        <w:lastRenderedPageBreak/>
        <w:t>Ministry of Justice (2020), ‘Code of Practice for Victims of Crime in England and Wales’</w:t>
      </w:r>
    </w:p>
    <w:p w14:paraId="2C8D0A7D" w14:textId="77777777" w:rsidR="00F200B8" w:rsidRDefault="00F200B8" w:rsidP="00BC7DB9">
      <w:pPr>
        <w:rPr>
          <w:sz w:val="24"/>
          <w:szCs w:val="24"/>
        </w:rPr>
      </w:pPr>
    </w:p>
    <w:p w14:paraId="36E362E3" w14:textId="77777777" w:rsidR="00F200B8" w:rsidRDefault="00F200B8" w:rsidP="00BC7DB9">
      <w:pPr>
        <w:rPr>
          <w:sz w:val="24"/>
          <w:szCs w:val="24"/>
        </w:rPr>
      </w:pPr>
    </w:p>
    <w:p w14:paraId="117F2602" w14:textId="77777777" w:rsidR="00B76F34" w:rsidRPr="00B76F34" w:rsidRDefault="00F200B8" w:rsidP="00B76F34">
      <w:pPr>
        <w:rPr>
          <w:sz w:val="24"/>
          <w:szCs w:val="24"/>
        </w:rPr>
      </w:pPr>
      <w:r>
        <w:rPr>
          <w:sz w:val="24"/>
          <w:szCs w:val="24"/>
        </w:rPr>
        <w:t>National Police Chief’s Council, (2021), ‘</w:t>
      </w:r>
      <w:r w:rsidR="00B76F34" w:rsidRPr="00B76F34">
        <w:rPr>
          <w:sz w:val="24"/>
          <w:szCs w:val="24"/>
        </w:rPr>
        <w:t xml:space="preserve">Major Crime Investigation </w:t>
      </w:r>
    </w:p>
    <w:p w14:paraId="06B2D17A" w14:textId="450CDA50" w:rsidR="00F200B8" w:rsidRDefault="00B76F34" w:rsidP="00B76F34">
      <w:pPr>
        <w:rPr>
          <w:sz w:val="24"/>
          <w:szCs w:val="24"/>
        </w:rPr>
      </w:pPr>
      <w:r w:rsidRPr="00B76F34">
        <w:rPr>
          <w:sz w:val="24"/>
          <w:szCs w:val="24"/>
        </w:rPr>
        <w:t>Manual</w:t>
      </w:r>
      <w:r>
        <w:rPr>
          <w:sz w:val="24"/>
          <w:szCs w:val="24"/>
        </w:rPr>
        <w:t xml:space="preserve">’ </w:t>
      </w:r>
    </w:p>
    <w:p w14:paraId="293602CF" w14:textId="77777777" w:rsidR="001832C7" w:rsidRDefault="001832C7" w:rsidP="00BC7DB9">
      <w:pPr>
        <w:rPr>
          <w:sz w:val="24"/>
          <w:szCs w:val="24"/>
        </w:rPr>
      </w:pPr>
    </w:p>
    <w:p w14:paraId="0CC2DAB3" w14:textId="77777777" w:rsidR="00BC7DB9" w:rsidRDefault="00BC7DB9" w:rsidP="00BC7DB9">
      <w:pPr>
        <w:rPr>
          <w:sz w:val="24"/>
          <w:szCs w:val="24"/>
        </w:rPr>
      </w:pPr>
    </w:p>
    <w:p w14:paraId="337EA2E3" w14:textId="69E7A0CB" w:rsidR="001832C7" w:rsidRDefault="001832C7" w:rsidP="00BC7DB9">
      <w:pPr>
        <w:rPr>
          <w:sz w:val="24"/>
          <w:szCs w:val="24"/>
        </w:rPr>
      </w:pPr>
      <w:r>
        <w:rPr>
          <w:sz w:val="24"/>
          <w:szCs w:val="24"/>
        </w:rPr>
        <w:t xml:space="preserve">Office for National Statistics (2019), </w:t>
      </w:r>
      <w:r w:rsidR="00907BF1">
        <w:rPr>
          <w:sz w:val="24"/>
          <w:szCs w:val="24"/>
        </w:rPr>
        <w:t>‘</w:t>
      </w:r>
      <w:r w:rsidR="00907BF1" w:rsidRPr="00907BF1">
        <w:rPr>
          <w:sz w:val="24"/>
          <w:szCs w:val="24"/>
        </w:rPr>
        <w:t>Estimating the extent of repeat and multiple victimisation using the Crime Survey for England and Wales</w:t>
      </w:r>
      <w:r w:rsidR="00907BF1">
        <w:rPr>
          <w:sz w:val="24"/>
          <w:szCs w:val="24"/>
        </w:rPr>
        <w:t>’</w:t>
      </w:r>
    </w:p>
    <w:p w14:paraId="71CDA7B6" w14:textId="77777777" w:rsidR="001668C2" w:rsidRDefault="001668C2" w:rsidP="00BC7DB9">
      <w:pPr>
        <w:rPr>
          <w:sz w:val="24"/>
          <w:szCs w:val="24"/>
        </w:rPr>
      </w:pPr>
    </w:p>
    <w:p w14:paraId="38B121AE" w14:textId="77777777" w:rsidR="001668C2" w:rsidRDefault="001668C2" w:rsidP="00BC7DB9">
      <w:pPr>
        <w:rPr>
          <w:sz w:val="24"/>
          <w:szCs w:val="24"/>
        </w:rPr>
      </w:pPr>
    </w:p>
    <w:p w14:paraId="2674CA89" w14:textId="433C399B" w:rsidR="001668C2" w:rsidRPr="00F3377E" w:rsidRDefault="001668C2" w:rsidP="00BC7DB9">
      <w:pPr>
        <w:rPr>
          <w:sz w:val="24"/>
          <w:szCs w:val="24"/>
        </w:rPr>
      </w:pPr>
      <w:r>
        <w:rPr>
          <w:sz w:val="24"/>
          <w:szCs w:val="24"/>
        </w:rPr>
        <w:t>Peckover, S., Golding, B., (2017), ‘</w:t>
      </w:r>
      <w:r w:rsidR="00F3377E" w:rsidRPr="00F3377E">
        <w:rPr>
          <w:sz w:val="24"/>
          <w:szCs w:val="24"/>
        </w:rPr>
        <w:t>Domestic Abuse and Safeguarding Children: Critical Issues for Multiagency Work</w:t>
      </w:r>
      <w:r w:rsidR="00F3377E">
        <w:rPr>
          <w:sz w:val="24"/>
          <w:szCs w:val="24"/>
        </w:rPr>
        <w:t xml:space="preserve">’, </w:t>
      </w:r>
      <w:r w:rsidR="00F3377E">
        <w:rPr>
          <w:i/>
          <w:iCs/>
          <w:sz w:val="24"/>
          <w:szCs w:val="24"/>
        </w:rPr>
        <w:t xml:space="preserve">Child Abuse Review, </w:t>
      </w:r>
      <w:r w:rsidR="00F3377E">
        <w:rPr>
          <w:sz w:val="24"/>
          <w:szCs w:val="24"/>
        </w:rPr>
        <w:t>26(1), 1-79</w:t>
      </w:r>
      <w:r w:rsidR="00D965ED">
        <w:rPr>
          <w:sz w:val="24"/>
          <w:szCs w:val="24"/>
        </w:rPr>
        <w:t xml:space="preserve"> </w:t>
      </w:r>
      <w:hyperlink r:id="rId31" w:history="1">
        <w:r w:rsidR="00D965ED" w:rsidRPr="00E03F02">
          <w:rPr>
            <w:rStyle w:val="Hyperlink"/>
            <w:sz w:val="24"/>
            <w:szCs w:val="24"/>
          </w:rPr>
          <w:t>doi.org/10.1002/car.2392</w:t>
        </w:r>
      </w:hyperlink>
      <w:r w:rsidR="00D965ED">
        <w:rPr>
          <w:sz w:val="24"/>
          <w:szCs w:val="24"/>
        </w:rPr>
        <w:t xml:space="preserve"> </w:t>
      </w:r>
    </w:p>
    <w:p w14:paraId="2CD8408B" w14:textId="77777777" w:rsidR="00F00BEC" w:rsidRDefault="00F00BEC" w:rsidP="00BC7DB9">
      <w:pPr>
        <w:rPr>
          <w:sz w:val="24"/>
          <w:szCs w:val="24"/>
        </w:rPr>
      </w:pPr>
    </w:p>
    <w:p w14:paraId="576B3870" w14:textId="77777777" w:rsidR="006B7C47" w:rsidRPr="006B7C47" w:rsidRDefault="006B7C47" w:rsidP="00BC7DB9">
      <w:pPr>
        <w:rPr>
          <w:sz w:val="24"/>
          <w:szCs w:val="24"/>
        </w:rPr>
      </w:pPr>
    </w:p>
    <w:p w14:paraId="66F16E2F" w14:textId="011A828B" w:rsidR="00900D69" w:rsidRDefault="00900D69" w:rsidP="00BC7DB9">
      <w:pPr>
        <w:rPr>
          <w:sz w:val="24"/>
          <w:szCs w:val="24"/>
        </w:rPr>
      </w:pPr>
      <w:r w:rsidRPr="006B7C47">
        <w:rPr>
          <w:sz w:val="24"/>
          <w:szCs w:val="24"/>
        </w:rPr>
        <w:t>Police Act, 1996</w:t>
      </w:r>
    </w:p>
    <w:p w14:paraId="26F59B71" w14:textId="77777777" w:rsidR="00BC7DB9" w:rsidRDefault="00BC7DB9" w:rsidP="00BC7DB9">
      <w:pPr>
        <w:rPr>
          <w:sz w:val="24"/>
          <w:szCs w:val="24"/>
        </w:rPr>
      </w:pPr>
    </w:p>
    <w:p w14:paraId="6C4D41A8" w14:textId="4198058E" w:rsidR="00BC7DB9" w:rsidRDefault="00BC7DB9" w:rsidP="00BC7DB9">
      <w:pPr>
        <w:rPr>
          <w:sz w:val="24"/>
          <w:szCs w:val="24"/>
        </w:rPr>
      </w:pPr>
    </w:p>
    <w:p w14:paraId="1F6727C9" w14:textId="170A009E" w:rsidR="00BC7DB9" w:rsidRPr="00204627" w:rsidRDefault="00BC7DB9" w:rsidP="00BC7DB9">
      <w:pPr>
        <w:rPr>
          <w:sz w:val="24"/>
          <w:szCs w:val="24"/>
        </w:rPr>
      </w:pPr>
      <w:r>
        <w:rPr>
          <w:sz w:val="24"/>
          <w:szCs w:val="24"/>
        </w:rPr>
        <w:t xml:space="preserve">Robinson, A, (2006), </w:t>
      </w:r>
      <w:r w:rsidR="00204627">
        <w:rPr>
          <w:sz w:val="24"/>
          <w:szCs w:val="24"/>
        </w:rPr>
        <w:t>‘</w:t>
      </w:r>
      <w:r w:rsidR="00204627" w:rsidRPr="00204627">
        <w:rPr>
          <w:sz w:val="24"/>
          <w:szCs w:val="24"/>
        </w:rPr>
        <w:t>Reducing Repeat Victimization Among High-Risk Victims of Domestic Violence</w:t>
      </w:r>
      <w:r w:rsidR="00204627">
        <w:rPr>
          <w:sz w:val="24"/>
          <w:szCs w:val="24"/>
        </w:rPr>
        <w:t xml:space="preserve">’, </w:t>
      </w:r>
      <w:r w:rsidR="00204627" w:rsidRPr="00204627">
        <w:rPr>
          <w:i/>
          <w:iCs/>
          <w:sz w:val="24"/>
          <w:szCs w:val="24"/>
        </w:rPr>
        <w:t>Violence Against Women</w:t>
      </w:r>
      <w:r w:rsidR="00204627">
        <w:rPr>
          <w:i/>
          <w:iCs/>
          <w:sz w:val="24"/>
          <w:szCs w:val="24"/>
        </w:rPr>
        <w:t xml:space="preserve">, </w:t>
      </w:r>
      <w:r w:rsidR="00204627">
        <w:rPr>
          <w:sz w:val="24"/>
          <w:szCs w:val="24"/>
        </w:rPr>
        <w:t>12(</w:t>
      </w:r>
      <w:r w:rsidR="00454247">
        <w:rPr>
          <w:sz w:val="24"/>
          <w:szCs w:val="24"/>
        </w:rPr>
        <w:t>8), 715-800</w:t>
      </w:r>
    </w:p>
    <w:p w14:paraId="121D5776" w14:textId="77777777" w:rsidR="00F00BEC" w:rsidRDefault="00F00BEC" w:rsidP="00BC7DB9">
      <w:pPr>
        <w:rPr>
          <w:sz w:val="24"/>
          <w:szCs w:val="24"/>
        </w:rPr>
      </w:pPr>
    </w:p>
    <w:p w14:paraId="6F71F376" w14:textId="77777777" w:rsidR="006B7C47" w:rsidRPr="006B7C47" w:rsidRDefault="006B7C47" w:rsidP="00BC7DB9">
      <w:pPr>
        <w:rPr>
          <w:sz w:val="24"/>
          <w:szCs w:val="24"/>
        </w:rPr>
      </w:pPr>
    </w:p>
    <w:p w14:paraId="456B5DF2" w14:textId="6763889E" w:rsidR="003D211F" w:rsidRDefault="007062D1" w:rsidP="00BC7DB9">
      <w:pPr>
        <w:rPr>
          <w:rStyle w:val="Hyperlink"/>
          <w:sz w:val="24"/>
          <w:szCs w:val="24"/>
        </w:rPr>
      </w:pPr>
      <w:r w:rsidRPr="006B7C47">
        <w:rPr>
          <w:sz w:val="24"/>
          <w:szCs w:val="24"/>
        </w:rPr>
        <w:t xml:space="preserve">Shorrock, S., McManus, M. A., &amp; Kirby, S. (2020). </w:t>
      </w:r>
      <w:r w:rsidR="00204627">
        <w:rPr>
          <w:sz w:val="24"/>
          <w:szCs w:val="24"/>
        </w:rPr>
        <w:t>‘</w:t>
      </w:r>
      <w:r w:rsidRPr="006B7C47">
        <w:rPr>
          <w:sz w:val="24"/>
          <w:szCs w:val="24"/>
        </w:rPr>
        <w:t>Profile of repeat victimisation within multi-agency referrals</w:t>
      </w:r>
      <w:r w:rsidR="00204627">
        <w:rPr>
          <w:sz w:val="24"/>
          <w:szCs w:val="24"/>
        </w:rPr>
        <w:t>’,</w:t>
      </w:r>
      <w:r w:rsidRPr="006B7C47">
        <w:rPr>
          <w:sz w:val="24"/>
          <w:szCs w:val="24"/>
        </w:rPr>
        <w:t xml:space="preserve"> </w:t>
      </w:r>
      <w:r w:rsidRPr="00204627">
        <w:rPr>
          <w:i/>
          <w:iCs/>
          <w:sz w:val="24"/>
          <w:szCs w:val="24"/>
        </w:rPr>
        <w:t>International Review of Victimology</w:t>
      </w:r>
      <w:r w:rsidRPr="006B7C47">
        <w:rPr>
          <w:sz w:val="24"/>
          <w:szCs w:val="24"/>
        </w:rPr>
        <w:t xml:space="preserve">, 26(3), 332-343. </w:t>
      </w:r>
      <w:hyperlink r:id="rId32" w:history="1">
        <w:r w:rsidR="00B1245B" w:rsidRPr="006B7C47">
          <w:rPr>
            <w:rStyle w:val="Hyperlink"/>
            <w:sz w:val="24"/>
            <w:szCs w:val="24"/>
          </w:rPr>
          <w:t>doi.org/10.1177/0269758020902890</w:t>
        </w:r>
      </w:hyperlink>
    </w:p>
    <w:p w14:paraId="6EFFD9E0" w14:textId="77777777" w:rsidR="006B7C47" w:rsidRDefault="006B7C47" w:rsidP="00BC7DB9">
      <w:pPr>
        <w:rPr>
          <w:sz w:val="24"/>
          <w:szCs w:val="24"/>
        </w:rPr>
      </w:pPr>
    </w:p>
    <w:p w14:paraId="454F8F7B" w14:textId="77777777" w:rsidR="00F00BEC" w:rsidRPr="006B7C47" w:rsidRDefault="00F00BEC" w:rsidP="00BC7DB9">
      <w:pPr>
        <w:rPr>
          <w:sz w:val="24"/>
          <w:szCs w:val="24"/>
        </w:rPr>
      </w:pPr>
    </w:p>
    <w:p w14:paraId="49EB1803" w14:textId="153973DD" w:rsidR="00EF2DEB" w:rsidRDefault="003D211F" w:rsidP="00BC7DB9">
      <w:pPr>
        <w:rPr>
          <w:sz w:val="24"/>
          <w:szCs w:val="24"/>
        </w:rPr>
      </w:pPr>
      <w:r w:rsidRPr="006B7C47">
        <w:rPr>
          <w:sz w:val="24"/>
          <w:szCs w:val="24"/>
        </w:rPr>
        <w:t>Tseloni, A., Pease, K.</w:t>
      </w:r>
      <w:r w:rsidR="000878B2" w:rsidRPr="006B7C47">
        <w:rPr>
          <w:sz w:val="24"/>
          <w:szCs w:val="24"/>
        </w:rPr>
        <w:t xml:space="preserve"> (2003),</w:t>
      </w:r>
      <w:r w:rsidRPr="006B7C47">
        <w:rPr>
          <w:sz w:val="24"/>
          <w:szCs w:val="24"/>
        </w:rPr>
        <w:t xml:space="preserve"> ‘Repeat Personal Victimization. ‘Boosts’ or ‘Flags’?’, </w:t>
      </w:r>
      <w:r w:rsidRPr="006B7C47">
        <w:rPr>
          <w:i/>
          <w:iCs/>
          <w:sz w:val="24"/>
          <w:szCs w:val="24"/>
        </w:rPr>
        <w:t>The British Journal of Criminology,</w:t>
      </w:r>
      <w:r w:rsidRPr="006B7C47">
        <w:rPr>
          <w:sz w:val="24"/>
          <w:szCs w:val="24"/>
        </w:rPr>
        <w:t xml:space="preserve"> 43(1), 196–212, </w:t>
      </w:r>
      <w:hyperlink r:id="rId33" w:history="1">
        <w:r w:rsidR="00EF2DEB" w:rsidRPr="006B7C47">
          <w:rPr>
            <w:rStyle w:val="Hyperlink"/>
            <w:sz w:val="24"/>
            <w:szCs w:val="24"/>
          </w:rPr>
          <w:t>doi.org/10.1093/bjc/43.1.196</w:t>
        </w:r>
      </w:hyperlink>
    </w:p>
    <w:sectPr w:rsidR="00EF2DEB" w:rsidSect="0084373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00843B" w14:textId="77777777" w:rsidR="006026DB" w:rsidRDefault="006026DB">
      <w:r>
        <w:separator/>
      </w:r>
    </w:p>
  </w:endnote>
  <w:endnote w:type="continuationSeparator" w:id="0">
    <w:p w14:paraId="7F4532A6" w14:textId="77777777" w:rsidR="006026DB" w:rsidRDefault="006026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90A65C" w14:textId="77777777" w:rsidR="006026DB" w:rsidRDefault="006026DB">
      <w:r>
        <w:separator/>
      </w:r>
    </w:p>
  </w:footnote>
  <w:footnote w:type="continuationSeparator" w:id="0">
    <w:p w14:paraId="15C5ECA3" w14:textId="77777777" w:rsidR="006026DB" w:rsidRDefault="006026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4DA7C28"/>
    <w:multiLevelType w:val="hybridMultilevel"/>
    <w:tmpl w:val="B5B20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3"/>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6"/>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4"/>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20"/>
  </w:num>
  <w:num w:numId="27" w16cid:durableId="1573000687">
    <w:abstractNumId w:val="41"/>
  </w:num>
  <w:num w:numId="28" w16cid:durableId="66197777">
    <w:abstractNumId w:val="36"/>
  </w:num>
  <w:num w:numId="29" w16cid:durableId="1127815727">
    <w:abstractNumId w:val="40"/>
  </w:num>
  <w:num w:numId="30" w16cid:durableId="1139540040">
    <w:abstractNumId w:val="21"/>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5"/>
  </w:num>
  <w:num w:numId="44" w16cid:durableId="1438983801">
    <w:abstractNumId w:val="6"/>
  </w:num>
  <w:num w:numId="45" w16cid:durableId="3284368">
    <w:abstractNumId w:val="2"/>
  </w:num>
  <w:num w:numId="46" w16cid:durableId="397748815">
    <w:abstractNumId w:val="0"/>
  </w:num>
  <w:num w:numId="47" w16cid:durableId="220332332">
    <w:abstractNumId w:val="22"/>
  </w:num>
  <w:num w:numId="48" w16cid:durableId="504830301">
    <w:abstractNumId w:val="29"/>
  </w:num>
  <w:num w:numId="49" w16cid:durableId="54592622">
    <w:abstractNumId w:val="49"/>
  </w:num>
  <w:num w:numId="50" w16cid:durableId="991756676">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AFE"/>
    <w:rsid w:val="00003990"/>
    <w:rsid w:val="000045B8"/>
    <w:rsid w:val="0001163C"/>
    <w:rsid w:val="000167C8"/>
    <w:rsid w:val="00020EEC"/>
    <w:rsid w:val="000235F1"/>
    <w:rsid w:val="00025650"/>
    <w:rsid w:val="00026FAB"/>
    <w:rsid w:val="00027B1F"/>
    <w:rsid w:val="0003088B"/>
    <w:rsid w:val="00030B66"/>
    <w:rsid w:val="000325D9"/>
    <w:rsid w:val="000372B2"/>
    <w:rsid w:val="0004079F"/>
    <w:rsid w:val="000448B2"/>
    <w:rsid w:val="00045B87"/>
    <w:rsid w:val="00045C07"/>
    <w:rsid w:val="00055D43"/>
    <w:rsid w:val="00056748"/>
    <w:rsid w:val="00056FAC"/>
    <w:rsid w:val="00057751"/>
    <w:rsid w:val="00062E39"/>
    <w:rsid w:val="0006580E"/>
    <w:rsid w:val="000679C5"/>
    <w:rsid w:val="00074190"/>
    <w:rsid w:val="00080E58"/>
    <w:rsid w:val="00083D99"/>
    <w:rsid w:val="00084A76"/>
    <w:rsid w:val="00084EA6"/>
    <w:rsid w:val="00085699"/>
    <w:rsid w:val="00087891"/>
    <w:rsid w:val="000878B2"/>
    <w:rsid w:val="00091F52"/>
    <w:rsid w:val="00092970"/>
    <w:rsid w:val="000929D9"/>
    <w:rsid w:val="00092BC7"/>
    <w:rsid w:val="00093720"/>
    <w:rsid w:val="000938E6"/>
    <w:rsid w:val="00093B3C"/>
    <w:rsid w:val="0009488C"/>
    <w:rsid w:val="00095C1B"/>
    <w:rsid w:val="00096DEA"/>
    <w:rsid w:val="0009784E"/>
    <w:rsid w:val="000A3465"/>
    <w:rsid w:val="000A3BE6"/>
    <w:rsid w:val="000A4240"/>
    <w:rsid w:val="000A469A"/>
    <w:rsid w:val="000A5D83"/>
    <w:rsid w:val="000B0499"/>
    <w:rsid w:val="000B1E96"/>
    <w:rsid w:val="000C378F"/>
    <w:rsid w:val="000C6892"/>
    <w:rsid w:val="000C6FFE"/>
    <w:rsid w:val="000D0BB6"/>
    <w:rsid w:val="000D2AE3"/>
    <w:rsid w:val="000D7181"/>
    <w:rsid w:val="000E26B0"/>
    <w:rsid w:val="000F1599"/>
    <w:rsid w:val="000F1769"/>
    <w:rsid w:val="000F6196"/>
    <w:rsid w:val="000F6299"/>
    <w:rsid w:val="000F7ECD"/>
    <w:rsid w:val="00102E64"/>
    <w:rsid w:val="0010312C"/>
    <w:rsid w:val="00105691"/>
    <w:rsid w:val="00106DC7"/>
    <w:rsid w:val="001076AA"/>
    <w:rsid w:val="00107753"/>
    <w:rsid w:val="00110738"/>
    <w:rsid w:val="00112391"/>
    <w:rsid w:val="001139F0"/>
    <w:rsid w:val="00114F52"/>
    <w:rsid w:val="001163FC"/>
    <w:rsid w:val="0012135C"/>
    <w:rsid w:val="00130E83"/>
    <w:rsid w:val="001347F8"/>
    <w:rsid w:val="00137BB5"/>
    <w:rsid w:val="00137E05"/>
    <w:rsid w:val="001435D7"/>
    <w:rsid w:val="00143B9B"/>
    <w:rsid w:val="001447F6"/>
    <w:rsid w:val="00147DE3"/>
    <w:rsid w:val="00150794"/>
    <w:rsid w:val="00157759"/>
    <w:rsid w:val="001608C4"/>
    <w:rsid w:val="001659E3"/>
    <w:rsid w:val="001668C2"/>
    <w:rsid w:val="0017075A"/>
    <w:rsid w:val="00171418"/>
    <w:rsid w:val="001832C7"/>
    <w:rsid w:val="0018634C"/>
    <w:rsid w:val="00190913"/>
    <w:rsid w:val="001961CF"/>
    <w:rsid w:val="001A51CB"/>
    <w:rsid w:val="001A59BB"/>
    <w:rsid w:val="001A6A51"/>
    <w:rsid w:val="001A71C9"/>
    <w:rsid w:val="001A79C4"/>
    <w:rsid w:val="001A7FCB"/>
    <w:rsid w:val="001B25B7"/>
    <w:rsid w:val="001B331A"/>
    <w:rsid w:val="001C0E74"/>
    <w:rsid w:val="001C6CEC"/>
    <w:rsid w:val="001D1664"/>
    <w:rsid w:val="001D1CF8"/>
    <w:rsid w:val="001D229F"/>
    <w:rsid w:val="001D6162"/>
    <w:rsid w:val="001D660E"/>
    <w:rsid w:val="001D7DFD"/>
    <w:rsid w:val="001E610D"/>
    <w:rsid w:val="001E6FAD"/>
    <w:rsid w:val="001E7592"/>
    <w:rsid w:val="001F22B7"/>
    <w:rsid w:val="001F3878"/>
    <w:rsid w:val="001F4552"/>
    <w:rsid w:val="001F6705"/>
    <w:rsid w:val="00200EE6"/>
    <w:rsid w:val="002019EB"/>
    <w:rsid w:val="002025AD"/>
    <w:rsid w:val="002030F2"/>
    <w:rsid w:val="00204627"/>
    <w:rsid w:val="00204AC5"/>
    <w:rsid w:val="00205051"/>
    <w:rsid w:val="00211695"/>
    <w:rsid w:val="00211F65"/>
    <w:rsid w:val="00212E7A"/>
    <w:rsid w:val="00213A97"/>
    <w:rsid w:val="0022001B"/>
    <w:rsid w:val="00220D06"/>
    <w:rsid w:val="00220DC8"/>
    <w:rsid w:val="002219BA"/>
    <w:rsid w:val="002246A0"/>
    <w:rsid w:val="00224AF9"/>
    <w:rsid w:val="00227197"/>
    <w:rsid w:val="00230439"/>
    <w:rsid w:val="00235176"/>
    <w:rsid w:val="00236061"/>
    <w:rsid w:val="0024100E"/>
    <w:rsid w:val="00241C1B"/>
    <w:rsid w:val="002423B2"/>
    <w:rsid w:val="0024288B"/>
    <w:rsid w:val="002469A4"/>
    <w:rsid w:val="00247C54"/>
    <w:rsid w:val="00255D8E"/>
    <w:rsid w:val="00257603"/>
    <w:rsid w:val="00262CE7"/>
    <w:rsid w:val="00264F25"/>
    <w:rsid w:val="002657E9"/>
    <w:rsid w:val="0026665E"/>
    <w:rsid w:val="00270EEB"/>
    <w:rsid w:val="0027147E"/>
    <w:rsid w:val="00274DE8"/>
    <w:rsid w:val="002761F4"/>
    <w:rsid w:val="002775E1"/>
    <w:rsid w:val="00277979"/>
    <w:rsid w:val="002808EB"/>
    <w:rsid w:val="0028095D"/>
    <w:rsid w:val="0028201E"/>
    <w:rsid w:val="00286C6B"/>
    <w:rsid w:val="00291ADD"/>
    <w:rsid w:val="002933AF"/>
    <w:rsid w:val="00293D09"/>
    <w:rsid w:val="00294868"/>
    <w:rsid w:val="00295B2A"/>
    <w:rsid w:val="00295CA1"/>
    <w:rsid w:val="0029646B"/>
    <w:rsid w:val="002A291A"/>
    <w:rsid w:val="002A5604"/>
    <w:rsid w:val="002B1701"/>
    <w:rsid w:val="002B23C3"/>
    <w:rsid w:val="002B443A"/>
    <w:rsid w:val="002B5B35"/>
    <w:rsid w:val="002C256A"/>
    <w:rsid w:val="002C496D"/>
    <w:rsid w:val="002D05EB"/>
    <w:rsid w:val="002D25E7"/>
    <w:rsid w:val="002D2F29"/>
    <w:rsid w:val="002D2FD3"/>
    <w:rsid w:val="002D4E3B"/>
    <w:rsid w:val="002E4F7E"/>
    <w:rsid w:val="002E7017"/>
    <w:rsid w:val="002F4F6E"/>
    <w:rsid w:val="002F64F1"/>
    <w:rsid w:val="003015C3"/>
    <w:rsid w:val="0030698D"/>
    <w:rsid w:val="0031350A"/>
    <w:rsid w:val="0031480A"/>
    <w:rsid w:val="00316815"/>
    <w:rsid w:val="003168CA"/>
    <w:rsid w:val="00321255"/>
    <w:rsid w:val="0032230D"/>
    <w:rsid w:val="00322A0B"/>
    <w:rsid w:val="003248B5"/>
    <w:rsid w:val="003270B8"/>
    <w:rsid w:val="00327B36"/>
    <w:rsid w:val="0033196E"/>
    <w:rsid w:val="00332F54"/>
    <w:rsid w:val="003350C5"/>
    <w:rsid w:val="00335FC5"/>
    <w:rsid w:val="003378F5"/>
    <w:rsid w:val="00340E9A"/>
    <w:rsid w:val="00346CA9"/>
    <w:rsid w:val="003516C0"/>
    <w:rsid w:val="00352738"/>
    <w:rsid w:val="00352E59"/>
    <w:rsid w:val="00354DBE"/>
    <w:rsid w:val="00355210"/>
    <w:rsid w:val="003555D5"/>
    <w:rsid w:val="00355EA3"/>
    <w:rsid w:val="00365DF9"/>
    <w:rsid w:val="0036668D"/>
    <w:rsid w:val="00366C06"/>
    <w:rsid w:val="003675C1"/>
    <w:rsid w:val="00372DB4"/>
    <w:rsid w:val="0037490C"/>
    <w:rsid w:val="00375AF5"/>
    <w:rsid w:val="00376094"/>
    <w:rsid w:val="003761BD"/>
    <w:rsid w:val="003769F6"/>
    <w:rsid w:val="00385414"/>
    <w:rsid w:val="003873F6"/>
    <w:rsid w:val="00390074"/>
    <w:rsid w:val="00394EC2"/>
    <w:rsid w:val="0039655A"/>
    <w:rsid w:val="00397539"/>
    <w:rsid w:val="0039762B"/>
    <w:rsid w:val="003A0C37"/>
    <w:rsid w:val="003A1B6B"/>
    <w:rsid w:val="003A2F82"/>
    <w:rsid w:val="003A346D"/>
    <w:rsid w:val="003A46C0"/>
    <w:rsid w:val="003A5DCC"/>
    <w:rsid w:val="003A600E"/>
    <w:rsid w:val="003A6513"/>
    <w:rsid w:val="003A66A2"/>
    <w:rsid w:val="003B0317"/>
    <w:rsid w:val="003B0E9F"/>
    <w:rsid w:val="003B16C7"/>
    <w:rsid w:val="003B5BC5"/>
    <w:rsid w:val="003C19F1"/>
    <w:rsid w:val="003C1AC4"/>
    <w:rsid w:val="003C4186"/>
    <w:rsid w:val="003C458C"/>
    <w:rsid w:val="003C6185"/>
    <w:rsid w:val="003C7D16"/>
    <w:rsid w:val="003D0C76"/>
    <w:rsid w:val="003D0D2D"/>
    <w:rsid w:val="003D211F"/>
    <w:rsid w:val="003D4710"/>
    <w:rsid w:val="003D5D74"/>
    <w:rsid w:val="003E16D7"/>
    <w:rsid w:val="003E197E"/>
    <w:rsid w:val="003E322A"/>
    <w:rsid w:val="003E393C"/>
    <w:rsid w:val="003F7DCD"/>
    <w:rsid w:val="004046F0"/>
    <w:rsid w:val="00404A0C"/>
    <w:rsid w:val="0040668F"/>
    <w:rsid w:val="00411200"/>
    <w:rsid w:val="00412677"/>
    <w:rsid w:val="00414E15"/>
    <w:rsid w:val="004161DA"/>
    <w:rsid w:val="00417925"/>
    <w:rsid w:val="00417A86"/>
    <w:rsid w:val="00422C0C"/>
    <w:rsid w:val="0042301C"/>
    <w:rsid w:val="004348AE"/>
    <w:rsid w:val="00435E9A"/>
    <w:rsid w:val="00436A91"/>
    <w:rsid w:val="004376C0"/>
    <w:rsid w:val="00437C2D"/>
    <w:rsid w:val="0044115F"/>
    <w:rsid w:val="0044223A"/>
    <w:rsid w:val="004435AD"/>
    <w:rsid w:val="00444B7F"/>
    <w:rsid w:val="004454DA"/>
    <w:rsid w:val="0044564E"/>
    <w:rsid w:val="00446792"/>
    <w:rsid w:val="00446F80"/>
    <w:rsid w:val="00447571"/>
    <w:rsid w:val="00450C83"/>
    <w:rsid w:val="00451851"/>
    <w:rsid w:val="00453343"/>
    <w:rsid w:val="00454247"/>
    <w:rsid w:val="004552CE"/>
    <w:rsid w:val="004608B9"/>
    <w:rsid w:val="00460ADB"/>
    <w:rsid w:val="004655F5"/>
    <w:rsid w:val="00465947"/>
    <w:rsid w:val="0046633E"/>
    <w:rsid w:val="004672C1"/>
    <w:rsid w:val="00470BB1"/>
    <w:rsid w:val="004718F7"/>
    <w:rsid w:val="00473153"/>
    <w:rsid w:val="004743AF"/>
    <w:rsid w:val="00476DDE"/>
    <w:rsid w:val="00482C17"/>
    <w:rsid w:val="00486070"/>
    <w:rsid w:val="004911B4"/>
    <w:rsid w:val="0049196A"/>
    <w:rsid w:val="004923DA"/>
    <w:rsid w:val="00493434"/>
    <w:rsid w:val="0049506A"/>
    <w:rsid w:val="004962F9"/>
    <w:rsid w:val="004968E2"/>
    <w:rsid w:val="004A07F1"/>
    <w:rsid w:val="004A14C4"/>
    <w:rsid w:val="004A2A49"/>
    <w:rsid w:val="004B1414"/>
    <w:rsid w:val="004B32D4"/>
    <w:rsid w:val="004B600B"/>
    <w:rsid w:val="004B6436"/>
    <w:rsid w:val="004B6822"/>
    <w:rsid w:val="004B69F6"/>
    <w:rsid w:val="004C2D3A"/>
    <w:rsid w:val="004C6615"/>
    <w:rsid w:val="004D03C4"/>
    <w:rsid w:val="004D0BF1"/>
    <w:rsid w:val="004D240F"/>
    <w:rsid w:val="004D24D2"/>
    <w:rsid w:val="004D35A4"/>
    <w:rsid w:val="004D445F"/>
    <w:rsid w:val="004E087B"/>
    <w:rsid w:val="004E3BB2"/>
    <w:rsid w:val="004E44A4"/>
    <w:rsid w:val="004E4C33"/>
    <w:rsid w:val="004E7B8B"/>
    <w:rsid w:val="004E7BDD"/>
    <w:rsid w:val="004F0D03"/>
    <w:rsid w:val="004F1E21"/>
    <w:rsid w:val="004F6EA8"/>
    <w:rsid w:val="004F740D"/>
    <w:rsid w:val="004F7B8F"/>
    <w:rsid w:val="004F7BF3"/>
    <w:rsid w:val="00500322"/>
    <w:rsid w:val="00500748"/>
    <w:rsid w:val="005011D6"/>
    <w:rsid w:val="0050167A"/>
    <w:rsid w:val="005042F1"/>
    <w:rsid w:val="005109DB"/>
    <w:rsid w:val="00510D6A"/>
    <w:rsid w:val="00511F85"/>
    <w:rsid w:val="00513344"/>
    <w:rsid w:val="00513C7D"/>
    <w:rsid w:val="00514C3E"/>
    <w:rsid w:val="005169D1"/>
    <w:rsid w:val="0051735F"/>
    <w:rsid w:val="00521123"/>
    <w:rsid w:val="00521221"/>
    <w:rsid w:val="00521D9C"/>
    <w:rsid w:val="0052466F"/>
    <w:rsid w:val="005256A4"/>
    <w:rsid w:val="005307D9"/>
    <w:rsid w:val="00531754"/>
    <w:rsid w:val="00534672"/>
    <w:rsid w:val="00536FA9"/>
    <w:rsid w:val="005414F4"/>
    <w:rsid w:val="00546187"/>
    <w:rsid w:val="005463F1"/>
    <w:rsid w:val="00557D77"/>
    <w:rsid w:val="00562EAA"/>
    <w:rsid w:val="005636F1"/>
    <w:rsid w:val="00563B58"/>
    <w:rsid w:val="005640C4"/>
    <w:rsid w:val="00564C53"/>
    <w:rsid w:val="0056684C"/>
    <w:rsid w:val="00566FB8"/>
    <w:rsid w:val="00572DD6"/>
    <w:rsid w:val="00574A0C"/>
    <w:rsid w:val="00576E4C"/>
    <w:rsid w:val="0057780F"/>
    <w:rsid w:val="00581E0A"/>
    <w:rsid w:val="00582196"/>
    <w:rsid w:val="00582870"/>
    <w:rsid w:val="00586D89"/>
    <w:rsid w:val="005916B8"/>
    <w:rsid w:val="00591825"/>
    <w:rsid w:val="00592BBB"/>
    <w:rsid w:val="00593D00"/>
    <w:rsid w:val="005A1B4C"/>
    <w:rsid w:val="005A1BA3"/>
    <w:rsid w:val="005A545C"/>
    <w:rsid w:val="005B3AFA"/>
    <w:rsid w:val="005B3D1A"/>
    <w:rsid w:val="005B7818"/>
    <w:rsid w:val="005C0658"/>
    <w:rsid w:val="005C1567"/>
    <w:rsid w:val="005C1764"/>
    <w:rsid w:val="005C29B5"/>
    <w:rsid w:val="005C6CE5"/>
    <w:rsid w:val="005C76DE"/>
    <w:rsid w:val="005D3789"/>
    <w:rsid w:val="005D3F07"/>
    <w:rsid w:val="005D583E"/>
    <w:rsid w:val="005E13EA"/>
    <w:rsid w:val="005E49AA"/>
    <w:rsid w:val="005E51AD"/>
    <w:rsid w:val="005E53BD"/>
    <w:rsid w:val="005F58D8"/>
    <w:rsid w:val="006000D2"/>
    <w:rsid w:val="00601A57"/>
    <w:rsid w:val="006026DB"/>
    <w:rsid w:val="00602A84"/>
    <w:rsid w:val="0060591E"/>
    <w:rsid w:val="00606E27"/>
    <w:rsid w:val="006108C9"/>
    <w:rsid w:val="006137EE"/>
    <w:rsid w:val="0061394C"/>
    <w:rsid w:val="00615C00"/>
    <w:rsid w:val="00615C7E"/>
    <w:rsid w:val="006160E6"/>
    <w:rsid w:val="0062158D"/>
    <w:rsid w:val="006231AB"/>
    <w:rsid w:val="00626077"/>
    <w:rsid w:val="00630514"/>
    <w:rsid w:val="00630F39"/>
    <w:rsid w:val="006326D1"/>
    <w:rsid w:val="00632E0A"/>
    <w:rsid w:val="00633165"/>
    <w:rsid w:val="00636B6C"/>
    <w:rsid w:val="006447DE"/>
    <w:rsid w:val="00647C79"/>
    <w:rsid w:val="0065276E"/>
    <w:rsid w:val="00654329"/>
    <w:rsid w:val="00654CEC"/>
    <w:rsid w:val="00655507"/>
    <w:rsid w:val="00662459"/>
    <w:rsid w:val="006712A7"/>
    <w:rsid w:val="006733CC"/>
    <w:rsid w:val="00674FC2"/>
    <w:rsid w:val="00677E42"/>
    <w:rsid w:val="00681757"/>
    <w:rsid w:val="00682334"/>
    <w:rsid w:val="00684B16"/>
    <w:rsid w:val="00690414"/>
    <w:rsid w:val="00694C00"/>
    <w:rsid w:val="00696DA7"/>
    <w:rsid w:val="00696F65"/>
    <w:rsid w:val="006A0EEF"/>
    <w:rsid w:val="006A6646"/>
    <w:rsid w:val="006A7A6D"/>
    <w:rsid w:val="006B4822"/>
    <w:rsid w:val="006B5E67"/>
    <w:rsid w:val="006B7C47"/>
    <w:rsid w:val="006C2EB5"/>
    <w:rsid w:val="006C3F19"/>
    <w:rsid w:val="006C41BA"/>
    <w:rsid w:val="006D0FB7"/>
    <w:rsid w:val="006D18A3"/>
    <w:rsid w:val="006D5970"/>
    <w:rsid w:val="006E481E"/>
    <w:rsid w:val="006E795F"/>
    <w:rsid w:val="006F04FA"/>
    <w:rsid w:val="006F63FC"/>
    <w:rsid w:val="00700249"/>
    <w:rsid w:val="0070604C"/>
    <w:rsid w:val="007062D1"/>
    <w:rsid w:val="007069CD"/>
    <w:rsid w:val="00710A5F"/>
    <w:rsid w:val="00710D69"/>
    <w:rsid w:val="007110E6"/>
    <w:rsid w:val="00711A70"/>
    <w:rsid w:val="007125AE"/>
    <w:rsid w:val="00712E6F"/>
    <w:rsid w:val="00712E90"/>
    <w:rsid w:val="0071390B"/>
    <w:rsid w:val="00713B7E"/>
    <w:rsid w:val="0071499F"/>
    <w:rsid w:val="007159A4"/>
    <w:rsid w:val="00715F4C"/>
    <w:rsid w:val="00717876"/>
    <w:rsid w:val="007203DA"/>
    <w:rsid w:val="007204AE"/>
    <w:rsid w:val="0072678F"/>
    <w:rsid w:val="00727C4C"/>
    <w:rsid w:val="00734809"/>
    <w:rsid w:val="00735D41"/>
    <w:rsid w:val="00736054"/>
    <w:rsid w:val="0073644B"/>
    <w:rsid w:val="00736742"/>
    <w:rsid w:val="007406E1"/>
    <w:rsid w:val="00743E40"/>
    <w:rsid w:val="00751263"/>
    <w:rsid w:val="00756425"/>
    <w:rsid w:val="0075704F"/>
    <w:rsid w:val="0076381F"/>
    <w:rsid w:val="00763B2D"/>
    <w:rsid w:val="0076632C"/>
    <w:rsid w:val="00767A1C"/>
    <w:rsid w:val="00772924"/>
    <w:rsid w:val="00772B84"/>
    <w:rsid w:val="00773D43"/>
    <w:rsid w:val="00776F55"/>
    <w:rsid w:val="0078003A"/>
    <w:rsid w:val="00784EC4"/>
    <w:rsid w:val="007872F2"/>
    <w:rsid w:val="007874BC"/>
    <w:rsid w:val="007908E0"/>
    <w:rsid w:val="00793EB3"/>
    <w:rsid w:val="00794205"/>
    <w:rsid w:val="007951CF"/>
    <w:rsid w:val="00797012"/>
    <w:rsid w:val="007A1F6A"/>
    <w:rsid w:val="007A7457"/>
    <w:rsid w:val="007B0DE3"/>
    <w:rsid w:val="007B307E"/>
    <w:rsid w:val="007B491F"/>
    <w:rsid w:val="007B5CB2"/>
    <w:rsid w:val="007B7191"/>
    <w:rsid w:val="007C1634"/>
    <w:rsid w:val="007C1D94"/>
    <w:rsid w:val="007C2879"/>
    <w:rsid w:val="007C5AEB"/>
    <w:rsid w:val="007C600F"/>
    <w:rsid w:val="007C6A87"/>
    <w:rsid w:val="007C6D9F"/>
    <w:rsid w:val="007C705D"/>
    <w:rsid w:val="007D0A07"/>
    <w:rsid w:val="007D0C96"/>
    <w:rsid w:val="007D133D"/>
    <w:rsid w:val="007D22BD"/>
    <w:rsid w:val="007D3EB4"/>
    <w:rsid w:val="007D3F16"/>
    <w:rsid w:val="007D7273"/>
    <w:rsid w:val="007D78CC"/>
    <w:rsid w:val="007E1DA5"/>
    <w:rsid w:val="007E7131"/>
    <w:rsid w:val="007F0E52"/>
    <w:rsid w:val="007F20C6"/>
    <w:rsid w:val="007F3F7E"/>
    <w:rsid w:val="007F5497"/>
    <w:rsid w:val="007F6A4A"/>
    <w:rsid w:val="00811205"/>
    <w:rsid w:val="00813CEC"/>
    <w:rsid w:val="0081534C"/>
    <w:rsid w:val="008171E4"/>
    <w:rsid w:val="008208EA"/>
    <w:rsid w:val="00821CDB"/>
    <w:rsid w:val="00824E67"/>
    <w:rsid w:val="00825A64"/>
    <w:rsid w:val="00826F48"/>
    <w:rsid w:val="008308AE"/>
    <w:rsid w:val="0083166E"/>
    <w:rsid w:val="00831DC3"/>
    <w:rsid w:val="008322C7"/>
    <w:rsid w:val="00834F1D"/>
    <w:rsid w:val="00836A2D"/>
    <w:rsid w:val="00836FEC"/>
    <w:rsid w:val="00841F9D"/>
    <w:rsid w:val="008420E1"/>
    <w:rsid w:val="00843732"/>
    <w:rsid w:val="00843D58"/>
    <w:rsid w:val="00843EBA"/>
    <w:rsid w:val="00844D98"/>
    <w:rsid w:val="00845607"/>
    <w:rsid w:val="00846B82"/>
    <w:rsid w:val="00846D84"/>
    <w:rsid w:val="0085230E"/>
    <w:rsid w:val="0085355E"/>
    <w:rsid w:val="008550A1"/>
    <w:rsid w:val="00861035"/>
    <w:rsid w:val="00861038"/>
    <w:rsid w:val="00865008"/>
    <w:rsid w:val="00865BF7"/>
    <w:rsid w:val="00866B50"/>
    <w:rsid w:val="00866FA2"/>
    <w:rsid w:val="008708F1"/>
    <w:rsid w:val="008715CE"/>
    <w:rsid w:val="00880539"/>
    <w:rsid w:val="008806A7"/>
    <w:rsid w:val="008859E8"/>
    <w:rsid w:val="0088737B"/>
    <w:rsid w:val="008918D6"/>
    <w:rsid w:val="00892716"/>
    <w:rsid w:val="00893067"/>
    <w:rsid w:val="008933DE"/>
    <w:rsid w:val="00895FCE"/>
    <w:rsid w:val="00897F3E"/>
    <w:rsid w:val="008A0FD5"/>
    <w:rsid w:val="008A1BA8"/>
    <w:rsid w:val="008A21B4"/>
    <w:rsid w:val="008A30C8"/>
    <w:rsid w:val="008A4576"/>
    <w:rsid w:val="008B07DE"/>
    <w:rsid w:val="008B28E7"/>
    <w:rsid w:val="008B4D63"/>
    <w:rsid w:val="008C00EC"/>
    <w:rsid w:val="008C14C7"/>
    <w:rsid w:val="008C2FFB"/>
    <w:rsid w:val="008C6EEA"/>
    <w:rsid w:val="008C7D4B"/>
    <w:rsid w:val="008D5724"/>
    <w:rsid w:val="008D5813"/>
    <w:rsid w:val="008D634E"/>
    <w:rsid w:val="008D778A"/>
    <w:rsid w:val="008E390B"/>
    <w:rsid w:val="008E6F35"/>
    <w:rsid w:val="008F0B6D"/>
    <w:rsid w:val="008F22BD"/>
    <w:rsid w:val="008F25AE"/>
    <w:rsid w:val="008F66B1"/>
    <w:rsid w:val="00900D69"/>
    <w:rsid w:val="00906A43"/>
    <w:rsid w:val="009079BD"/>
    <w:rsid w:val="00907BF1"/>
    <w:rsid w:val="00912BD9"/>
    <w:rsid w:val="00916CFB"/>
    <w:rsid w:val="00920E5B"/>
    <w:rsid w:val="00922685"/>
    <w:rsid w:val="009249F8"/>
    <w:rsid w:val="00926436"/>
    <w:rsid w:val="0093018C"/>
    <w:rsid w:val="00932CCA"/>
    <w:rsid w:val="009370AE"/>
    <w:rsid w:val="00941665"/>
    <w:rsid w:val="00943947"/>
    <w:rsid w:val="009544C0"/>
    <w:rsid w:val="00954FA4"/>
    <w:rsid w:val="0095518E"/>
    <w:rsid w:val="00956AE9"/>
    <w:rsid w:val="00956AFA"/>
    <w:rsid w:val="00961965"/>
    <w:rsid w:val="0096277B"/>
    <w:rsid w:val="00962D9F"/>
    <w:rsid w:val="00964CC6"/>
    <w:rsid w:val="0097076A"/>
    <w:rsid w:val="009709F9"/>
    <w:rsid w:val="009722DB"/>
    <w:rsid w:val="00973D68"/>
    <w:rsid w:val="009802D5"/>
    <w:rsid w:val="00991FDA"/>
    <w:rsid w:val="009927A1"/>
    <w:rsid w:val="0099526F"/>
    <w:rsid w:val="0099774D"/>
    <w:rsid w:val="009A310E"/>
    <w:rsid w:val="009A5F3B"/>
    <w:rsid w:val="009B0B61"/>
    <w:rsid w:val="009B28C0"/>
    <w:rsid w:val="009B395A"/>
    <w:rsid w:val="009B7136"/>
    <w:rsid w:val="009B7806"/>
    <w:rsid w:val="009C3AC2"/>
    <w:rsid w:val="009C76AD"/>
    <w:rsid w:val="009D4365"/>
    <w:rsid w:val="009D4E3B"/>
    <w:rsid w:val="009D7BC9"/>
    <w:rsid w:val="009E0195"/>
    <w:rsid w:val="009E0C5A"/>
    <w:rsid w:val="009E1982"/>
    <w:rsid w:val="009E2BE7"/>
    <w:rsid w:val="009E4D2C"/>
    <w:rsid w:val="009F0978"/>
    <w:rsid w:val="009F3AEC"/>
    <w:rsid w:val="009F45AC"/>
    <w:rsid w:val="00A00081"/>
    <w:rsid w:val="00A00B03"/>
    <w:rsid w:val="00A015F7"/>
    <w:rsid w:val="00A03EAD"/>
    <w:rsid w:val="00A10D56"/>
    <w:rsid w:val="00A12AAE"/>
    <w:rsid w:val="00A13A50"/>
    <w:rsid w:val="00A150FF"/>
    <w:rsid w:val="00A16DD1"/>
    <w:rsid w:val="00A17256"/>
    <w:rsid w:val="00A221AB"/>
    <w:rsid w:val="00A22441"/>
    <w:rsid w:val="00A22762"/>
    <w:rsid w:val="00A23F3B"/>
    <w:rsid w:val="00A24406"/>
    <w:rsid w:val="00A25F64"/>
    <w:rsid w:val="00A27CC2"/>
    <w:rsid w:val="00A30A93"/>
    <w:rsid w:val="00A3273B"/>
    <w:rsid w:val="00A33297"/>
    <w:rsid w:val="00A3763B"/>
    <w:rsid w:val="00A40ED6"/>
    <w:rsid w:val="00A470EE"/>
    <w:rsid w:val="00A47621"/>
    <w:rsid w:val="00A479CD"/>
    <w:rsid w:val="00A50CFC"/>
    <w:rsid w:val="00A54D67"/>
    <w:rsid w:val="00A55A3F"/>
    <w:rsid w:val="00A56BC4"/>
    <w:rsid w:val="00A6132F"/>
    <w:rsid w:val="00A652F6"/>
    <w:rsid w:val="00A65F75"/>
    <w:rsid w:val="00A70D5F"/>
    <w:rsid w:val="00A732EA"/>
    <w:rsid w:val="00A7489E"/>
    <w:rsid w:val="00A75137"/>
    <w:rsid w:val="00A8015F"/>
    <w:rsid w:val="00A80BD2"/>
    <w:rsid w:val="00A824B9"/>
    <w:rsid w:val="00A84AF5"/>
    <w:rsid w:val="00A85039"/>
    <w:rsid w:val="00A851F7"/>
    <w:rsid w:val="00A906AA"/>
    <w:rsid w:val="00A9071F"/>
    <w:rsid w:val="00A91731"/>
    <w:rsid w:val="00A94C5E"/>
    <w:rsid w:val="00A950CE"/>
    <w:rsid w:val="00AA241A"/>
    <w:rsid w:val="00AA252C"/>
    <w:rsid w:val="00AA666E"/>
    <w:rsid w:val="00AA7875"/>
    <w:rsid w:val="00AB5518"/>
    <w:rsid w:val="00AC01D4"/>
    <w:rsid w:val="00AC4A04"/>
    <w:rsid w:val="00AD336F"/>
    <w:rsid w:val="00AD3550"/>
    <w:rsid w:val="00AD60AA"/>
    <w:rsid w:val="00AE2564"/>
    <w:rsid w:val="00AE301F"/>
    <w:rsid w:val="00AE3302"/>
    <w:rsid w:val="00AE7077"/>
    <w:rsid w:val="00AF1E15"/>
    <w:rsid w:val="00AF4098"/>
    <w:rsid w:val="00AF54DD"/>
    <w:rsid w:val="00AF61C2"/>
    <w:rsid w:val="00AF6CC6"/>
    <w:rsid w:val="00B011CD"/>
    <w:rsid w:val="00B0296A"/>
    <w:rsid w:val="00B0572E"/>
    <w:rsid w:val="00B0619B"/>
    <w:rsid w:val="00B12295"/>
    <w:rsid w:val="00B1245B"/>
    <w:rsid w:val="00B127DC"/>
    <w:rsid w:val="00B137BE"/>
    <w:rsid w:val="00B16BF6"/>
    <w:rsid w:val="00B17FA0"/>
    <w:rsid w:val="00B21D51"/>
    <w:rsid w:val="00B22662"/>
    <w:rsid w:val="00B22FC9"/>
    <w:rsid w:val="00B24344"/>
    <w:rsid w:val="00B26769"/>
    <w:rsid w:val="00B31C91"/>
    <w:rsid w:val="00B36FC8"/>
    <w:rsid w:val="00B3747F"/>
    <w:rsid w:val="00B37CDC"/>
    <w:rsid w:val="00B43194"/>
    <w:rsid w:val="00B44355"/>
    <w:rsid w:val="00B47734"/>
    <w:rsid w:val="00B50FBA"/>
    <w:rsid w:val="00B53616"/>
    <w:rsid w:val="00B558EB"/>
    <w:rsid w:val="00B564CF"/>
    <w:rsid w:val="00B577D3"/>
    <w:rsid w:val="00B60466"/>
    <w:rsid w:val="00B615BE"/>
    <w:rsid w:val="00B6252F"/>
    <w:rsid w:val="00B6548F"/>
    <w:rsid w:val="00B71070"/>
    <w:rsid w:val="00B723A1"/>
    <w:rsid w:val="00B727D7"/>
    <w:rsid w:val="00B729AE"/>
    <w:rsid w:val="00B7502A"/>
    <w:rsid w:val="00B76F34"/>
    <w:rsid w:val="00B77305"/>
    <w:rsid w:val="00B82CC2"/>
    <w:rsid w:val="00B83816"/>
    <w:rsid w:val="00B84A89"/>
    <w:rsid w:val="00B84FB6"/>
    <w:rsid w:val="00B86119"/>
    <w:rsid w:val="00B86984"/>
    <w:rsid w:val="00B900F5"/>
    <w:rsid w:val="00B9112B"/>
    <w:rsid w:val="00B92BEF"/>
    <w:rsid w:val="00B93692"/>
    <w:rsid w:val="00B95D6C"/>
    <w:rsid w:val="00B9689A"/>
    <w:rsid w:val="00BA074B"/>
    <w:rsid w:val="00BA1FFA"/>
    <w:rsid w:val="00BA2666"/>
    <w:rsid w:val="00BA298E"/>
    <w:rsid w:val="00BA50CA"/>
    <w:rsid w:val="00BA6270"/>
    <w:rsid w:val="00BA721E"/>
    <w:rsid w:val="00BA7FF1"/>
    <w:rsid w:val="00BB06CB"/>
    <w:rsid w:val="00BB261F"/>
    <w:rsid w:val="00BB2887"/>
    <w:rsid w:val="00BB5EAA"/>
    <w:rsid w:val="00BB5F11"/>
    <w:rsid w:val="00BB7414"/>
    <w:rsid w:val="00BC0401"/>
    <w:rsid w:val="00BC04FA"/>
    <w:rsid w:val="00BC1C22"/>
    <w:rsid w:val="00BC3987"/>
    <w:rsid w:val="00BC460B"/>
    <w:rsid w:val="00BC5725"/>
    <w:rsid w:val="00BC7DB9"/>
    <w:rsid w:val="00BD30B1"/>
    <w:rsid w:val="00BE0F7B"/>
    <w:rsid w:val="00BE10C2"/>
    <w:rsid w:val="00BE5372"/>
    <w:rsid w:val="00C00E19"/>
    <w:rsid w:val="00C01D14"/>
    <w:rsid w:val="00C025B4"/>
    <w:rsid w:val="00C0275F"/>
    <w:rsid w:val="00C04FCB"/>
    <w:rsid w:val="00C11F61"/>
    <w:rsid w:val="00C161FD"/>
    <w:rsid w:val="00C23F17"/>
    <w:rsid w:val="00C268EE"/>
    <w:rsid w:val="00C26A95"/>
    <w:rsid w:val="00C26D0D"/>
    <w:rsid w:val="00C27C95"/>
    <w:rsid w:val="00C300D2"/>
    <w:rsid w:val="00C3270F"/>
    <w:rsid w:val="00C3278B"/>
    <w:rsid w:val="00C33375"/>
    <w:rsid w:val="00C34C23"/>
    <w:rsid w:val="00C36D1C"/>
    <w:rsid w:val="00C42005"/>
    <w:rsid w:val="00C437B9"/>
    <w:rsid w:val="00C44446"/>
    <w:rsid w:val="00C44964"/>
    <w:rsid w:val="00C4664D"/>
    <w:rsid w:val="00C46AA5"/>
    <w:rsid w:val="00C472AA"/>
    <w:rsid w:val="00C50A05"/>
    <w:rsid w:val="00C524D5"/>
    <w:rsid w:val="00C54AED"/>
    <w:rsid w:val="00C55B2F"/>
    <w:rsid w:val="00C56DD3"/>
    <w:rsid w:val="00C6005B"/>
    <w:rsid w:val="00C63D00"/>
    <w:rsid w:val="00C6441B"/>
    <w:rsid w:val="00C7108B"/>
    <w:rsid w:val="00C72427"/>
    <w:rsid w:val="00C72B38"/>
    <w:rsid w:val="00C7522D"/>
    <w:rsid w:val="00C75489"/>
    <w:rsid w:val="00C8089F"/>
    <w:rsid w:val="00C836CC"/>
    <w:rsid w:val="00C87A74"/>
    <w:rsid w:val="00C87E47"/>
    <w:rsid w:val="00C90A71"/>
    <w:rsid w:val="00C91574"/>
    <w:rsid w:val="00C91BC2"/>
    <w:rsid w:val="00C92C71"/>
    <w:rsid w:val="00C93C1A"/>
    <w:rsid w:val="00C93F8F"/>
    <w:rsid w:val="00C94BF2"/>
    <w:rsid w:val="00C968B3"/>
    <w:rsid w:val="00C9714C"/>
    <w:rsid w:val="00CA0690"/>
    <w:rsid w:val="00CA2745"/>
    <w:rsid w:val="00CA3593"/>
    <w:rsid w:val="00CA6B1F"/>
    <w:rsid w:val="00CA7C9F"/>
    <w:rsid w:val="00CA7F4F"/>
    <w:rsid w:val="00CB1327"/>
    <w:rsid w:val="00CB1C33"/>
    <w:rsid w:val="00CB258E"/>
    <w:rsid w:val="00CB3C8F"/>
    <w:rsid w:val="00CB68AA"/>
    <w:rsid w:val="00CB75CE"/>
    <w:rsid w:val="00CC02F1"/>
    <w:rsid w:val="00CC11A6"/>
    <w:rsid w:val="00CC135E"/>
    <w:rsid w:val="00CD1698"/>
    <w:rsid w:val="00CD5D3F"/>
    <w:rsid w:val="00CE2BE3"/>
    <w:rsid w:val="00CE6EDF"/>
    <w:rsid w:val="00CF1E90"/>
    <w:rsid w:val="00CF3DB3"/>
    <w:rsid w:val="00D00188"/>
    <w:rsid w:val="00D004C7"/>
    <w:rsid w:val="00D00B0C"/>
    <w:rsid w:val="00D052BC"/>
    <w:rsid w:val="00D05D92"/>
    <w:rsid w:val="00D07026"/>
    <w:rsid w:val="00D07BAB"/>
    <w:rsid w:val="00D11C62"/>
    <w:rsid w:val="00D14455"/>
    <w:rsid w:val="00D21812"/>
    <w:rsid w:val="00D21F40"/>
    <w:rsid w:val="00D22C8F"/>
    <w:rsid w:val="00D33491"/>
    <w:rsid w:val="00D337E9"/>
    <w:rsid w:val="00D41E07"/>
    <w:rsid w:val="00D42C81"/>
    <w:rsid w:val="00D42E0F"/>
    <w:rsid w:val="00D44F8E"/>
    <w:rsid w:val="00D44FD0"/>
    <w:rsid w:val="00D45862"/>
    <w:rsid w:val="00D5638F"/>
    <w:rsid w:val="00D5733C"/>
    <w:rsid w:val="00D607EF"/>
    <w:rsid w:val="00D60F88"/>
    <w:rsid w:val="00D625E7"/>
    <w:rsid w:val="00D646BD"/>
    <w:rsid w:val="00D651E9"/>
    <w:rsid w:val="00D70239"/>
    <w:rsid w:val="00D71201"/>
    <w:rsid w:val="00D720C7"/>
    <w:rsid w:val="00D754EC"/>
    <w:rsid w:val="00D758B6"/>
    <w:rsid w:val="00D77A04"/>
    <w:rsid w:val="00D81D06"/>
    <w:rsid w:val="00D85BE2"/>
    <w:rsid w:val="00D8652C"/>
    <w:rsid w:val="00D876E6"/>
    <w:rsid w:val="00D9321F"/>
    <w:rsid w:val="00D965ED"/>
    <w:rsid w:val="00D97B1F"/>
    <w:rsid w:val="00DA1025"/>
    <w:rsid w:val="00DA22EC"/>
    <w:rsid w:val="00DA33AD"/>
    <w:rsid w:val="00DA5860"/>
    <w:rsid w:val="00DA64C5"/>
    <w:rsid w:val="00DB2767"/>
    <w:rsid w:val="00DC0533"/>
    <w:rsid w:val="00DC08B3"/>
    <w:rsid w:val="00DC1330"/>
    <w:rsid w:val="00DC3400"/>
    <w:rsid w:val="00DC4729"/>
    <w:rsid w:val="00DC60E9"/>
    <w:rsid w:val="00DD5F45"/>
    <w:rsid w:val="00DE556F"/>
    <w:rsid w:val="00DE68C3"/>
    <w:rsid w:val="00DE6C4C"/>
    <w:rsid w:val="00DF4EDE"/>
    <w:rsid w:val="00E03B6D"/>
    <w:rsid w:val="00E04A0E"/>
    <w:rsid w:val="00E0649E"/>
    <w:rsid w:val="00E11B65"/>
    <w:rsid w:val="00E17160"/>
    <w:rsid w:val="00E211BF"/>
    <w:rsid w:val="00E24F14"/>
    <w:rsid w:val="00E26423"/>
    <w:rsid w:val="00E2770A"/>
    <w:rsid w:val="00E32C86"/>
    <w:rsid w:val="00E35BEC"/>
    <w:rsid w:val="00E50821"/>
    <w:rsid w:val="00E50EF8"/>
    <w:rsid w:val="00E51F91"/>
    <w:rsid w:val="00E55798"/>
    <w:rsid w:val="00E65264"/>
    <w:rsid w:val="00E676F7"/>
    <w:rsid w:val="00E7086E"/>
    <w:rsid w:val="00E70C52"/>
    <w:rsid w:val="00E7105B"/>
    <w:rsid w:val="00E7181D"/>
    <w:rsid w:val="00E72771"/>
    <w:rsid w:val="00E7374A"/>
    <w:rsid w:val="00E73C41"/>
    <w:rsid w:val="00E7598F"/>
    <w:rsid w:val="00E764D2"/>
    <w:rsid w:val="00E76F60"/>
    <w:rsid w:val="00E7740E"/>
    <w:rsid w:val="00E81D34"/>
    <w:rsid w:val="00E83D90"/>
    <w:rsid w:val="00E83F28"/>
    <w:rsid w:val="00E83F91"/>
    <w:rsid w:val="00E85FCF"/>
    <w:rsid w:val="00E9107A"/>
    <w:rsid w:val="00E91F62"/>
    <w:rsid w:val="00E929FD"/>
    <w:rsid w:val="00E93240"/>
    <w:rsid w:val="00E9479B"/>
    <w:rsid w:val="00EA28F1"/>
    <w:rsid w:val="00EA4D48"/>
    <w:rsid w:val="00EA70CC"/>
    <w:rsid w:val="00EA7101"/>
    <w:rsid w:val="00EB2173"/>
    <w:rsid w:val="00EB5D08"/>
    <w:rsid w:val="00EB62E6"/>
    <w:rsid w:val="00ED1B30"/>
    <w:rsid w:val="00ED250E"/>
    <w:rsid w:val="00ED5AD3"/>
    <w:rsid w:val="00ED6535"/>
    <w:rsid w:val="00ED7304"/>
    <w:rsid w:val="00EE1AC1"/>
    <w:rsid w:val="00EE39D6"/>
    <w:rsid w:val="00EE413C"/>
    <w:rsid w:val="00EE52AD"/>
    <w:rsid w:val="00EE5A6F"/>
    <w:rsid w:val="00EF2DEB"/>
    <w:rsid w:val="00EF642E"/>
    <w:rsid w:val="00F00BEC"/>
    <w:rsid w:val="00F01958"/>
    <w:rsid w:val="00F01F92"/>
    <w:rsid w:val="00F07977"/>
    <w:rsid w:val="00F0798D"/>
    <w:rsid w:val="00F10A08"/>
    <w:rsid w:val="00F139CF"/>
    <w:rsid w:val="00F14ED3"/>
    <w:rsid w:val="00F200B8"/>
    <w:rsid w:val="00F2195B"/>
    <w:rsid w:val="00F22AC5"/>
    <w:rsid w:val="00F254D1"/>
    <w:rsid w:val="00F32B82"/>
    <w:rsid w:val="00F3377E"/>
    <w:rsid w:val="00F3608C"/>
    <w:rsid w:val="00F371D5"/>
    <w:rsid w:val="00F4043E"/>
    <w:rsid w:val="00F40CB5"/>
    <w:rsid w:val="00F41B3F"/>
    <w:rsid w:val="00F41BBC"/>
    <w:rsid w:val="00F42B60"/>
    <w:rsid w:val="00F43B9D"/>
    <w:rsid w:val="00F444F0"/>
    <w:rsid w:val="00F47CC0"/>
    <w:rsid w:val="00F50847"/>
    <w:rsid w:val="00F53A09"/>
    <w:rsid w:val="00F53F27"/>
    <w:rsid w:val="00F546D1"/>
    <w:rsid w:val="00F562DE"/>
    <w:rsid w:val="00F6508B"/>
    <w:rsid w:val="00F6513F"/>
    <w:rsid w:val="00F66272"/>
    <w:rsid w:val="00F6ACA0"/>
    <w:rsid w:val="00F709C0"/>
    <w:rsid w:val="00F70F34"/>
    <w:rsid w:val="00F77A61"/>
    <w:rsid w:val="00F8610A"/>
    <w:rsid w:val="00F927A1"/>
    <w:rsid w:val="00F92E4D"/>
    <w:rsid w:val="00F94392"/>
    <w:rsid w:val="00F94937"/>
    <w:rsid w:val="00F95CCA"/>
    <w:rsid w:val="00FA344D"/>
    <w:rsid w:val="00FA3764"/>
    <w:rsid w:val="00FA3C01"/>
    <w:rsid w:val="00FA56ED"/>
    <w:rsid w:val="00FB5FA6"/>
    <w:rsid w:val="00FC1310"/>
    <w:rsid w:val="00FC1328"/>
    <w:rsid w:val="00FC2A0F"/>
    <w:rsid w:val="00FC2FF3"/>
    <w:rsid w:val="00FC3263"/>
    <w:rsid w:val="00FC51F9"/>
    <w:rsid w:val="00FC5B40"/>
    <w:rsid w:val="00FC5FF8"/>
    <w:rsid w:val="00FC702B"/>
    <w:rsid w:val="00FD10F3"/>
    <w:rsid w:val="00FD20DD"/>
    <w:rsid w:val="00FD3D7C"/>
    <w:rsid w:val="00FD4F8F"/>
    <w:rsid w:val="00FD4FF1"/>
    <w:rsid w:val="00FD572D"/>
    <w:rsid w:val="00FE0C16"/>
    <w:rsid w:val="00FE14AD"/>
    <w:rsid w:val="00FE14B1"/>
    <w:rsid w:val="00FE1F6A"/>
    <w:rsid w:val="00FE5CB8"/>
    <w:rsid w:val="00FF0070"/>
    <w:rsid w:val="00FF2AE5"/>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DE5DBD9-E361-43CF-B770-B146BEB7B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124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185646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1840587">
      <w:bodyDiv w:val="1"/>
      <w:marLeft w:val="0"/>
      <w:marRight w:val="0"/>
      <w:marTop w:val="0"/>
      <w:marBottom w:val="0"/>
      <w:divBdr>
        <w:top w:val="none" w:sz="0" w:space="0" w:color="auto"/>
        <w:left w:val="none" w:sz="0" w:space="0" w:color="auto"/>
        <w:bottom w:val="none" w:sz="0" w:space="0" w:color="auto"/>
        <w:right w:val="none" w:sz="0" w:space="0" w:color="auto"/>
      </w:divBdr>
    </w:div>
    <w:div w:id="1462729714">
      <w:bodyDiv w:val="1"/>
      <w:marLeft w:val="0"/>
      <w:marRight w:val="0"/>
      <w:marTop w:val="0"/>
      <w:marBottom w:val="0"/>
      <w:divBdr>
        <w:top w:val="none" w:sz="0" w:space="0" w:color="auto"/>
        <w:left w:val="none" w:sz="0" w:space="0" w:color="auto"/>
        <w:bottom w:val="none" w:sz="0" w:space="0" w:color="auto"/>
        <w:right w:val="none" w:sz="0" w:space="0" w:color="auto"/>
      </w:divBdr>
      <w:divsChild>
        <w:div w:id="1690638056">
          <w:marLeft w:val="0"/>
          <w:marRight w:val="0"/>
          <w:marTop w:val="0"/>
          <w:marBottom w:val="0"/>
          <w:divBdr>
            <w:top w:val="none" w:sz="0" w:space="0" w:color="auto"/>
            <w:left w:val="none" w:sz="0" w:space="0" w:color="auto"/>
            <w:bottom w:val="none" w:sz="0" w:space="0" w:color="auto"/>
            <w:right w:val="none" w:sz="0" w:space="0" w:color="auto"/>
          </w:divBdr>
          <w:divsChild>
            <w:div w:id="545412328">
              <w:marLeft w:val="0"/>
              <w:marRight w:val="0"/>
              <w:marTop w:val="0"/>
              <w:marBottom w:val="0"/>
              <w:divBdr>
                <w:top w:val="none" w:sz="0" w:space="0" w:color="auto"/>
                <w:left w:val="none" w:sz="0" w:space="0" w:color="auto"/>
                <w:bottom w:val="none" w:sz="0" w:space="0" w:color="auto"/>
                <w:right w:val="none" w:sz="0" w:space="0" w:color="auto"/>
              </w:divBdr>
              <w:divsChild>
                <w:div w:id="340813909">
                  <w:marLeft w:val="0"/>
                  <w:marRight w:val="0"/>
                  <w:marTop w:val="0"/>
                  <w:marBottom w:val="0"/>
                  <w:divBdr>
                    <w:top w:val="none" w:sz="0" w:space="0" w:color="auto"/>
                    <w:left w:val="none" w:sz="0" w:space="0" w:color="auto"/>
                    <w:bottom w:val="none" w:sz="0" w:space="0" w:color="auto"/>
                    <w:right w:val="none" w:sz="0" w:space="0" w:color="auto"/>
                  </w:divBdr>
                  <w:divsChild>
                    <w:div w:id="2058966960">
                      <w:marLeft w:val="0"/>
                      <w:marRight w:val="0"/>
                      <w:marTop w:val="0"/>
                      <w:marBottom w:val="0"/>
                      <w:divBdr>
                        <w:top w:val="none" w:sz="0" w:space="0" w:color="auto"/>
                        <w:left w:val="none" w:sz="0" w:space="0" w:color="auto"/>
                        <w:bottom w:val="none" w:sz="0" w:space="0" w:color="auto"/>
                        <w:right w:val="none" w:sz="0" w:space="0" w:color="auto"/>
                      </w:divBdr>
                      <w:divsChild>
                        <w:div w:id="183286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doi.org/10.1177/1524838016669518" TargetMode="External"/><Relationship Id="rId3" Type="http://schemas.openxmlformats.org/officeDocument/2006/relationships/customXml" Target="../customXml/item3.xml"/><Relationship Id="rId21" Type="http://schemas.openxmlformats.org/officeDocument/2006/relationships/hyperlink" Target="http://www.college.police.uk/app/major-investigation-and-public-protection/domestic-abuse/context-and-dynamics-domestic-abuse"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www.vkpp.org.uk/assets/Files/NVAP-with-Interim-Measures-2023.pdf" TargetMode="External"/><Relationship Id="rId33" Type="http://schemas.openxmlformats.org/officeDocument/2006/relationships/hyperlink" Target="https://doi.org/10.1093/bjc/43.1.196"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doi.org/10.1177/0032258X23115980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ethics/code-of-ethics/principles" TargetMode="External"/><Relationship Id="rId32" Type="http://schemas.openxmlformats.org/officeDocument/2006/relationships/hyperlink" Target="https://doi.org/10.1177/0269758020902890"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www.college.police.uk/app/major-investigation-and-public-protection/domestic-abuse/understanding-risk-and-vulnerability-context-domestic-abuse" TargetMode="External"/><Relationship Id="rId28" Type="http://schemas.openxmlformats.org/officeDocument/2006/relationships/hyperlink" Target="https://doi.org/10.1016/j.bpobgyn.2012.08.010"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doi.org/10.1002/car.239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www.college.police.uk/app/investigation/investigation-process" TargetMode="External"/><Relationship Id="rId27" Type="http://schemas.openxmlformats.org/officeDocument/2006/relationships/hyperlink" Target="https://doi.org/10.1177/02654075221106237" TargetMode="External"/><Relationship Id="rId30" Type="http://schemas.openxmlformats.org/officeDocument/2006/relationships/hyperlink" Target="http://www.lucyfaithfull.org.uk/files/Strategic_plan_2020-25_Feb2024.pd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5227</TotalTime>
  <Pages>22</Pages>
  <Words>6031</Words>
  <Characters>34380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Rooke,Elisha swp8683</cp:lastModifiedBy>
  <cp:revision>98</cp:revision>
  <cp:lastPrinted>2014-08-26T08:55:00Z</cp:lastPrinted>
  <dcterms:created xsi:type="dcterms:W3CDTF">2024-05-14T14:12:00Z</dcterms:created>
  <dcterms:modified xsi:type="dcterms:W3CDTF">2024-10-24T19:44:00Z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