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1F20" w:rsidRDefault="00D60CF8">
      <w:pPr>
        <w:rPr>
          <w:b/>
          <w:u w:val="single"/>
        </w:rPr>
      </w:pPr>
      <w:r>
        <w:rPr>
          <w:b/>
          <w:u w:val="single"/>
        </w:rPr>
        <w:t xml:space="preserve">4: </w:t>
      </w:r>
      <w:r w:rsidRPr="00D60CF8">
        <w:rPr>
          <w:b/>
          <w:u w:val="single"/>
        </w:rPr>
        <w:t>How does the presentation of Persian women support Herodotus’ overall presentation of Persia?</w:t>
      </w:r>
    </w:p>
    <w:p w:rsidR="00350CAF" w:rsidRDefault="00301B23" w:rsidP="00350CAF">
      <w:r>
        <w:t>T</w:t>
      </w:r>
      <w:r w:rsidR="00350CAF">
        <w:t xml:space="preserve">he significance of Herodotus’ portrayal of Non-Greek and Greek women is iconic due to the nature of his works and the stance of a Non-Greek </w:t>
      </w:r>
      <w:r w:rsidR="00350CAF" w:rsidRPr="001E2FA7">
        <w:t>that brings an outsiders perspective</w:t>
      </w:r>
      <w:r w:rsidR="007C519C">
        <w:t xml:space="preserve">  to both Greece and Persia</w:t>
      </w:r>
      <w:r w:rsidR="00350CAF">
        <w:rPr>
          <w:rStyle w:val="FootnoteReference"/>
        </w:rPr>
        <w:footnoteReference w:id="1"/>
      </w:r>
      <w:r w:rsidR="00350CAF">
        <w:t xml:space="preserve"> </w:t>
      </w:r>
      <w:r w:rsidR="007C519C">
        <w:t>that presents</w:t>
      </w:r>
      <w:r w:rsidR="00350CAF">
        <w:t xml:space="preserve"> events in a non-bias perspective,</w:t>
      </w:r>
      <w:r w:rsidR="00350CAF">
        <w:rPr>
          <w:rStyle w:val="FootnoteReference"/>
        </w:rPr>
        <w:footnoteReference w:id="2"/>
      </w:r>
      <w:r w:rsidR="00350CAF">
        <w:t xml:space="preserve"> or at least not anti-Persian in sentiment.</w:t>
      </w:r>
      <w:r w:rsidR="00350CAF">
        <w:rPr>
          <w:rStyle w:val="FootnoteReference"/>
        </w:rPr>
        <w:footnoteReference w:id="3"/>
      </w:r>
      <w:r>
        <w:t xml:space="preserve"> This is due to Herodotus being born of Halicarnassus, on the fringes of the Greek World yet under the influence of the </w:t>
      </w:r>
      <w:proofErr w:type="spellStart"/>
      <w:r>
        <w:t>Lydians</w:t>
      </w:r>
      <w:proofErr w:type="spellEnd"/>
      <w:r>
        <w:t>, and the Persian empire.</w:t>
      </w:r>
      <w:r>
        <w:rPr>
          <w:rStyle w:val="FootnoteReference"/>
        </w:rPr>
        <w:footnoteReference w:id="4"/>
      </w:r>
      <w:r>
        <w:t xml:space="preserve"> Through his works we can see the attempt to characterize the sentiments of Greek and Non-Greek views of sexuality and masculinity through the sexual h</w:t>
      </w:r>
      <w:r w:rsidR="007A3C0F">
        <w:t>abits and actions of women.</w:t>
      </w:r>
      <w:r w:rsidR="00EE3D28">
        <w:t xml:space="preserve"> Evidence for this is throughout, however we will address the various queens and queen regents within Persia and her surrounding satraps, this is especially outlined in the case of Xerxes’ Wife, </w:t>
      </w:r>
      <w:r w:rsidR="00FF63FD">
        <w:t>Cambyses</w:t>
      </w:r>
      <w:r w:rsidR="00EE3D28">
        <w:t xml:space="preserve">’ Wife, and the Lydian example of </w:t>
      </w:r>
      <w:proofErr w:type="spellStart"/>
      <w:r w:rsidR="00EE3D28">
        <w:t>Candaules</w:t>
      </w:r>
      <w:proofErr w:type="spellEnd"/>
      <w:r w:rsidR="00EE3D28">
        <w:t xml:space="preserve">’ wife. </w:t>
      </w:r>
      <w:r w:rsidR="007A3C0F">
        <w:rPr>
          <w:rStyle w:val="FootnoteReference"/>
        </w:rPr>
        <w:footnoteReference w:id="5"/>
      </w:r>
      <w:r w:rsidR="007A3C0F">
        <w:t xml:space="preserve"> </w:t>
      </w:r>
    </w:p>
    <w:p w:rsidR="00116CAB" w:rsidRDefault="00D41CA8">
      <w:r>
        <w:t>Women within Herodotus are given a more salient</w:t>
      </w:r>
      <w:r>
        <w:rPr>
          <w:rStyle w:val="FootnoteReference"/>
        </w:rPr>
        <w:footnoteReference w:id="6"/>
      </w:r>
      <w:r>
        <w:t xml:space="preserve"> role in conjunction to politics and events unfolding around them and partake in all aspects of life within the Histories in the form of ruling of a kingdom, nurturing heirs, decision making, contacting oracles, errands, victims or perpetrators of lust or revenge</w:t>
      </w:r>
      <w:r w:rsidR="00A04818">
        <w:rPr>
          <w:rStyle w:val="FootnoteReference"/>
        </w:rPr>
        <w:footnoteReference w:id="7"/>
      </w:r>
      <w:r>
        <w:t xml:space="preserve">. Although they take part, their role is not as large as the menfolk within the tales and often playing a more minor role yet still being present. </w:t>
      </w:r>
      <w:r w:rsidR="0080020F">
        <w:t xml:space="preserve">They are visible in the world presented by Herodotus’ Histories and have gravitas in order to shape events in the narrative in juxtaposition to elsewhere in Greek literature. </w:t>
      </w:r>
    </w:p>
    <w:p w:rsidR="00D41CA8" w:rsidRDefault="0080020F">
      <w:r>
        <w:t>This is shown in particular to the perception of Non-Greek women in Herodotus’ narrative and the participation of women throughout his works</w:t>
      </w:r>
      <w:r>
        <w:rPr>
          <w:rStyle w:val="FootnoteReference"/>
        </w:rPr>
        <w:footnoteReference w:id="8"/>
      </w:r>
      <w:r>
        <w:t xml:space="preserve">. </w:t>
      </w:r>
      <w:r w:rsidR="007B27A7" w:rsidRPr="001E2FA7">
        <w:t>It can be argued that the representation of women indicate</w:t>
      </w:r>
      <w:r w:rsidR="00B10C69" w:rsidRPr="001E2FA7">
        <w:t>s</w:t>
      </w:r>
      <w:r w:rsidR="007B27A7" w:rsidRPr="001E2FA7">
        <w:t xml:space="preserve"> normality of a peoples through their actions, thus giving comparison </w:t>
      </w:r>
      <w:r w:rsidR="00C43EF1" w:rsidRPr="001E2FA7">
        <w:t>between</w:t>
      </w:r>
      <w:r w:rsidR="007B27A7" w:rsidRPr="001E2FA7">
        <w:t xml:space="preserve"> Greeks and Non-Greeks.</w:t>
      </w:r>
      <w:r w:rsidR="007B27A7">
        <w:t xml:space="preserve"> This is shown in the anecdote of </w:t>
      </w:r>
      <w:proofErr w:type="spellStart"/>
      <w:r w:rsidR="007B27A7">
        <w:t>Cyno</w:t>
      </w:r>
      <w:proofErr w:type="spellEnd"/>
      <w:r w:rsidR="007B27A7">
        <w:t>, a mere servant woman, whom saves the child Cyrus from his grandfather (1.110-13), through this we can see the actions of women stopping moral transgressions of man and a wider look at the society itself through these actions</w:t>
      </w:r>
      <w:r w:rsidR="004C40C1">
        <w:rPr>
          <w:rStyle w:val="FootnoteReference"/>
        </w:rPr>
        <w:footnoteReference w:id="9"/>
      </w:r>
      <w:r w:rsidR="007B27A7">
        <w:t xml:space="preserve">. </w:t>
      </w:r>
      <w:r w:rsidR="008600AD">
        <w:t xml:space="preserve"> We </w:t>
      </w:r>
      <w:r w:rsidR="00896D2C">
        <w:t xml:space="preserve">also </w:t>
      </w:r>
      <w:r w:rsidR="008600AD">
        <w:t xml:space="preserve">see the opposite of this through destructive behaviour in women, in the example of </w:t>
      </w:r>
      <w:proofErr w:type="spellStart"/>
      <w:r w:rsidR="008600AD">
        <w:t>Pheretime</w:t>
      </w:r>
      <w:proofErr w:type="spellEnd"/>
      <w:r w:rsidR="008600AD">
        <w:t xml:space="preserve"> and the murder Cyrene and </w:t>
      </w:r>
      <w:proofErr w:type="spellStart"/>
      <w:r w:rsidR="008600AD">
        <w:t>Barce</w:t>
      </w:r>
      <w:proofErr w:type="spellEnd"/>
      <w:r w:rsidR="008600AD">
        <w:t xml:space="preserve"> (4.160-162, 202-205) whereupon we see the unstable and unpredictable nature of power within Persia’s queens</w:t>
      </w:r>
      <w:r w:rsidR="00116CAB">
        <w:t>- This is argued to be used to define the role of males in society via the opposition of females.</w:t>
      </w:r>
      <w:r w:rsidR="00116CAB">
        <w:rPr>
          <w:rStyle w:val="FootnoteReference"/>
        </w:rPr>
        <w:footnoteReference w:id="10"/>
      </w:r>
      <w:r w:rsidR="004C40C1">
        <w:t xml:space="preserve"> These two examples show the use of women as an agency through narrative but also the wider implications of individual actions within Herodotus’ Histories.</w:t>
      </w:r>
      <w:r w:rsidR="008600AD">
        <w:t xml:space="preserve"> </w:t>
      </w:r>
      <w:r w:rsidR="00355692">
        <w:t>The question of narrative v</w:t>
      </w:r>
      <w:r w:rsidR="00896D2C">
        <w:t>ersu</w:t>
      </w:r>
      <w:r w:rsidR="00355692">
        <w:t>s historical fact also comes into play with this discussion, as to whether we can draw wider social implications through women as an indicator to presentation of a society in Herodotus.</w:t>
      </w:r>
    </w:p>
    <w:p w:rsidR="001C2FEE" w:rsidRDefault="00923FF7">
      <w:r>
        <w:t xml:space="preserve">Another example of Non-Greek women would be in the tale of </w:t>
      </w:r>
      <w:proofErr w:type="spellStart"/>
      <w:r>
        <w:t>Candaules</w:t>
      </w:r>
      <w:proofErr w:type="spellEnd"/>
      <w:r>
        <w:t>, the King of Sardis. Much like in the narratives</w:t>
      </w:r>
      <w:r w:rsidR="00F22B62">
        <w:t xml:space="preserve"> </w:t>
      </w:r>
      <w:r>
        <w:t>of Persian women we see another repetition of the reflection of women juxtaposing men in Non-Greek societies to gain insight on their customs and culture.</w:t>
      </w:r>
      <w:r w:rsidR="00F22B62">
        <w:rPr>
          <w:rStyle w:val="FootnoteReference"/>
        </w:rPr>
        <w:footnoteReference w:id="11"/>
      </w:r>
      <w:r>
        <w:t xml:space="preserve"> </w:t>
      </w:r>
      <w:proofErr w:type="spellStart"/>
      <w:r>
        <w:t>Candaules</w:t>
      </w:r>
      <w:proofErr w:type="spellEnd"/>
      <w:r>
        <w:t xml:space="preserve"> </w:t>
      </w:r>
      <w:r>
        <w:lastRenderedPageBreak/>
        <w:t>was enamoured with his wife and thus forces his Bodyguard to see her naked, which</w:t>
      </w:r>
      <w:r w:rsidR="00F22B62">
        <w:t xml:space="preserve"> </w:t>
      </w:r>
      <w:r>
        <w:t xml:space="preserve">is a social taboo. His wife finds out and forces the ultimatum of either the Bodyguard killing himself or killing his King, gaining her hand in marriage and the kingdom of Lydia (1.7-1.12). </w:t>
      </w:r>
      <w:r w:rsidR="0079204B">
        <w:t xml:space="preserve">This highlights the effeminate role in which </w:t>
      </w:r>
      <w:proofErr w:type="spellStart"/>
      <w:r w:rsidR="0079204B">
        <w:t>Candaules</w:t>
      </w:r>
      <w:proofErr w:type="spellEnd"/>
      <w:r w:rsidR="0079204B">
        <w:t xml:space="preserve"> plays and the more masculine role of his Queen in making such a decision which would change the fate of the entire kingdom in result.</w:t>
      </w:r>
      <w:r w:rsidR="0079204B">
        <w:rPr>
          <w:rStyle w:val="FootnoteReference"/>
        </w:rPr>
        <w:footnoteReference w:id="12"/>
      </w:r>
      <w:r w:rsidR="00F22B62">
        <w:t xml:space="preserve"> </w:t>
      </w:r>
    </w:p>
    <w:p w:rsidR="007A3C0F" w:rsidRDefault="00F22B62">
      <w:r>
        <w:t xml:space="preserve">This characteristic </w:t>
      </w:r>
      <w:proofErr w:type="spellStart"/>
      <w:r>
        <w:t>Candaules</w:t>
      </w:r>
      <w:proofErr w:type="spellEnd"/>
      <w:r>
        <w:t xml:space="preserve"> did not possess and his wife did, thus showing us a wider perspective on how the society of Lydia was viewed, which was effeminate towards the Persian rule, and suggests that this transgression on </w:t>
      </w:r>
      <w:proofErr w:type="spellStart"/>
      <w:r>
        <w:t>Candaules</w:t>
      </w:r>
      <w:proofErr w:type="spellEnd"/>
      <w:r>
        <w:t>’ part is the causation for the unmanliness of males in Lydian society according to Herodotus.</w:t>
      </w:r>
      <w:r>
        <w:rPr>
          <w:rStyle w:val="FootnoteReference"/>
        </w:rPr>
        <w:footnoteReference w:id="13"/>
      </w:r>
      <w:r w:rsidR="0042059E">
        <w:t xml:space="preserve"> From this we can see a comparison between Non-Greek portrayal of women in powerful roles, the </w:t>
      </w:r>
      <w:proofErr w:type="spellStart"/>
      <w:r w:rsidR="0042059E">
        <w:t>Lydians</w:t>
      </w:r>
      <w:proofErr w:type="spellEnd"/>
      <w:r w:rsidR="0042059E">
        <w:t xml:space="preserve"> much like the Persians fall victim to this play on narrative in order to explain the apparent ‘shortcomings’ of their societies in contrast to the Greek expectations of womanly conduct.</w:t>
      </w:r>
      <w:r w:rsidR="00900B3D">
        <w:t xml:space="preserve"> This begs the question whether or not the depiction of these women can be trusted to provide insight towards the wider societies in which the narrative takes place, or whether it is simply a literary device employed in order to challenge Athenian belief systems of their own patriarchal society. </w:t>
      </w:r>
    </w:p>
    <w:p w:rsidR="001C2FEE" w:rsidRDefault="007A1955">
      <w:r>
        <w:t xml:space="preserve">This could be why Herodotus mentions many women in his account of Persia in his works, from women like Artemisia, </w:t>
      </w:r>
      <w:proofErr w:type="spellStart"/>
      <w:r>
        <w:t>Pheremine</w:t>
      </w:r>
      <w:proofErr w:type="spellEnd"/>
      <w:r>
        <w:t>, and Mania we see women in positions of power although directly under male Persian rulers as they are satraps</w:t>
      </w:r>
      <w:r>
        <w:rPr>
          <w:rStyle w:val="FootnoteReference"/>
        </w:rPr>
        <w:footnoteReference w:id="14"/>
      </w:r>
      <w:r>
        <w:t>. These women tend to be masculinized due to the Athenians perception that power is meant for men, we see evidence of women also being allowed to act as generals in battle on the fringes of the Greek World however not in the Athenian’s mind frame</w:t>
      </w:r>
      <w:r w:rsidR="00E53DCC">
        <w:t>.</w:t>
      </w:r>
      <w:r>
        <w:rPr>
          <w:rStyle w:val="FootnoteReference"/>
        </w:rPr>
        <w:footnoteReference w:id="15"/>
      </w:r>
      <w:r w:rsidR="00E53DCC">
        <w:t xml:space="preserve"> </w:t>
      </w:r>
    </w:p>
    <w:p w:rsidR="00FF63FD" w:rsidRDefault="00FF63FD">
      <w:r>
        <w:t>Similarly, in the narrative of Cambyses’ Madness, in this example we follow the story of Cambyses, whom married both of his sisters due to lust, then murdered his brother out of paranoia. After this, his sister remarks upon the murder and Cambyses then murders her, along with the unborn heir inside her womb (3.31.3.33).  This is an example of Herodotus using the narrative of a woman by giving an opposing and more sensible political view than her husband, showing another example of the masculine trait for politics and caution that Cambyses himself lacks</w:t>
      </w:r>
      <w:r>
        <w:rPr>
          <w:rStyle w:val="FootnoteReference"/>
        </w:rPr>
        <w:footnoteReference w:id="16"/>
      </w:r>
      <w:r>
        <w:t xml:space="preserve">. This seems to be a foreshadowing event of </w:t>
      </w:r>
      <w:r w:rsidR="00CD4AAA">
        <w:t>further events in the book within Persia, especially similar to Xerxes himself and the accumulation of events leading up to his fall.</w:t>
      </w:r>
    </w:p>
    <w:p w:rsidR="007A1955" w:rsidRDefault="00E53DCC">
      <w:r>
        <w:t xml:space="preserve">We </w:t>
      </w:r>
      <w:r w:rsidR="00CD4AAA">
        <w:t xml:space="preserve">also </w:t>
      </w:r>
      <w:r>
        <w:t xml:space="preserve">see this in the narrative of </w:t>
      </w:r>
      <w:proofErr w:type="spellStart"/>
      <w:r>
        <w:t>Artaynte</w:t>
      </w:r>
      <w:proofErr w:type="spellEnd"/>
      <w:r>
        <w:t xml:space="preserve"> and Xerxes (9.109-112). Xerxes found himself lusting for </w:t>
      </w:r>
      <w:proofErr w:type="spellStart"/>
      <w:r>
        <w:t>Artaynte’s</w:t>
      </w:r>
      <w:proofErr w:type="spellEnd"/>
      <w:r>
        <w:t xml:space="preserve"> mother then settled for sexual promiscuity with </w:t>
      </w:r>
      <w:proofErr w:type="spellStart"/>
      <w:r>
        <w:t>Artayne</w:t>
      </w:r>
      <w:proofErr w:type="spellEnd"/>
      <w:r>
        <w:t xml:space="preserve"> instead having fallen in lust with her.  Xerxes offered her a gift of anything she wanted and she asked for a shawl woven by his wife. He knew his wife would find out about the affair if she took this gift and instead offered her gold, lands, even the armies of Persia instead. </w:t>
      </w:r>
      <w:r w:rsidR="00E96D59">
        <w:t>This shows evidence of women obtaining a role as an elite in Persian society, this notion was unheard of upon the Greek mainland but sometimes occurred in Asia Minor on the fringes of the Greek World. This highlights the differences between the two cultures and gives us insight into Persian hierarchy and their roles for gender as more liberal.</w:t>
      </w:r>
      <w:r w:rsidR="00E96D59">
        <w:rPr>
          <w:rStyle w:val="FootnoteReference"/>
        </w:rPr>
        <w:footnoteReference w:id="17"/>
      </w:r>
      <w:r w:rsidR="00E96D59">
        <w:t xml:space="preserve"> </w:t>
      </w:r>
    </w:p>
    <w:p w:rsidR="00C44A51" w:rsidRDefault="00E96D59">
      <w:r>
        <w:t xml:space="preserve">However, the latter end of the tale ends with Xerxes handing over the shawl, being powerless to deny her request. This ends up angering Xerxes’ wife, she in return demands a gift and asks for </w:t>
      </w:r>
      <w:proofErr w:type="spellStart"/>
      <w:r>
        <w:lastRenderedPageBreak/>
        <w:t>Artaynte’s</w:t>
      </w:r>
      <w:proofErr w:type="spellEnd"/>
      <w:r>
        <w:t xml:space="preserve"> mother in return whereupon she exacts her revenge by mutilating her. This shows Xerxes in a more effeminate role, being a powerless leader without the strength to refuse either women.</w:t>
      </w:r>
      <w:r w:rsidR="004E40D3">
        <w:rPr>
          <w:rStyle w:val="FootnoteReference"/>
        </w:rPr>
        <w:footnoteReference w:id="18"/>
      </w:r>
      <w:r>
        <w:t xml:space="preserve"> </w:t>
      </w:r>
      <w:r w:rsidR="002307DE">
        <w:t xml:space="preserve">Or, in opposition towards this view there is also the theory that </w:t>
      </w:r>
      <w:proofErr w:type="spellStart"/>
      <w:r w:rsidR="002307DE">
        <w:t>non-greek</w:t>
      </w:r>
      <w:proofErr w:type="spellEnd"/>
      <w:r w:rsidR="002307DE">
        <w:t xml:space="preserve"> barbarians are the same in their regard for revenge and lust and thus reflecting upon the society as a whole from these anecdotal transgressions.</w:t>
      </w:r>
      <w:r w:rsidR="002307DE">
        <w:rPr>
          <w:rStyle w:val="FootnoteReference"/>
        </w:rPr>
        <w:footnoteReference w:id="19"/>
      </w:r>
      <w:r>
        <w:t xml:space="preserve">This is possibly a use of narrative to highlight the lack of worth of Persians, or a warning to the dangers of allowing more liberal gender roles within a society that directly juxtapose the Greeks. </w:t>
      </w:r>
      <w:r w:rsidR="00C44A51">
        <w:t xml:space="preserve"> </w:t>
      </w:r>
    </w:p>
    <w:p w:rsidR="00E96D59" w:rsidRDefault="00C44A51">
      <w:r>
        <w:t>How and Wells argues against this, suggesting that due to Herodotus’ origins he is more pragmatic and less bias in his views towards Persians and therefore less likely to have negative undercurrents in his narrative</w:t>
      </w:r>
      <w:r>
        <w:rPr>
          <w:rStyle w:val="FootnoteReference"/>
        </w:rPr>
        <w:footnoteReference w:id="20"/>
      </w:r>
      <w:r>
        <w:t xml:space="preserve">, a point that Tank agrees with in her works. </w:t>
      </w:r>
      <w:r>
        <w:rPr>
          <w:rStyle w:val="FootnoteReference"/>
        </w:rPr>
        <w:footnoteReference w:id="21"/>
      </w:r>
      <w:r>
        <w:t xml:space="preserve"> So whether this is a purposefully written ploy to disregard Persian society or not is put into question and whether the narrative device that Herodotus employs is prevalent in his representation of gender roles is put into question. </w:t>
      </w:r>
      <w:r w:rsidR="00B03419">
        <w:t>Fehling states that Herodotus has a tendency to employ his own views upon his historical sources or even making up his sources in order to impose ‘lie literature’ in his techniques</w:t>
      </w:r>
      <w:r w:rsidR="00B03419">
        <w:rPr>
          <w:rStyle w:val="FootnoteReference"/>
        </w:rPr>
        <w:footnoteReference w:id="22"/>
      </w:r>
      <w:r w:rsidR="00B03419">
        <w:t>, so it would be prudent to take the narrative implications behind each digression with scrutiny.</w:t>
      </w:r>
    </w:p>
    <w:p w:rsidR="007A200D" w:rsidRDefault="007A200D">
      <w:r>
        <w:t xml:space="preserve">From the same narrative we also get a sense of customs and traditions implied in the Persian empire and the custom of gift-giving, due to the fact Xerxes could not refuse to hand over </w:t>
      </w:r>
      <w:proofErr w:type="spellStart"/>
      <w:r>
        <w:t>Artaynte’s</w:t>
      </w:r>
      <w:proofErr w:type="spellEnd"/>
      <w:r>
        <w:t xml:space="preserve"> mother, implying not even a king or queen can oppose certain customs of the land. Thus, through the story of women, sexual transgression, and revenge we get a sense of the wider social taboos and laws of the land. From this transgression alone we learn of gift giving, customs, power of kings, and queens, and also the supposedly equal standing of genders and their roles and power. As well as both genders capacity to exact revenge and experience lust.  </w:t>
      </w:r>
      <w:r w:rsidR="007F6C80">
        <w:t>Therefore,</w:t>
      </w:r>
      <w:r>
        <w:t xml:space="preserve"> despite the ramifications of the tale it does give some insight into the barbarian Non-Greek so</w:t>
      </w:r>
      <w:r w:rsidR="00D32B65">
        <w:t>ciety for the Athenian audience, letting them see the contrasting indicative norms parallel to their own society.</w:t>
      </w:r>
      <w:r w:rsidR="00D32B65">
        <w:rPr>
          <w:rStyle w:val="FootnoteReference"/>
        </w:rPr>
        <w:footnoteReference w:id="23"/>
      </w:r>
    </w:p>
    <w:p w:rsidR="00D32B65" w:rsidRDefault="00D32B65"/>
    <w:p w:rsidR="00D32B65" w:rsidRDefault="00D32B65">
      <w:r>
        <w:t>In conclusion, in these anecdotes we can conclude that women did have the ability to wield power within Persian society to an extent, and the ramifications this caused their male counterparts, but this can be argued to instead be the power of the royal families, not the women themselves.</w:t>
      </w:r>
      <w:r>
        <w:rPr>
          <w:rStyle w:val="FootnoteReference"/>
        </w:rPr>
        <w:footnoteReference w:id="24"/>
      </w:r>
      <w:r w:rsidR="00187490">
        <w:t xml:space="preserve"> From the transgressions of </w:t>
      </w:r>
      <w:proofErr w:type="spellStart"/>
      <w:r w:rsidR="00187490">
        <w:t>Candaules</w:t>
      </w:r>
      <w:proofErr w:type="spellEnd"/>
      <w:r w:rsidR="00187490">
        <w:t xml:space="preserve"> we can also see another view on </w:t>
      </w:r>
      <w:proofErr w:type="spellStart"/>
      <w:r w:rsidR="00187490">
        <w:t>Lydians</w:t>
      </w:r>
      <w:proofErr w:type="spellEnd"/>
      <w:r w:rsidR="00187490">
        <w:t xml:space="preserve"> and their women, how they act, and the wider implication that has on how their society is viewed due to the sway of women in their ethnography and how this can be held as comparison to the women of Persia to how the Herodotus used women as an agency of normality and masculinity of a society. From the example of </w:t>
      </w:r>
      <w:proofErr w:type="spellStart"/>
      <w:r w:rsidR="00187490">
        <w:t>Candaules</w:t>
      </w:r>
      <w:proofErr w:type="spellEnd"/>
      <w:r w:rsidR="00187490">
        <w:t xml:space="preserve"> we also see the blending of societies within Asia Minor and their role in being on the fringes of the Greek World, as opposed to the Persian empire, as Lydia being on the Ionian coast had a certain hybridity of identity between the two</w:t>
      </w:r>
      <w:r w:rsidR="00BA3E70">
        <w:rPr>
          <w:rStyle w:val="FootnoteReference"/>
        </w:rPr>
        <w:footnoteReference w:id="25"/>
      </w:r>
      <w:r w:rsidR="00187490">
        <w:t>.</w:t>
      </w:r>
      <w:r w:rsidR="00BA3E70">
        <w:t xml:space="preserve"> Herodotus allows women to take the stage as actors in his narrative to counterbalance the roles of males, mostly the women seem to have some ulterior motive or goal in mind in his narrative, this is more evident in the Queens and </w:t>
      </w:r>
      <w:r w:rsidR="00BA3E70">
        <w:lastRenderedPageBreak/>
        <w:t>Queen-Regents as shown in the passages mentioned above</w:t>
      </w:r>
      <w:r w:rsidR="00C16631">
        <w:t>, they seem to highlight Persian insufficiencies and switch the gender role</w:t>
      </w:r>
      <w:r w:rsidR="001B326B">
        <w:t xml:space="preserve">s that occur in mainland Greece. </w:t>
      </w:r>
    </w:p>
    <w:p w:rsidR="00D32B65" w:rsidRDefault="006E3910">
      <w:r>
        <w:t>To view a society as a whole you need to observe the customs and relations with both man and women to highlight the intricacies in the society as a whole, thus Herodotus’ use of woman in his anecdotes, he mentions women 245 times</w:t>
      </w:r>
      <w:r>
        <w:rPr>
          <w:rStyle w:val="FootnoteReference"/>
        </w:rPr>
        <w:footnoteReference w:id="26"/>
      </w:r>
      <w:r>
        <w:t xml:space="preserve"> in total to give evidence to this fact, not just Queens and Rulers, but also nurses, bakers, and other roles. Herodotus does not criticise exchanges between genders more the roles they play, even if exotic to Greek thinking. He simply seems to convey that both genders are needed to convey societies intricacies over time, and that most societies do have gender roles to some degree. He does criticise in Persia however, when reciprocity is lost due to husbands treating wives badly, or as property</w:t>
      </w:r>
      <w:r w:rsidR="00AC142D">
        <w:t>. However, despite this apparent lack of disparity between the genders with</w:t>
      </w:r>
      <w:r w:rsidR="004E5193">
        <w:t xml:space="preserve"> the words “Xerxes’ wife” or “</w:t>
      </w:r>
      <w:proofErr w:type="spellStart"/>
      <w:r w:rsidR="004E5193">
        <w:t>Candaules</w:t>
      </w:r>
      <w:proofErr w:type="spellEnd"/>
      <w:r w:rsidR="004E5193">
        <w:t>’ Wife” or merely ‘servants’ when referring to lower-class women</w:t>
      </w:r>
      <w:r w:rsidR="004E5193">
        <w:rPr>
          <w:rStyle w:val="FootnoteReference"/>
        </w:rPr>
        <w:footnoteReference w:id="27"/>
      </w:r>
      <w:r w:rsidR="004E5193">
        <w:t>.</w:t>
      </w:r>
      <w:r w:rsidR="000D4135">
        <w:t xml:space="preserve"> The enlightened view of women in power within the fringes of the Greek world and Persia there is still the reluctance to give them identity, which implies they are either unimportant, seen mainly as ‘daughter’ or ‘wife’ in title, or even property. Herodotus’ lack of naming could be due to the patriarchal nature of his Greek audience, or simply by the ‘male-gaze’ of Ancient Historians.</w:t>
      </w:r>
      <w:r w:rsidR="00157C91">
        <w:t xml:space="preserve"> This leads one to conclude that although he did include women to give insight to all aspects of society, they were not deemed important enough to sustain their own self-identity and perhaps do not give the same insight into Persia as a whole as what we thought.</w:t>
      </w:r>
    </w:p>
    <w:p w:rsidR="007675A0" w:rsidRDefault="007675A0"/>
    <w:p w:rsidR="007675A0" w:rsidRDefault="007675A0"/>
    <w:p w:rsidR="007675A0" w:rsidRDefault="007675A0">
      <w:pPr>
        <w:rPr>
          <w:b/>
          <w:u w:val="single"/>
        </w:rPr>
      </w:pPr>
      <w:r w:rsidRPr="007675A0">
        <w:rPr>
          <w:b/>
          <w:u w:val="single"/>
        </w:rPr>
        <w:t>BIBLOGRAPHY:</w:t>
      </w:r>
    </w:p>
    <w:p w:rsidR="00C60B15" w:rsidRPr="00C60B15" w:rsidRDefault="00C60B15">
      <w:r>
        <w:t>Herodotus, The Histories. R. Waterfield (trans.). (1998). Oxford University Press. (</w:t>
      </w:r>
      <w:proofErr w:type="spellStart"/>
      <w:r>
        <w:t>Ofxord</w:t>
      </w:r>
      <w:proofErr w:type="spellEnd"/>
      <w:r>
        <w:t>).</w:t>
      </w:r>
    </w:p>
    <w:p w:rsidR="009B22FA" w:rsidRDefault="009B22FA">
      <w:r>
        <w:t>J Blok, J Bakker, J Egbert. (2012). Women in Herodotus’ Histories. Brill’s Companion to Herodotus. Brill Publishing Ltd. Pp 225-242.</w:t>
      </w:r>
    </w:p>
    <w:p w:rsidR="0067370D" w:rsidRDefault="0067370D" w:rsidP="0067370D">
      <w:pPr>
        <w:shd w:val="clear" w:color="auto" w:fill="FFFFFF"/>
        <w:rPr>
          <w:rFonts w:ascii="Calibri" w:eastAsia="Times New Roman" w:hAnsi="Calibri" w:cs="Calibri"/>
          <w:color w:val="000000"/>
          <w:lang w:eastAsia="en-GB"/>
        </w:rPr>
      </w:pPr>
      <w:r w:rsidRPr="0067370D">
        <w:rPr>
          <w:rFonts w:cstheme="minorHAnsi"/>
          <w:color w:val="000000"/>
          <w:shd w:val="clear" w:color="auto" w:fill="FFFFFF"/>
        </w:rPr>
        <w:t xml:space="preserve">C </w:t>
      </w:r>
      <w:proofErr w:type="spellStart"/>
      <w:r w:rsidRPr="0067370D">
        <w:rPr>
          <w:rFonts w:cstheme="minorHAnsi"/>
          <w:color w:val="000000"/>
          <w:shd w:val="clear" w:color="auto" w:fill="FFFFFF"/>
        </w:rPr>
        <w:t>Dewald</w:t>
      </w:r>
      <w:proofErr w:type="spellEnd"/>
      <w:r w:rsidRPr="0067370D">
        <w:rPr>
          <w:rFonts w:cstheme="minorHAnsi"/>
          <w:color w:val="000000"/>
          <w:shd w:val="clear" w:color="auto" w:fill="FFFFFF"/>
        </w:rPr>
        <w:t xml:space="preserve">. </w:t>
      </w:r>
      <w:r w:rsidRPr="0067370D">
        <w:rPr>
          <w:rFonts w:cstheme="minorHAnsi"/>
          <w:color w:val="000000"/>
        </w:rPr>
        <w:t xml:space="preserve">Biology and Politics: Women in </w:t>
      </w:r>
      <w:proofErr w:type="spellStart"/>
      <w:r w:rsidRPr="0067370D">
        <w:rPr>
          <w:rFonts w:cstheme="minorHAnsi"/>
          <w:color w:val="000000"/>
        </w:rPr>
        <w:t>herodotus'</w:t>
      </w:r>
      <w:proofErr w:type="spellEnd"/>
      <w:r w:rsidRPr="0067370D">
        <w:rPr>
          <w:rFonts w:cstheme="minorHAnsi"/>
          <w:color w:val="000000"/>
        </w:rPr>
        <w:t xml:space="preserve"> "Histories". </w:t>
      </w:r>
      <w:r w:rsidRPr="0067370D">
        <w:rPr>
          <w:rFonts w:ascii="Calibri" w:eastAsia="Times New Roman" w:hAnsi="Calibri" w:cs="Calibri"/>
          <w:i/>
          <w:iCs/>
          <w:color w:val="000000"/>
          <w:lang w:eastAsia="en-GB"/>
        </w:rPr>
        <w:t>Pacific Coast Philology</w:t>
      </w:r>
      <w:r>
        <w:rPr>
          <w:rFonts w:ascii="Calibri" w:eastAsia="Times New Roman" w:hAnsi="Calibri" w:cs="Calibri"/>
          <w:color w:val="000000"/>
          <w:lang w:eastAsia="en-GB"/>
        </w:rPr>
        <w:t xml:space="preserve">. </w:t>
      </w:r>
      <w:r w:rsidRPr="0067370D">
        <w:rPr>
          <w:rFonts w:ascii="Calibri" w:eastAsia="Times New Roman" w:hAnsi="Calibri" w:cs="Calibri"/>
          <w:color w:val="000000"/>
          <w:lang w:eastAsia="en-GB"/>
        </w:rPr>
        <w:t xml:space="preserve">Vol. 15 (Oct., 1980), pp. 11-18 </w:t>
      </w:r>
    </w:p>
    <w:p w:rsidR="00DD1248" w:rsidRPr="00DD1248" w:rsidRDefault="00DD1248" w:rsidP="00DD1248">
      <w:r>
        <w:t>Fehling D. Herodotus and his ‘Sources’ Citation, Invention, and Narrative Art. (trans) J. G. Howie. (1989).  Francis Cairns Publishing Ltd. (Leeds).</w:t>
      </w:r>
    </w:p>
    <w:p w:rsidR="007675A0" w:rsidRDefault="007675A0">
      <w:r>
        <w:t xml:space="preserve">S Larson. (2006). </w:t>
      </w:r>
      <w:proofErr w:type="spellStart"/>
      <w:r>
        <w:t>Kandaules’Wife</w:t>
      </w:r>
      <w:proofErr w:type="spellEnd"/>
      <w:r>
        <w:t xml:space="preserve">, </w:t>
      </w:r>
      <w:proofErr w:type="spellStart"/>
      <w:r>
        <w:t>Masistes</w:t>
      </w:r>
      <w:proofErr w:type="spellEnd"/>
      <w:r>
        <w:t>’ Wife: Herodotus’ Narrative</w:t>
      </w:r>
      <w:r w:rsidR="002A5F9B">
        <w:t xml:space="preserve"> Strategy in Supressing the Names of women: (</w:t>
      </w:r>
      <w:proofErr w:type="spellStart"/>
      <w:r w:rsidR="002A5F9B">
        <w:t>Hdt</w:t>
      </w:r>
      <w:proofErr w:type="spellEnd"/>
      <w:r w:rsidR="002A5F9B">
        <w:t xml:space="preserve"> 1.8-12 and 9.108-13). The Classical Journal. Vol. 101. No. 3. Pp 225-244.</w:t>
      </w:r>
    </w:p>
    <w:p w:rsidR="0056442E" w:rsidRDefault="0056442E">
      <w:r>
        <w:t xml:space="preserve">W D Penrose JR. (2016). </w:t>
      </w:r>
      <w:r w:rsidR="00E36971">
        <w:t xml:space="preserve">Postcolonial Amazons: Female Masculinity and Courage in Greek and </w:t>
      </w:r>
      <w:proofErr w:type="spellStart"/>
      <w:r w:rsidR="00E36971">
        <w:t>Sakrit</w:t>
      </w:r>
      <w:proofErr w:type="spellEnd"/>
      <w:r w:rsidR="00E36971">
        <w:t xml:space="preserve"> Literature. </w:t>
      </w:r>
      <w:r w:rsidR="00BE24E1">
        <w:t>Greek and Persian Warrior Queens: Herodotus’ Artemisia in ethnic perspective. Oxford University Press.</w:t>
      </w:r>
      <w:bookmarkStart w:id="0" w:name="_GoBack"/>
      <w:bookmarkEnd w:id="0"/>
    </w:p>
    <w:p w:rsidR="00E93391" w:rsidRDefault="00E93391">
      <w:r>
        <w:t>H Tank. (2012). Irony and Women in Herodotus. (</w:t>
      </w:r>
      <w:hyperlink r:id="rId7" w:tgtFrame="_blank" w:history="1">
        <w:r>
          <w:rPr>
            <w:rStyle w:val="Hyperlink"/>
            <w:rFonts w:ascii="Calibri" w:hAnsi="Calibri" w:cs="Calibri"/>
            <w:shd w:val="clear" w:color="auto" w:fill="FFFFFF"/>
          </w:rPr>
          <w:t>https://repository.uwtsd.ac.uk/382/1/HELEN%20TANK.pdf</w:t>
        </w:r>
      </w:hyperlink>
      <w:r>
        <w:t xml:space="preserve"> Accessed on 11:00am 08/03/2019)</w:t>
      </w:r>
    </w:p>
    <w:p w:rsidR="0001114E" w:rsidRPr="0001114E" w:rsidRDefault="0001114E">
      <w:r>
        <w:t>Wells. J, W. How. (1979). A Commentary on Herodotus. Clarendon Press. (Oxford).</w:t>
      </w:r>
    </w:p>
    <w:p w:rsidR="00481E87" w:rsidRDefault="00481E87">
      <w:r>
        <w:rPr>
          <w:rFonts w:ascii="Calibri" w:hAnsi="Calibri" w:cs="Calibri"/>
          <w:color w:val="000000"/>
          <w:shd w:val="clear" w:color="auto" w:fill="FFFFFF"/>
        </w:rPr>
        <w:lastRenderedPageBreak/>
        <w:t>R</w:t>
      </w:r>
      <w:r w:rsidR="0067370D">
        <w:rPr>
          <w:rFonts w:ascii="Calibri" w:hAnsi="Calibri" w:cs="Calibri"/>
          <w:color w:val="000000"/>
          <w:shd w:val="clear" w:color="auto" w:fill="FFFFFF"/>
        </w:rPr>
        <w:t xml:space="preserve"> </w:t>
      </w:r>
      <w:proofErr w:type="spellStart"/>
      <w:r w:rsidR="0067370D">
        <w:rPr>
          <w:rFonts w:ascii="Calibri" w:hAnsi="Calibri" w:cs="Calibri"/>
          <w:color w:val="000000"/>
          <w:shd w:val="clear" w:color="auto" w:fill="FFFFFF"/>
        </w:rPr>
        <w:t>Wenghofer</w:t>
      </w:r>
      <w:proofErr w:type="spellEnd"/>
      <w:r w:rsidR="0067370D">
        <w:rPr>
          <w:rFonts w:ascii="Calibri" w:hAnsi="Calibri" w:cs="Calibri"/>
          <w:color w:val="000000"/>
          <w:shd w:val="clear" w:color="auto" w:fill="FFFFFF"/>
        </w:rPr>
        <w:t xml:space="preserve">. </w:t>
      </w:r>
      <w:r>
        <w:rPr>
          <w:rFonts w:ascii="Calibri" w:hAnsi="Calibri" w:cs="Calibri"/>
          <w:color w:val="000000"/>
          <w:shd w:val="clear" w:color="auto" w:fill="FFFFFF"/>
        </w:rPr>
        <w:t>Sexual Promiscuity of Non-Greeks in Herodotus’ </w:t>
      </w:r>
      <w:r>
        <w:rPr>
          <w:rFonts w:ascii="Calibri" w:hAnsi="Calibri" w:cs="Calibri"/>
          <w:i/>
          <w:iCs/>
          <w:color w:val="000000"/>
          <w:shd w:val="clear" w:color="auto" w:fill="FFFFFF"/>
        </w:rPr>
        <w:t>Histories</w:t>
      </w:r>
      <w:r w:rsidR="0067370D">
        <w:rPr>
          <w:rFonts w:ascii="Calibri" w:hAnsi="Calibri" w:cs="Calibri"/>
          <w:color w:val="000000"/>
          <w:shd w:val="clear" w:color="auto" w:fill="FFFFFF"/>
        </w:rPr>
        <w:t>.</w:t>
      </w:r>
      <w:r>
        <w:rPr>
          <w:rFonts w:ascii="Calibri" w:hAnsi="Calibri" w:cs="Calibri"/>
          <w:color w:val="000000"/>
          <w:shd w:val="clear" w:color="auto" w:fill="FFFFFF"/>
        </w:rPr>
        <w:t> </w:t>
      </w:r>
      <w:r>
        <w:rPr>
          <w:rFonts w:ascii="Calibri" w:hAnsi="Calibri" w:cs="Calibri"/>
          <w:i/>
          <w:iCs/>
          <w:color w:val="000000"/>
          <w:shd w:val="clear" w:color="auto" w:fill="FFFFFF"/>
        </w:rPr>
        <w:t>Classical World</w:t>
      </w:r>
      <w:r w:rsidR="0067370D">
        <w:rPr>
          <w:rFonts w:ascii="Calibri" w:hAnsi="Calibri" w:cs="Calibri"/>
          <w:i/>
          <w:iCs/>
          <w:color w:val="000000"/>
          <w:shd w:val="clear" w:color="auto" w:fill="FFFFFF"/>
        </w:rPr>
        <w:t xml:space="preserve">. </w:t>
      </w:r>
      <w:r>
        <w:rPr>
          <w:rFonts w:ascii="Calibri" w:hAnsi="Calibri" w:cs="Calibri"/>
          <w:color w:val="000000"/>
          <w:shd w:val="clear" w:color="auto" w:fill="FFFFFF"/>
        </w:rPr>
        <w:t>107, no. 4 (2014): 515-534. https://muse.jhu.edu/ (accessed March 8, 2019).</w:t>
      </w:r>
    </w:p>
    <w:p w:rsidR="002A5F9B" w:rsidRPr="007675A0" w:rsidRDefault="002A5F9B"/>
    <w:p w:rsidR="007A200D" w:rsidRDefault="007A200D"/>
    <w:p w:rsidR="00301B23" w:rsidRDefault="00301B23"/>
    <w:p w:rsidR="00116CAB" w:rsidRDefault="00116CAB"/>
    <w:p w:rsidR="00350CAF" w:rsidRDefault="00350CAF"/>
    <w:p w:rsidR="003527DC" w:rsidRPr="00D41CA8" w:rsidRDefault="003527DC"/>
    <w:p w:rsidR="00D60CF8" w:rsidRPr="00D60CF8" w:rsidRDefault="00D60CF8"/>
    <w:p w:rsidR="00D60CF8" w:rsidRPr="00D60CF8" w:rsidRDefault="00D60CF8">
      <w:pPr>
        <w:rPr>
          <w:b/>
          <w:u w:val="single"/>
        </w:rPr>
      </w:pPr>
    </w:p>
    <w:sectPr w:rsidR="00D60CF8" w:rsidRPr="00D60C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2C47" w:rsidRDefault="00742C47" w:rsidP="00D41CA8">
      <w:pPr>
        <w:spacing w:after="0" w:line="240" w:lineRule="auto"/>
      </w:pPr>
      <w:r>
        <w:separator/>
      </w:r>
    </w:p>
  </w:endnote>
  <w:endnote w:type="continuationSeparator" w:id="0">
    <w:p w:rsidR="00742C47" w:rsidRDefault="00742C47" w:rsidP="00D41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2C47" w:rsidRDefault="00742C47" w:rsidP="00D41CA8">
      <w:pPr>
        <w:spacing w:after="0" w:line="240" w:lineRule="auto"/>
      </w:pPr>
      <w:r>
        <w:separator/>
      </w:r>
    </w:p>
  </w:footnote>
  <w:footnote w:type="continuationSeparator" w:id="0">
    <w:p w:rsidR="00742C47" w:rsidRDefault="00742C47" w:rsidP="00D41CA8">
      <w:pPr>
        <w:spacing w:after="0" w:line="240" w:lineRule="auto"/>
      </w:pPr>
      <w:r>
        <w:continuationSeparator/>
      </w:r>
    </w:p>
  </w:footnote>
  <w:footnote w:id="1">
    <w:p w:rsidR="00350CAF" w:rsidRDefault="00350CAF" w:rsidP="00350CAF">
      <w:pPr>
        <w:pStyle w:val="FootnoteText"/>
      </w:pPr>
      <w:r>
        <w:rPr>
          <w:rStyle w:val="FootnoteReference"/>
        </w:rPr>
        <w:footnoteRef/>
      </w:r>
      <w:r>
        <w:t xml:space="preserve"> Helen Tank. (2012).</w:t>
      </w:r>
    </w:p>
  </w:footnote>
  <w:footnote w:id="2">
    <w:p w:rsidR="00350CAF" w:rsidRDefault="00350CAF" w:rsidP="00350CAF">
      <w:pPr>
        <w:pStyle w:val="FootnoteText"/>
      </w:pPr>
      <w:r>
        <w:rPr>
          <w:rStyle w:val="FootnoteReference"/>
        </w:rPr>
        <w:footnoteRef/>
      </w:r>
      <w:r>
        <w:t xml:space="preserve"> How and Wells. (19</w:t>
      </w:r>
      <w:r w:rsidR="00C44A51">
        <w:t>79</w:t>
      </w:r>
      <w:r>
        <w:t>).</w:t>
      </w:r>
    </w:p>
  </w:footnote>
  <w:footnote w:id="3">
    <w:p w:rsidR="00350CAF" w:rsidRDefault="00350CAF" w:rsidP="00350CAF">
      <w:pPr>
        <w:pStyle w:val="FootnoteText"/>
      </w:pPr>
      <w:r>
        <w:rPr>
          <w:rStyle w:val="FootnoteReference"/>
        </w:rPr>
        <w:footnoteRef/>
      </w:r>
      <w:r>
        <w:t xml:space="preserve"> How and Wells. (19</w:t>
      </w:r>
      <w:r w:rsidR="00C44A51">
        <w:t>79</w:t>
      </w:r>
      <w:r>
        <w:t>).</w:t>
      </w:r>
    </w:p>
  </w:footnote>
  <w:footnote w:id="4">
    <w:p w:rsidR="00301B23" w:rsidRDefault="00301B23">
      <w:pPr>
        <w:pStyle w:val="FootnoteText"/>
      </w:pPr>
      <w:r>
        <w:rPr>
          <w:rStyle w:val="FootnoteReference"/>
        </w:rPr>
        <w:footnoteRef/>
      </w:r>
      <w:r>
        <w:t xml:space="preserve"> Helen Tank. (2012).</w:t>
      </w:r>
    </w:p>
  </w:footnote>
  <w:footnote w:id="5">
    <w:p w:rsidR="007A3C0F" w:rsidRDefault="007A3C0F">
      <w:pPr>
        <w:pStyle w:val="FootnoteText"/>
      </w:pPr>
      <w:r>
        <w:rPr>
          <w:rStyle w:val="FootnoteReference"/>
        </w:rPr>
        <w:footnoteRef/>
      </w:r>
      <w:r>
        <w:t xml:space="preserve"> Richard </w:t>
      </w:r>
      <w:proofErr w:type="spellStart"/>
      <w:r>
        <w:t>Wenghofer</w:t>
      </w:r>
      <w:proofErr w:type="spellEnd"/>
      <w:r>
        <w:t>. (2014).</w:t>
      </w:r>
    </w:p>
  </w:footnote>
  <w:footnote w:id="6">
    <w:p w:rsidR="00D41CA8" w:rsidRDefault="00D41CA8">
      <w:pPr>
        <w:pStyle w:val="FootnoteText"/>
      </w:pPr>
      <w:r>
        <w:rPr>
          <w:rStyle w:val="FootnoteReference"/>
        </w:rPr>
        <w:footnoteRef/>
      </w:r>
      <w:r>
        <w:t xml:space="preserve"> </w:t>
      </w:r>
      <w:proofErr w:type="spellStart"/>
      <w:r w:rsidR="00A04818">
        <w:t>Josine</w:t>
      </w:r>
      <w:proofErr w:type="spellEnd"/>
      <w:r w:rsidR="00A04818">
        <w:t xml:space="preserve"> Blok. (2002).</w:t>
      </w:r>
    </w:p>
  </w:footnote>
  <w:footnote w:id="7">
    <w:p w:rsidR="00A04818" w:rsidRDefault="00A04818">
      <w:pPr>
        <w:pStyle w:val="FootnoteText"/>
      </w:pPr>
      <w:r>
        <w:rPr>
          <w:rStyle w:val="FootnoteReference"/>
        </w:rPr>
        <w:footnoteRef/>
      </w:r>
      <w:r>
        <w:t xml:space="preserve"> </w:t>
      </w:r>
      <w:proofErr w:type="spellStart"/>
      <w:r>
        <w:t>Josine</w:t>
      </w:r>
      <w:proofErr w:type="spellEnd"/>
      <w:r>
        <w:t xml:space="preserve"> Blok. (2002).</w:t>
      </w:r>
    </w:p>
  </w:footnote>
  <w:footnote w:id="8">
    <w:p w:rsidR="0080020F" w:rsidRDefault="0080020F">
      <w:pPr>
        <w:pStyle w:val="FootnoteText"/>
      </w:pPr>
      <w:r>
        <w:rPr>
          <w:rStyle w:val="FootnoteReference"/>
        </w:rPr>
        <w:footnoteRef/>
      </w:r>
      <w:r>
        <w:t xml:space="preserve"> </w:t>
      </w:r>
      <w:proofErr w:type="spellStart"/>
      <w:r>
        <w:t>Josine</w:t>
      </w:r>
      <w:proofErr w:type="spellEnd"/>
      <w:r>
        <w:t xml:space="preserve"> Blok. (2002).</w:t>
      </w:r>
    </w:p>
  </w:footnote>
  <w:footnote w:id="9">
    <w:p w:rsidR="004C40C1" w:rsidRDefault="004C40C1">
      <w:pPr>
        <w:pStyle w:val="FootnoteText"/>
      </w:pPr>
      <w:r>
        <w:rPr>
          <w:rStyle w:val="FootnoteReference"/>
        </w:rPr>
        <w:footnoteRef/>
      </w:r>
      <w:r>
        <w:t xml:space="preserve"> </w:t>
      </w:r>
      <w:proofErr w:type="spellStart"/>
      <w:r>
        <w:t>Josine</w:t>
      </w:r>
      <w:proofErr w:type="spellEnd"/>
      <w:r>
        <w:t xml:space="preserve"> Blok. (2002).</w:t>
      </w:r>
    </w:p>
  </w:footnote>
  <w:footnote w:id="10">
    <w:p w:rsidR="00116CAB" w:rsidRDefault="00116CAB">
      <w:pPr>
        <w:pStyle w:val="FootnoteText"/>
      </w:pPr>
      <w:r>
        <w:rPr>
          <w:rStyle w:val="FootnoteReference"/>
        </w:rPr>
        <w:footnoteRef/>
      </w:r>
      <w:r>
        <w:t xml:space="preserve"> </w:t>
      </w:r>
      <w:r w:rsidR="00301B23">
        <w:t>Helen Tank. (2012).</w:t>
      </w:r>
    </w:p>
  </w:footnote>
  <w:footnote w:id="11">
    <w:p w:rsidR="00F22B62" w:rsidRDefault="00F22B62">
      <w:pPr>
        <w:pStyle w:val="FootnoteText"/>
      </w:pPr>
      <w:r>
        <w:rPr>
          <w:rStyle w:val="FootnoteReference"/>
        </w:rPr>
        <w:footnoteRef/>
      </w:r>
      <w:r>
        <w:t xml:space="preserve"> </w:t>
      </w:r>
      <w:proofErr w:type="spellStart"/>
      <w:r>
        <w:t>Josine</w:t>
      </w:r>
      <w:proofErr w:type="spellEnd"/>
      <w:r>
        <w:t xml:space="preserve"> Blok. (2002).</w:t>
      </w:r>
    </w:p>
  </w:footnote>
  <w:footnote w:id="12">
    <w:p w:rsidR="0079204B" w:rsidRDefault="0079204B">
      <w:pPr>
        <w:pStyle w:val="FootnoteText"/>
      </w:pPr>
      <w:r>
        <w:rPr>
          <w:rStyle w:val="FootnoteReference"/>
        </w:rPr>
        <w:footnoteRef/>
      </w:r>
      <w:r>
        <w:t xml:space="preserve"> </w:t>
      </w:r>
      <w:r w:rsidR="00F22B62">
        <w:t xml:space="preserve">Richard </w:t>
      </w:r>
      <w:proofErr w:type="spellStart"/>
      <w:r w:rsidR="00F22B62">
        <w:t>Wenghofer</w:t>
      </w:r>
      <w:proofErr w:type="spellEnd"/>
      <w:r w:rsidR="00F22B62">
        <w:t>. (2014).</w:t>
      </w:r>
    </w:p>
  </w:footnote>
  <w:footnote w:id="13">
    <w:p w:rsidR="00F22B62" w:rsidRDefault="00F22B62">
      <w:pPr>
        <w:pStyle w:val="FootnoteText"/>
      </w:pPr>
      <w:r>
        <w:rPr>
          <w:rStyle w:val="FootnoteReference"/>
        </w:rPr>
        <w:footnoteRef/>
      </w:r>
      <w:r>
        <w:t xml:space="preserve"> Richard </w:t>
      </w:r>
      <w:proofErr w:type="spellStart"/>
      <w:r>
        <w:t>Wenghofer</w:t>
      </w:r>
      <w:proofErr w:type="spellEnd"/>
      <w:r>
        <w:t>. (2014).</w:t>
      </w:r>
    </w:p>
  </w:footnote>
  <w:footnote w:id="14">
    <w:p w:rsidR="007A1955" w:rsidRDefault="007A1955">
      <w:pPr>
        <w:pStyle w:val="FootnoteText"/>
      </w:pPr>
      <w:r>
        <w:rPr>
          <w:rStyle w:val="FootnoteReference"/>
        </w:rPr>
        <w:footnoteRef/>
      </w:r>
      <w:r>
        <w:t xml:space="preserve"> Walter D. Penrose. (2016).</w:t>
      </w:r>
    </w:p>
  </w:footnote>
  <w:footnote w:id="15">
    <w:p w:rsidR="007A1955" w:rsidRDefault="007A1955">
      <w:pPr>
        <w:pStyle w:val="FootnoteText"/>
      </w:pPr>
      <w:r>
        <w:rPr>
          <w:rStyle w:val="FootnoteReference"/>
        </w:rPr>
        <w:footnoteRef/>
      </w:r>
      <w:r>
        <w:t xml:space="preserve"> Walter D. Penrose. (2016).</w:t>
      </w:r>
    </w:p>
  </w:footnote>
  <w:footnote w:id="16">
    <w:p w:rsidR="00FF63FD" w:rsidRDefault="00FF63FD">
      <w:pPr>
        <w:pStyle w:val="FootnoteText"/>
      </w:pPr>
      <w:r>
        <w:rPr>
          <w:rStyle w:val="FootnoteReference"/>
        </w:rPr>
        <w:footnoteRef/>
      </w:r>
      <w:r>
        <w:t xml:space="preserve"> Walter D. Penrose. (2016).</w:t>
      </w:r>
    </w:p>
  </w:footnote>
  <w:footnote w:id="17">
    <w:p w:rsidR="00E96D59" w:rsidRDefault="00E96D59">
      <w:pPr>
        <w:pStyle w:val="FootnoteText"/>
      </w:pPr>
      <w:r>
        <w:rPr>
          <w:rStyle w:val="FootnoteReference"/>
        </w:rPr>
        <w:footnoteRef/>
      </w:r>
      <w:r>
        <w:t xml:space="preserve"> Walter D. Penrose. (2016).</w:t>
      </w:r>
    </w:p>
  </w:footnote>
  <w:footnote w:id="18">
    <w:p w:rsidR="004E40D3" w:rsidRDefault="004E40D3">
      <w:pPr>
        <w:pStyle w:val="FootnoteText"/>
      </w:pPr>
      <w:r>
        <w:rPr>
          <w:rStyle w:val="FootnoteReference"/>
        </w:rPr>
        <w:footnoteRef/>
      </w:r>
      <w:r>
        <w:t xml:space="preserve"> Walter D. Penrose. (2016).</w:t>
      </w:r>
    </w:p>
  </w:footnote>
  <w:footnote w:id="19">
    <w:p w:rsidR="002307DE" w:rsidRDefault="002307DE">
      <w:pPr>
        <w:pStyle w:val="FootnoteText"/>
      </w:pPr>
      <w:r>
        <w:rPr>
          <w:rStyle w:val="FootnoteReference"/>
        </w:rPr>
        <w:footnoteRef/>
      </w:r>
      <w:r>
        <w:t xml:space="preserve"> Walter D. Penrose. (2016).</w:t>
      </w:r>
    </w:p>
  </w:footnote>
  <w:footnote w:id="20">
    <w:p w:rsidR="00C44A51" w:rsidRDefault="00C44A51">
      <w:pPr>
        <w:pStyle w:val="FootnoteText"/>
      </w:pPr>
      <w:r>
        <w:rPr>
          <w:rStyle w:val="FootnoteReference"/>
        </w:rPr>
        <w:footnoteRef/>
      </w:r>
      <w:r>
        <w:t xml:space="preserve"> How and Wells. (1979).</w:t>
      </w:r>
    </w:p>
  </w:footnote>
  <w:footnote w:id="21">
    <w:p w:rsidR="00C44A51" w:rsidRDefault="00C44A51">
      <w:pPr>
        <w:pStyle w:val="FootnoteText"/>
      </w:pPr>
      <w:r>
        <w:rPr>
          <w:rStyle w:val="FootnoteReference"/>
        </w:rPr>
        <w:footnoteRef/>
      </w:r>
      <w:r>
        <w:t xml:space="preserve"> Helen Tank. (2012).</w:t>
      </w:r>
    </w:p>
  </w:footnote>
  <w:footnote w:id="22">
    <w:p w:rsidR="00B03419" w:rsidRDefault="00B03419" w:rsidP="00B03419">
      <w:pPr>
        <w:pStyle w:val="FootnoteText"/>
      </w:pPr>
      <w:r>
        <w:rPr>
          <w:rStyle w:val="FootnoteReference"/>
        </w:rPr>
        <w:footnoteRef/>
      </w:r>
      <w:r>
        <w:t xml:space="preserve"> </w:t>
      </w:r>
      <w:proofErr w:type="spellStart"/>
      <w:r>
        <w:t>Detlev</w:t>
      </w:r>
      <w:proofErr w:type="spellEnd"/>
      <w:r>
        <w:t xml:space="preserve"> Fehling. (1989).</w:t>
      </w:r>
    </w:p>
  </w:footnote>
  <w:footnote w:id="23">
    <w:p w:rsidR="00D32B65" w:rsidRDefault="00D32B65">
      <w:pPr>
        <w:pStyle w:val="FootnoteText"/>
      </w:pPr>
      <w:r>
        <w:rPr>
          <w:rStyle w:val="FootnoteReference"/>
        </w:rPr>
        <w:footnoteRef/>
      </w:r>
      <w:r>
        <w:t xml:space="preserve"> Walter D. Penrose. (2016).</w:t>
      </w:r>
    </w:p>
  </w:footnote>
  <w:footnote w:id="24">
    <w:p w:rsidR="00D32B65" w:rsidRDefault="00D32B65">
      <w:pPr>
        <w:pStyle w:val="FootnoteText"/>
      </w:pPr>
      <w:r>
        <w:rPr>
          <w:rStyle w:val="FootnoteReference"/>
        </w:rPr>
        <w:footnoteRef/>
      </w:r>
      <w:r>
        <w:t xml:space="preserve"> Walter D. Penrose. (2016).</w:t>
      </w:r>
    </w:p>
  </w:footnote>
  <w:footnote w:id="25">
    <w:p w:rsidR="00BA3E70" w:rsidRDefault="00BA3E70">
      <w:pPr>
        <w:pStyle w:val="FootnoteText"/>
      </w:pPr>
      <w:r>
        <w:rPr>
          <w:rStyle w:val="FootnoteReference"/>
        </w:rPr>
        <w:footnoteRef/>
      </w:r>
      <w:r>
        <w:t xml:space="preserve"> Walter D. Penrose. (2016).</w:t>
      </w:r>
    </w:p>
  </w:footnote>
  <w:footnote w:id="26">
    <w:p w:rsidR="006E3910" w:rsidRDefault="006E3910">
      <w:pPr>
        <w:pStyle w:val="FootnoteText"/>
      </w:pPr>
      <w:r>
        <w:rPr>
          <w:rStyle w:val="FootnoteReference"/>
        </w:rPr>
        <w:footnoteRef/>
      </w:r>
      <w:r>
        <w:t xml:space="preserve"> Carolyn </w:t>
      </w:r>
      <w:proofErr w:type="spellStart"/>
      <w:r>
        <w:t>Dewald</w:t>
      </w:r>
      <w:proofErr w:type="spellEnd"/>
      <w:r>
        <w:t>. (1980).</w:t>
      </w:r>
    </w:p>
  </w:footnote>
  <w:footnote w:id="27">
    <w:p w:rsidR="004E5193" w:rsidRDefault="004E5193">
      <w:pPr>
        <w:pStyle w:val="FootnoteText"/>
      </w:pPr>
      <w:r>
        <w:rPr>
          <w:rStyle w:val="FootnoteReference"/>
        </w:rPr>
        <w:footnoteRef/>
      </w:r>
      <w:r>
        <w:t xml:space="preserve"> </w:t>
      </w:r>
      <w:r w:rsidR="000D4135">
        <w:t>Stephanie Larson. (2006).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CF8"/>
    <w:rsid w:val="0001114E"/>
    <w:rsid w:val="00055A0E"/>
    <w:rsid w:val="000D4135"/>
    <w:rsid w:val="00116CAB"/>
    <w:rsid w:val="00157C91"/>
    <w:rsid w:val="00187490"/>
    <w:rsid w:val="001B326B"/>
    <w:rsid w:val="001C2FEE"/>
    <w:rsid w:val="001E2FA7"/>
    <w:rsid w:val="002307DE"/>
    <w:rsid w:val="00282CAC"/>
    <w:rsid w:val="002A5F9B"/>
    <w:rsid w:val="00301B23"/>
    <w:rsid w:val="00311F20"/>
    <w:rsid w:val="00350CAF"/>
    <w:rsid w:val="003527DC"/>
    <w:rsid w:val="00355692"/>
    <w:rsid w:val="003B099C"/>
    <w:rsid w:val="0042059E"/>
    <w:rsid w:val="00481E87"/>
    <w:rsid w:val="004C40C1"/>
    <w:rsid w:val="004E40D3"/>
    <w:rsid w:val="004E5193"/>
    <w:rsid w:val="0051310E"/>
    <w:rsid w:val="0051712C"/>
    <w:rsid w:val="0056442E"/>
    <w:rsid w:val="006023D0"/>
    <w:rsid w:val="0067370D"/>
    <w:rsid w:val="006C0C3E"/>
    <w:rsid w:val="006E3910"/>
    <w:rsid w:val="00734C25"/>
    <w:rsid w:val="00742C47"/>
    <w:rsid w:val="007675A0"/>
    <w:rsid w:val="0079204B"/>
    <w:rsid w:val="007A1955"/>
    <w:rsid w:val="007A200D"/>
    <w:rsid w:val="007A3C0F"/>
    <w:rsid w:val="007B27A7"/>
    <w:rsid w:val="007C519C"/>
    <w:rsid w:val="007F6C80"/>
    <w:rsid w:val="0080020F"/>
    <w:rsid w:val="008600AD"/>
    <w:rsid w:val="00896D2C"/>
    <w:rsid w:val="00897B9F"/>
    <w:rsid w:val="00900B3D"/>
    <w:rsid w:val="00923FF7"/>
    <w:rsid w:val="009B22FA"/>
    <w:rsid w:val="00A04818"/>
    <w:rsid w:val="00AC142D"/>
    <w:rsid w:val="00B03419"/>
    <w:rsid w:val="00B10C69"/>
    <w:rsid w:val="00B21307"/>
    <w:rsid w:val="00BA3E70"/>
    <w:rsid w:val="00BE24E1"/>
    <w:rsid w:val="00C16631"/>
    <w:rsid w:val="00C43EF1"/>
    <w:rsid w:val="00C44A51"/>
    <w:rsid w:val="00C60B15"/>
    <w:rsid w:val="00CD4AAA"/>
    <w:rsid w:val="00D32B65"/>
    <w:rsid w:val="00D41CA8"/>
    <w:rsid w:val="00D45B68"/>
    <w:rsid w:val="00D60CF8"/>
    <w:rsid w:val="00DD1248"/>
    <w:rsid w:val="00DD534B"/>
    <w:rsid w:val="00E36971"/>
    <w:rsid w:val="00E53DCC"/>
    <w:rsid w:val="00E93391"/>
    <w:rsid w:val="00E96D59"/>
    <w:rsid w:val="00EE3D28"/>
    <w:rsid w:val="00F22B62"/>
    <w:rsid w:val="00F56DBB"/>
    <w:rsid w:val="00FD69E7"/>
    <w:rsid w:val="00FF6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9944C"/>
  <w15:chartTrackingRefBased/>
  <w15:docId w15:val="{3141548B-0EDC-4123-9741-313BB12AF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737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41C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1CA8"/>
    <w:rPr>
      <w:sz w:val="20"/>
      <w:szCs w:val="20"/>
    </w:rPr>
  </w:style>
  <w:style w:type="character" w:styleId="FootnoteReference">
    <w:name w:val="footnote reference"/>
    <w:basedOn w:val="DefaultParagraphFont"/>
    <w:uiPriority w:val="99"/>
    <w:semiHidden/>
    <w:unhideWhenUsed/>
    <w:rsid w:val="00D41CA8"/>
    <w:rPr>
      <w:vertAlign w:val="superscript"/>
    </w:rPr>
  </w:style>
  <w:style w:type="character" w:styleId="Hyperlink">
    <w:name w:val="Hyperlink"/>
    <w:basedOn w:val="DefaultParagraphFont"/>
    <w:uiPriority w:val="99"/>
    <w:semiHidden/>
    <w:unhideWhenUsed/>
    <w:rsid w:val="00E93391"/>
    <w:rPr>
      <w:color w:val="0000FF"/>
      <w:u w:val="single"/>
    </w:rPr>
  </w:style>
  <w:style w:type="character" w:customStyle="1" w:styleId="Heading1Char">
    <w:name w:val="Heading 1 Char"/>
    <w:basedOn w:val="DefaultParagraphFont"/>
    <w:link w:val="Heading1"/>
    <w:uiPriority w:val="9"/>
    <w:rsid w:val="0067370D"/>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6737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1931103">
      <w:bodyDiv w:val="1"/>
      <w:marLeft w:val="0"/>
      <w:marRight w:val="0"/>
      <w:marTop w:val="0"/>
      <w:marBottom w:val="0"/>
      <w:divBdr>
        <w:top w:val="none" w:sz="0" w:space="0" w:color="auto"/>
        <w:left w:val="none" w:sz="0" w:space="0" w:color="auto"/>
        <w:bottom w:val="none" w:sz="0" w:space="0" w:color="auto"/>
        <w:right w:val="none" w:sz="0" w:space="0" w:color="auto"/>
      </w:divBdr>
      <w:divsChild>
        <w:div w:id="479348395">
          <w:marLeft w:val="0"/>
          <w:marRight w:val="0"/>
          <w:marTop w:val="0"/>
          <w:marBottom w:val="0"/>
          <w:divBdr>
            <w:top w:val="none" w:sz="0" w:space="0" w:color="auto"/>
            <w:left w:val="none" w:sz="0" w:space="0" w:color="auto"/>
            <w:bottom w:val="none" w:sz="0" w:space="0" w:color="auto"/>
            <w:right w:val="none" w:sz="0" w:space="0" w:color="auto"/>
          </w:divBdr>
        </w:div>
        <w:div w:id="2012637168">
          <w:marLeft w:val="0"/>
          <w:marRight w:val="0"/>
          <w:marTop w:val="0"/>
          <w:marBottom w:val="0"/>
          <w:divBdr>
            <w:top w:val="none" w:sz="0" w:space="0" w:color="auto"/>
            <w:left w:val="none" w:sz="0" w:space="0" w:color="auto"/>
            <w:bottom w:val="none" w:sz="0" w:space="0" w:color="auto"/>
            <w:right w:val="none" w:sz="0" w:space="0" w:color="auto"/>
          </w:divBdr>
          <w:divsChild>
            <w:div w:id="44604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95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pository.uwtsd.ac.uk/382/1/HELEN%20TANK.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BF386C-8F69-4F39-B5B7-53CD42546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Pages>
  <Words>1985</Words>
  <Characters>11320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Kerslake (1501314)</dc:creator>
  <cp:keywords/>
  <dc:description/>
  <cp:lastModifiedBy>Charlotte Kerslake (1501314)</cp:lastModifiedBy>
  <cp:revision>20</cp:revision>
  <dcterms:created xsi:type="dcterms:W3CDTF">2019-03-08T15:23:00Z</dcterms:created>
  <dcterms:modified xsi:type="dcterms:W3CDTF">2019-03-08T16:23:00Z</dcterms:modified>
</cp:coreProperties>
</file>