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2B915" w14:textId="77777777" w:rsidR="00834E24" w:rsidRDefault="00834E24" w:rsidP="00834E24">
      <w:pPr>
        <w:jc w:val="center"/>
        <w:rPr>
          <w:rFonts w:ascii="Arial" w:hAnsi="Arial" w:cs="Arial"/>
          <w:sz w:val="44"/>
          <w:szCs w:val="44"/>
          <w:lang w:val="ro-RO"/>
        </w:rPr>
      </w:pPr>
    </w:p>
    <w:p w14:paraId="69908180" w14:textId="77777777" w:rsidR="00834E24" w:rsidRDefault="00834E24" w:rsidP="00834E24">
      <w:pPr>
        <w:jc w:val="center"/>
        <w:rPr>
          <w:rFonts w:ascii="Arial" w:hAnsi="Arial" w:cs="Arial"/>
          <w:sz w:val="44"/>
          <w:szCs w:val="44"/>
          <w:lang w:val="ro-RO"/>
        </w:rPr>
      </w:pPr>
    </w:p>
    <w:p w14:paraId="4D8B4B20" w14:textId="3AC31885" w:rsidR="007E6419" w:rsidRPr="00834E24" w:rsidRDefault="000E7E72" w:rsidP="00834E24">
      <w:pPr>
        <w:jc w:val="center"/>
        <w:rPr>
          <w:rFonts w:ascii="Arial" w:hAnsi="Arial" w:cs="Arial"/>
          <w:sz w:val="44"/>
          <w:szCs w:val="44"/>
        </w:rPr>
      </w:pPr>
      <w:r w:rsidRPr="00834E24">
        <w:rPr>
          <w:rFonts w:ascii="Arial" w:hAnsi="Arial" w:cs="Arial"/>
          <w:sz w:val="44"/>
          <w:szCs w:val="44"/>
          <w:lang w:val="ro-RO"/>
        </w:rPr>
        <w:t xml:space="preserve">The impoact of COVID-19 </w:t>
      </w:r>
      <w:r w:rsidRPr="00834E24">
        <w:rPr>
          <w:rFonts w:ascii="Arial" w:hAnsi="Arial" w:cs="Arial"/>
          <w:sz w:val="44"/>
          <w:szCs w:val="44"/>
        </w:rPr>
        <w:t>and Rebuilding the Workforce in Hotel Trinity</w:t>
      </w:r>
    </w:p>
    <w:p w14:paraId="4EB40B80" w14:textId="6C2A0A2F" w:rsidR="000E7E72" w:rsidRPr="00834E24" w:rsidRDefault="000E7E72" w:rsidP="00834E24">
      <w:pPr>
        <w:jc w:val="center"/>
        <w:rPr>
          <w:rFonts w:ascii="Arial" w:hAnsi="Arial" w:cs="Arial"/>
          <w:sz w:val="44"/>
          <w:szCs w:val="44"/>
        </w:rPr>
      </w:pPr>
    </w:p>
    <w:p w14:paraId="23D5A15D" w14:textId="559C4307" w:rsidR="000E7E72" w:rsidRPr="00834E24" w:rsidRDefault="000E7E72" w:rsidP="00834E24">
      <w:pPr>
        <w:jc w:val="both"/>
        <w:rPr>
          <w:rFonts w:ascii="Arial" w:hAnsi="Arial" w:cs="Arial"/>
          <w:sz w:val="44"/>
          <w:szCs w:val="44"/>
        </w:rPr>
      </w:pPr>
    </w:p>
    <w:p w14:paraId="66C44001" w14:textId="11D845C0" w:rsidR="000E7E72" w:rsidRPr="00834E24" w:rsidRDefault="000E7E72" w:rsidP="00834E24">
      <w:pPr>
        <w:jc w:val="both"/>
        <w:rPr>
          <w:rFonts w:ascii="Arial" w:hAnsi="Arial" w:cs="Arial"/>
          <w:sz w:val="44"/>
          <w:szCs w:val="44"/>
        </w:rPr>
      </w:pPr>
    </w:p>
    <w:p w14:paraId="30F892FE" w14:textId="4B2BF59C" w:rsidR="000E7E72" w:rsidRPr="00834E24" w:rsidRDefault="000E7E72" w:rsidP="00834E24">
      <w:pPr>
        <w:jc w:val="both"/>
        <w:rPr>
          <w:rFonts w:ascii="Arial" w:hAnsi="Arial" w:cs="Arial"/>
          <w:sz w:val="44"/>
          <w:szCs w:val="44"/>
        </w:rPr>
      </w:pPr>
    </w:p>
    <w:p w14:paraId="707A4B9E" w14:textId="1EB3E676" w:rsidR="000E7E72" w:rsidRPr="00834E24" w:rsidRDefault="000E7E72" w:rsidP="00834E24">
      <w:pPr>
        <w:jc w:val="both"/>
        <w:rPr>
          <w:rFonts w:ascii="Arial" w:hAnsi="Arial" w:cs="Arial"/>
          <w:sz w:val="44"/>
          <w:szCs w:val="44"/>
        </w:rPr>
      </w:pPr>
    </w:p>
    <w:p w14:paraId="769CEC4B" w14:textId="7D21F89F" w:rsidR="000E7E72" w:rsidRPr="00834E24" w:rsidRDefault="000E7E72" w:rsidP="00834E24">
      <w:pPr>
        <w:jc w:val="both"/>
        <w:rPr>
          <w:rFonts w:ascii="Arial" w:hAnsi="Arial" w:cs="Arial"/>
          <w:sz w:val="44"/>
          <w:szCs w:val="44"/>
        </w:rPr>
      </w:pPr>
    </w:p>
    <w:p w14:paraId="0DB22651" w14:textId="77777777" w:rsidR="00834E24" w:rsidRDefault="00834E24" w:rsidP="00834E24">
      <w:pPr>
        <w:jc w:val="both"/>
        <w:rPr>
          <w:rFonts w:ascii="Arial" w:hAnsi="Arial" w:cs="Arial"/>
          <w:sz w:val="44"/>
          <w:szCs w:val="44"/>
        </w:rPr>
      </w:pPr>
    </w:p>
    <w:p w14:paraId="432C2BFF" w14:textId="77777777" w:rsidR="00834E24" w:rsidRDefault="00834E24" w:rsidP="00834E24">
      <w:pPr>
        <w:jc w:val="both"/>
        <w:rPr>
          <w:rFonts w:ascii="Arial" w:hAnsi="Arial" w:cs="Arial"/>
          <w:sz w:val="44"/>
          <w:szCs w:val="44"/>
        </w:rPr>
      </w:pPr>
    </w:p>
    <w:p w14:paraId="1B4BE3E0" w14:textId="10A0AE5B" w:rsidR="000E7E72" w:rsidRDefault="000E7E72" w:rsidP="00834E24">
      <w:pPr>
        <w:jc w:val="both"/>
        <w:rPr>
          <w:rFonts w:ascii="Arial" w:hAnsi="Arial" w:cs="Arial"/>
          <w:sz w:val="44"/>
          <w:szCs w:val="44"/>
        </w:rPr>
      </w:pPr>
      <w:r w:rsidRPr="00834E24">
        <w:rPr>
          <w:rFonts w:ascii="Arial" w:hAnsi="Arial" w:cs="Arial"/>
          <w:sz w:val="44"/>
          <w:szCs w:val="44"/>
        </w:rPr>
        <w:t xml:space="preserve">Student name: Cornelia Stoian </w:t>
      </w:r>
    </w:p>
    <w:p w14:paraId="7F4D8EEE" w14:textId="77777777" w:rsidR="00834E24" w:rsidRPr="00834E24" w:rsidRDefault="00834E24" w:rsidP="00834E24">
      <w:pPr>
        <w:jc w:val="both"/>
        <w:rPr>
          <w:rFonts w:ascii="Arial" w:hAnsi="Arial" w:cs="Arial"/>
          <w:sz w:val="44"/>
          <w:szCs w:val="44"/>
        </w:rPr>
      </w:pPr>
    </w:p>
    <w:p w14:paraId="38E89B4E" w14:textId="33B93E82" w:rsidR="000E7E72" w:rsidRDefault="00834E24" w:rsidP="00834E24">
      <w:pPr>
        <w:jc w:val="both"/>
        <w:rPr>
          <w:rFonts w:ascii="Arial" w:hAnsi="Arial" w:cs="Arial"/>
          <w:sz w:val="44"/>
          <w:szCs w:val="44"/>
        </w:rPr>
      </w:pPr>
      <w:r>
        <w:rPr>
          <w:rFonts w:ascii="Arial" w:hAnsi="Arial" w:cs="Arial"/>
          <w:sz w:val="44"/>
          <w:szCs w:val="44"/>
        </w:rPr>
        <w:t>Module title: Personal Resourcing and Development</w:t>
      </w:r>
    </w:p>
    <w:p w14:paraId="5A7D4617" w14:textId="77777777" w:rsidR="00834E24" w:rsidRPr="00834E24" w:rsidRDefault="00834E24" w:rsidP="00834E24">
      <w:pPr>
        <w:jc w:val="both"/>
        <w:rPr>
          <w:rFonts w:ascii="Arial" w:hAnsi="Arial" w:cs="Arial"/>
          <w:sz w:val="44"/>
          <w:szCs w:val="44"/>
        </w:rPr>
      </w:pPr>
    </w:p>
    <w:p w14:paraId="11C8D946" w14:textId="61ED1EFF" w:rsidR="000E7E72" w:rsidRDefault="000E7E72" w:rsidP="00834E24">
      <w:pPr>
        <w:jc w:val="both"/>
        <w:rPr>
          <w:rFonts w:ascii="Arial" w:hAnsi="Arial" w:cs="Arial"/>
          <w:sz w:val="44"/>
          <w:szCs w:val="44"/>
        </w:rPr>
      </w:pPr>
      <w:r w:rsidRPr="00834E24">
        <w:rPr>
          <w:rFonts w:ascii="Arial" w:hAnsi="Arial" w:cs="Arial"/>
          <w:sz w:val="44"/>
          <w:szCs w:val="44"/>
        </w:rPr>
        <w:t>Module code: BMIH5005</w:t>
      </w:r>
    </w:p>
    <w:p w14:paraId="60CAF86C" w14:textId="77777777" w:rsidR="00834E24" w:rsidRPr="00834E24" w:rsidRDefault="00834E24" w:rsidP="00834E24">
      <w:pPr>
        <w:jc w:val="both"/>
        <w:rPr>
          <w:rFonts w:ascii="Arial" w:hAnsi="Arial" w:cs="Arial"/>
          <w:sz w:val="44"/>
          <w:szCs w:val="44"/>
        </w:rPr>
      </w:pPr>
    </w:p>
    <w:p w14:paraId="3AF9D707" w14:textId="649FDA2A" w:rsidR="000E7E72" w:rsidRDefault="000E7E72" w:rsidP="00834E24">
      <w:pPr>
        <w:jc w:val="both"/>
        <w:rPr>
          <w:rFonts w:ascii="Arial" w:hAnsi="Arial" w:cs="Arial"/>
          <w:sz w:val="44"/>
          <w:szCs w:val="44"/>
        </w:rPr>
      </w:pPr>
      <w:r w:rsidRPr="00834E24">
        <w:rPr>
          <w:rFonts w:ascii="Arial" w:hAnsi="Arial" w:cs="Arial"/>
          <w:sz w:val="44"/>
          <w:szCs w:val="44"/>
        </w:rPr>
        <w:t>Lecture’s name: Emily Williams</w:t>
      </w:r>
    </w:p>
    <w:p w14:paraId="63816E66" w14:textId="10080CB3" w:rsidR="00834E24" w:rsidRPr="00754415" w:rsidRDefault="00834E24" w:rsidP="00834E24">
      <w:pPr>
        <w:spacing w:line="360" w:lineRule="auto"/>
        <w:jc w:val="both"/>
        <w:rPr>
          <w:rFonts w:ascii="Arial" w:hAnsi="Arial" w:cs="Arial"/>
          <w:sz w:val="24"/>
          <w:szCs w:val="24"/>
        </w:rPr>
      </w:pPr>
      <w:r>
        <w:rPr>
          <w:rFonts w:ascii="Arial" w:hAnsi="Arial" w:cs="Arial"/>
          <w:sz w:val="24"/>
          <w:szCs w:val="24"/>
        </w:rPr>
        <w:lastRenderedPageBreak/>
        <w:t xml:space="preserve">     In March 2020 hospitality industry faced a massive business challenge. Many hotels, pubs, and restaurants had to close due to the Government guidelines in accordance with COVID19 pandemic</w:t>
      </w:r>
      <w:r w:rsidR="00362844">
        <w:rPr>
          <w:rFonts w:ascii="Arial" w:hAnsi="Arial" w:cs="Arial"/>
          <w:sz w:val="24"/>
          <w:szCs w:val="24"/>
        </w:rPr>
        <w:t>, to stop the spread of it</w:t>
      </w:r>
      <w:r>
        <w:rPr>
          <w:rFonts w:ascii="Arial" w:hAnsi="Arial" w:cs="Arial"/>
          <w:sz w:val="24"/>
          <w:szCs w:val="24"/>
        </w:rPr>
        <w:t>, and jobs had to be made redundant or staff had to go on furlough</w:t>
      </w:r>
      <w:r w:rsidR="0026171B">
        <w:rPr>
          <w:rFonts w:ascii="Arial" w:hAnsi="Arial" w:cs="Arial"/>
          <w:sz w:val="24"/>
          <w:szCs w:val="24"/>
        </w:rPr>
        <w:t>, as businesses could not cope anymore as they were not making profit</w:t>
      </w:r>
      <w:r>
        <w:rPr>
          <w:rFonts w:ascii="Arial" w:hAnsi="Arial" w:cs="Arial"/>
          <w:sz w:val="24"/>
          <w:szCs w:val="24"/>
        </w:rPr>
        <w:t xml:space="preserve">. </w:t>
      </w:r>
      <w:r w:rsidR="00362844">
        <w:rPr>
          <w:rFonts w:ascii="Arial" w:hAnsi="Arial" w:cs="Arial"/>
          <w:sz w:val="24"/>
          <w:szCs w:val="24"/>
        </w:rPr>
        <w:t>“T</w:t>
      </w:r>
      <w:r w:rsidR="00362844" w:rsidRPr="00362844">
        <w:rPr>
          <w:rFonts w:ascii="Arial" w:hAnsi="Arial" w:cs="Arial"/>
          <w:sz w:val="24"/>
          <w:szCs w:val="24"/>
        </w:rPr>
        <w:t>he hospitality industry was also affected by it as national and international flights were halted, and there was no tourism, business trips, meetings, and no flight crew staying at the airport hotel</w:t>
      </w:r>
      <w:r w:rsidR="00362844">
        <w:rPr>
          <w:rFonts w:ascii="Arial" w:hAnsi="Arial" w:cs="Arial"/>
          <w:sz w:val="24"/>
          <w:szCs w:val="24"/>
        </w:rPr>
        <w:t>.”</w:t>
      </w:r>
      <w:sdt>
        <w:sdtPr>
          <w:rPr>
            <w:rFonts w:ascii="Arial" w:hAnsi="Arial" w:cs="Arial"/>
            <w:sz w:val="24"/>
            <w:szCs w:val="24"/>
          </w:rPr>
          <w:id w:val="1890370370"/>
          <w:citation/>
        </w:sdtPr>
        <w:sdtContent>
          <w:r w:rsidR="00362844">
            <w:rPr>
              <w:rFonts w:ascii="Arial" w:hAnsi="Arial" w:cs="Arial"/>
              <w:sz w:val="24"/>
              <w:szCs w:val="24"/>
            </w:rPr>
            <w:fldChar w:fldCharType="begin"/>
          </w:r>
          <w:r w:rsidR="00362844">
            <w:rPr>
              <w:rFonts w:ascii="Arial" w:hAnsi="Arial" w:cs="Arial"/>
              <w:sz w:val="24"/>
              <w:szCs w:val="24"/>
            </w:rPr>
            <w:instrText xml:space="preserve"> CITATION KiK21 \l 2057 </w:instrText>
          </w:r>
          <w:r w:rsidR="00362844">
            <w:rPr>
              <w:rFonts w:ascii="Arial" w:hAnsi="Arial" w:cs="Arial"/>
              <w:sz w:val="24"/>
              <w:szCs w:val="24"/>
            </w:rPr>
            <w:fldChar w:fldCharType="separate"/>
          </w:r>
          <w:r w:rsidR="00362844">
            <w:rPr>
              <w:rFonts w:ascii="Arial" w:hAnsi="Arial" w:cs="Arial"/>
              <w:noProof/>
              <w:sz w:val="24"/>
              <w:szCs w:val="24"/>
            </w:rPr>
            <w:t xml:space="preserve"> </w:t>
          </w:r>
          <w:r w:rsidR="00362844" w:rsidRPr="00362844">
            <w:rPr>
              <w:rFonts w:ascii="Arial" w:hAnsi="Arial" w:cs="Arial"/>
              <w:noProof/>
              <w:sz w:val="24"/>
              <w:szCs w:val="24"/>
            </w:rPr>
            <w:t>(Khan, 2021)</w:t>
          </w:r>
          <w:r w:rsidR="00362844">
            <w:rPr>
              <w:rFonts w:ascii="Arial" w:hAnsi="Arial" w:cs="Arial"/>
              <w:sz w:val="24"/>
              <w:szCs w:val="24"/>
            </w:rPr>
            <w:fldChar w:fldCharType="end"/>
          </w:r>
        </w:sdtContent>
      </w:sdt>
      <w:r w:rsidR="00362844">
        <w:rPr>
          <w:rFonts w:ascii="Arial" w:hAnsi="Arial" w:cs="Arial"/>
          <w:sz w:val="24"/>
          <w:szCs w:val="24"/>
        </w:rPr>
        <w:t xml:space="preserve"> </w:t>
      </w:r>
      <w:r w:rsidR="0026171B">
        <w:rPr>
          <w:rFonts w:ascii="Arial" w:hAnsi="Arial" w:cs="Arial"/>
          <w:sz w:val="24"/>
          <w:szCs w:val="24"/>
        </w:rPr>
        <w:t>After 12 months when everything started to come back to normal</w:t>
      </w:r>
      <w:r w:rsidR="000B430A">
        <w:rPr>
          <w:rFonts w:ascii="Arial" w:hAnsi="Arial" w:cs="Arial"/>
          <w:sz w:val="24"/>
          <w:szCs w:val="24"/>
        </w:rPr>
        <w:t>, aeronautic segment begin to “defrost”</w:t>
      </w:r>
      <w:r w:rsidR="00BC7422">
        <w:rPr>
          <w:rFonts w:ascii="Arial" w:hAnsi="Arial" w:cs="Arial"/>
          <w:sz w:val="24"/>
          <w:szCs w:val="24"/>
        </w:rPr>
        <w:t xml:space="preserve"> and traveling was allowed again,</w:t>
      </w:r>
      <w:r w:rsidR="0026171B">
        <w:rPr>
          <w:rFonts w:ascii="Arial" w:hAnsi="Arial" w:cs="Arial"/>
          <w:sz w:val="24"/>
          <w:szCs w:val="24"/>
        </w:rPr>
        <w:t xml:space="preserve"> hospitality businesses were allowed to open and operate again, staff levels were very low due to redundancy and furlough positions that have been made 12 months before.</w:t>
      </w:r>
      <w:r w:rsidR="00754415">
        <w:rPr>
          <w:rFonts w:ascii="Arial" w:hAnsi="Arial" w:cs="Arial"/>
          <w:sz w:val="24"/>
          <w:szCs w:val="24"/>
        </w:rPr>
        <w:t>”</w:t>
      </w:r>
      <w:r w:rsidR="00754415" w:rsidRPr="00754415">
        <w:rPr>
          <w:rFonts w:ascii="Open Sans" w:hAnsi="Open Sans" w:cs="Open Sans"/>
          <w:color w:val="000000"/>
          <w:sz w:val="23"/>
          <w:szCs w:val="23"/>
          <w:shd w:val="clear" w:color="auto" w:fill="FFFFFF"/>
        </w:rPr>
        <w:t xml:space="preserve"> </w:t>
      </w:r>
      <w:r w:rsidR="00754415" w:rsidRPr="00754415">
        <w:rPr>
          <w:rFonts w:ascii="Arial" w:hAnsi="Arial" w:cs="Arial"/>
          <w:color w:val="000000"/>
          <w:sz w:val="24"/>
          <w:szCs w:val="24"/>
          <w:shd w:val="clear" w:color="auto" w:fill="FFFFFF"/>
        </w:rPr>
        <w:t>At no point in history has such an incident occurred, where businesses in almost 200 countries have been paralyzed due to a common factor. Only time will truly tell the </w:t>
      </w:r>
      <w:r w:rsidR="00754415" w:rsidRPr="00754415">
        <w:rPr>
          <w:rFonts w:ascii="Arial" w:hAnsi="Arial" w:cs="Arial"/>
          <w:color w:val="000000"/>
          <w:sz w:val="24"/>
          <w:szCs w:val="24"/>
          <w:shd w:val="clear" w:color="auto" w:fill="FFFFFF"/>
          <w:lang w:val="en-US"/>
        </w:rPr>
        <w:t>full </w:t>
      </w:r>
      <w:r w:rsidR="00754415" w:rsidRPr="00754415">
        <w:rPr>
          <w:rFonts w:ascii="Arial" w:hAnsi="Arial" w:cs="Arial"/>
          <w:color w:val="000000"/>
          <w:sz w:val="24"/>
          <w:szCs w:val="24"/>
          <w:shd w:val="clear" w:color="auto" w:fill="FFFFFF"/>
        </w:rPr>
        <w:t>impact of COVID-19 on the global business scenario</w:t>
      </w:r>
      <w:r w:rsidR="00754415">
        <w:rPr>
          <w:rFonts w:ascii="Arial" w:hAnsi="Arial" w:cs="Arial"/>
          <w:sz w:val="24"/>
          <w:szCs w:val="24"/>
        </w:rPr>
        <w:t>.”</w:t>
      </w:r>
      <w:sdt>
        <w:sdtPr>
          <w:rPr>
            <w:rFonts w:ascii="Arial" w:hAnsi="Arial" w:cs="Arial"/>
            <w:sz w:val="24"/>
            <w:szCs w:val="24"/>
          </w:rPr>
          <w:id w:val="-2041420774"/>
          <w:citation/>
        </w:sdtPr>
        <w:sdtContent>
          <w:r w:rsidR="00754415">
            <w:rPr>
              <w:rFonts w:ascii="Arial" w:hAnsi="Arial" w:cs="Arial"/>
              <w:sz w:val="24"/>
              <w:szCs w:val="24"/>
            </w:rPr>
            <w:fldChar w:fldCharType="begin"/>
          </w:r>
          <w:r w:rsidR="00754415">
            <w:rPr>
              <w:rFonts w:ascii="Arial" w:hAnsi="Arial" w:cs="Arial"/>
              <w:sz w:val="24"/>
              <w:szCs w:val="24"/>
            </w:rPr>
            <w:instrText xml:space="preserve"> CITATION Suk20 \l 2057 </w:instrText>
          </w:r>
          <w:r w:rsidR="00754415">
            <w:rPr>
              <w:rFonts w:ascii="Arial" w:hAnsi="Arial" w:cs="Arial"/>
              <w:sz w:val="24"/>
              <w:szCs w:val="24"/>
            </w:rPr>
            <w:fldChar w:fldCharType="separate"/>
          </w:r>
          <w:r w:rsidR="00754415">
            <w:rPr>
              <w:rFonts w:ascii="Arial" w:hAnsi="Arial" w:cs="Arial"/>
              <w:noProof/>
              <w:sz w:val="24"/>
              <w:szCs w:val="24"/>
            </w:rPr>
            <w:t xml:space="preserve"> </w:t>
          </w:r>
          <w:r w:rsidR="00754415" w:rsidRPr="00754415">
            <w:rPr>
              <w:rFonts w:ascii="Arial" w:hAnsi="Arial" w:cs="Arial"/>
              <w:noProof/>
              <w:sz w:val="24"/>
              <w:szCs w:val="24"/>
            </w:rPr>
            <w:t>(Dogra, 2020)</w:t>
          </w:r>
          <w:r w:rsidR="00754415">
            <w:rPr>
              <w:rFonts w:ascii="Arial" w:hAnsi="Arial" w:cs="Arial"/>
              <w:sz w:val="24"/>
              <w:szCs w:val="24"/>
            </w:rPr>
            <w:fldChar w:fldCharType="end"/>
          </w:r>
        </w:sdtContent>
      </w:sdt>
      <w:r w:rsidR="0026171B">
        <w:rPr>
          <w:rFonts w:ascii="Arial" w:hAnsi="Arial" w:cs="Arial"/>
          <w:sz w:val="24"/>
          <w:szCs w:val="24"/>
        </w:rPr>
        <w:t xml:space="preserve"> </w:t>
      </w:r>
      <w:r>
        <w:rPr>
          <w:rFonts w:ascii="Arial" w:hAnsi="Arial" w:cs="Arial"/>
          <w:sz w:val="24"/>
          <w:szCs w:val="24"/>
        </w:rPr>
        <w:t xml:space="preserve">In this essay I will evaluate the impact of COVID19 pandemic on Hotel Trinity </w:t>
      </w:r>
      <w:r w:rsidR="0026171B">
        <w:rPr>
          <w:rFonts w:ascii="Arial" w:hAnsi="Arial" w:cs="Arial"/>
          <w:sz w:val="24"/>
          <w:szCs w:val="24"/>
        </w:rPr>
        <w:t>located</w:t>
      </w:r>
      <w:r>
        <w:rPr>
          <w:rFonts w:ascii="Arial" w:hAnsi="Arial" w:cs="Arial"/>
          <w:sz w:val="24"/>
          <w:szCs w:val="24"/>
        </w:rPr>
        <w:t xml:space="preserve"> in </w:t>
      </w:r>
      <w:r w:rsidR="0026171B">
        <w:rPr>
          <w:rFonts w:ascii="Arial" w:hAnsi="Arial" w:cs="Arial"/>
          <w:sz w:val="24"/>
          <w:szCs w:val="24"/>
        </w:rPr>
        <w:t xml:space="preserve">Central </w:t>
      </w:r>
      <w:r>
        <w:rPr>
          <w:rFonts w:ascii="Arial" w:hAnsi="Arial" w:cs="Arial"/>
          <w:sz w:val="24"/>
          <w:szCs w:val="24"/>
        </w:rPr>
        <w:t>London, and how management rebuilt workforce after the hotel</w:t>
      </w:r>
      <w:r w:rsidR="00754415">
        <w:rPr>
          <w:rFonts w:ascii="Arial" w:hAnsi="Arial" w:cs="Arial"/>
          <w:sz w:val="24"/>
          <w:szCs w:val="24"/>
        </w:rPr>
        <w:t>s</w:t>
      </w:r>
      <w:r>
        <w:rPr>
          <w:rFonts w:ascii="Arial" w:hAnsi="Arial" w:cs="Arial"/>
          <w:sz w:val="24"/>
          <w:szCs w:val="24"/>
        </w:rPr>
        <w:t xml:space="preserve"> reopened in April 2021.</w:t>
      </w:r>
      <w:r w:rsidR="000B430A">
        <w:rPr>
          <w:rFonts w:ascii="Arial" w:hAnsi="Arial" w:cs="Arial"/>
          <w:sz w:val="24"/>
          <w:szCs w:val="24"/>
        </w:rPr>
        <w:t xml:space="preserve"> </w:t>
      </w:r>
      <w:r w:rsidR="00BC7422">
        <w:rPr>
          <w:rFonts w:ascii="Arial" w:hAnsi="Arial" w:cs="Arial"/>
          <w:sz w:val="24"/>
          <w:szCs w:val="24"/>
        </w:rPr>
        <w:t>When everything started to reopen, Government put in place guidelines for health safety measures to make sure that everyone travels safely, and risks are reduced as much as possible. “</w:t>
      </w:r>
      <w:r w:rsidR="00BC7422" w:rsidRPr="00754415">
        <w:rPr>
          <w:rFonts w:ascii="Arial" w:hAnsi="Arial" w:cs="Arial"/>
          <w:sz w:val="24"/>
          <w:szCs w:val="24"/>
          <w:shd w:val="clear" w:color="auto" w:fill="FFFFFF"/>
        </w:rPr>
        <w:t xml:space="preserve">When asked what it would take to get them to travel again, most US leisure </w:t>
      </w:r>
      <w:r w:rsidR="00BC7422" w:rsidRPr="00754415">
        <w:rPr>
          <w:rFonts w:ascii="Arial" w:hAnsi="Arial" w:cs="Arial"/>
          <w:sz w:val="24"/>
          <w:szCs w:val="24"/>
          <w:shd w:val="clear" w:color="auto" w:fill="FFFFFF"/>
        </w:rPr>
        <w:t>travellers</w:t>
      </w:r>
      <w:r w:rsidR="00BC7422" w:rsidRPr="00754415">
        <w:rPr>
          <w:rFonts w:ascii="Arial" w:hAnsi="Arial" w:cs="Arial"/>
          <w:sz w:val="24"/>
          <w:szCs w:val="24"/>
          <w:shd w:val="clear" w:color="auto" w:fill="FFFFFF"/>
        </w:rPr>
        <w:t xml:space="preserve"> want additional health and safety measures, according to the McKinsey Consumer Leisure Travel Survey, which surveyed 3,498 </w:t>
      </w:r>
      <w:r w:rsidR="00BC7422" w:rsidRPr="00754415">
        <w:rPr>
          <w:rFonts w:ascii="Arial" w:hAnsi="Arial" w:cs="Arial"/>
          <w:sz w:val="24"/>
          <w:szCs w:val="24"/>
          <w:shd w:val="clear" w:color="auto" w:fill="FFFFFF"/>
        </w:rPr>
        <w:t>travellers</w:t>
      </w:r>
      <w:r w:rsidR="00BC7422" w:rsidRPr="00754415">
        <w:rPr>
          <w:rFonts w:ascii="Arial" w:hAnsi="Arial" w:cs="Arial"/>
          <w:sz w:val="24"/>
          <w:szCs w:val="24"/>
          <w:shd w:val="clear" w:color="auto" w:fill="FFFFFF"/>
        </w:rPr>
        <w:t xml:space="preserve"> from five countries in April 2020</w:t>
      </w:r>
      <w:r w:rsidR="00BC7422" w:rsidRPr="00754415">
        <w:rPr>
          <w:rFonts w:ascii="Arial" w:hAnsi="Arial" w:cs="Arial"/>
          <w:sz w:val="24"/>
          <w:szCs w:val="24"/>
          <w:shd w:val="clear" w:color="auto" w:fill="FFFFFF"/>
        </w:rPr>
        <w:t xml:space="preserve">” </w:t>
      </w:r>
      <w:sdt>
        <w:sdtPr>
          <w:rPr>
            <w:rFonts w:ascii="Arial" w:hAnsi="Arial" w:cs="Arial"/>
            <w:sz w:val="24"/>
            <w:szCs w:val="24"/>
            <w:shd w:val="clear" w:color="auto" w:fill="FFFFFF"/>
          </w:rPr>
          <w:id w:val="-212650990"/>
          <w:citation/>
        </w:sdtPr>
        <w:sdtContent>
          <w:r w:rsidR="00BC7422" w:rsidRPr="00754415">
            <w:rPr>
              <w:rFonts w:ascii="Arial" w:hAnsi="Arial" w:cs="Arial"/>
              <w:sz w:val="24"/>
              <w:szCs w:val="24"/>
              <w:shd w:val="clear" w:color="auto" w:fill="FFFFFF"/>
            </w:rPr>
            <w:fldChar w:fldCharType="begin"/>
          </w:r>
          <w:r w:rsidR="00BC7422" w:rsidRPr="00754415">
            <w:rPr>
              <w:rFonts w:ascii="Arial" w:hAnsi="Arial" w:cs="Arial"/>
              <w:sz w:val="24"/>
              <w:szCs w:val="24"/>
              <w:shd w:val="clear" w:color="auto" w:fill="FFFFFF"/>
            </w:rPr>
            <w:instrText xml:space="preserve"> CITATION MCK20 \l 2057 </w:instrText>
          </w:r>
          <w:r w:rsidR="00BC7422" w:rsidRPr="00754415">
            <w:rPr>
              <w:rFonts w:ascii="Arial" w:hAnsi="Arial" w:cs="Arial"/>
              <w:sz w:val="24"/>
              <w:szCs w:val="24"/>
              <w:shd w:val="clear" w:color="auto" w:fill="FFFFFF"/>
            </w:rPr>
            <w:fldChar w:fldCharType="separate"/>
          </w:r>
          <w:r w:rsidR="00BC7422" w:rsidRPr="00754415">
            <w:rPr>
              <w:rFonts w:ascii="Arial" w:hAnsi="Arial" w:cs="Arial"/>
              <w:noProof/>
              <w:sz w:val="24"/>
              <w:szCs w:val="24"/>
              <w:shd w:val="clear" w:color="auto" w:fill="FFFFFF"/>
            </w:rPr>
            <w:t>(MCKinsey&amp;Company, 2020)</w:t>
          </w:r>
          <w:r w:rsidR="00BC7422" w:rsidRPr="00754415">
            <w:rPr>
              <w:rFonts w:ascii="Arial" w:hAnsi="Arial" w:cs="Arial"/>
              <w:sz w:val="24"/>
              <w:szCs w:val="24"/>
              <w:shd w:val="clear" w:color="auto" w:fill="FFFFFF"/>
            </w:rPr>
            <w:fldChar w:fldCharType="end"/>
          </w:r>
        </w:sdtContent>
      </w:sdt>
    </w:p>
    <w:p w14:paraId="66CA6300" w14:textId="1FDE65BE" w:rsidR="0026171B" w:rsidRDefault="0026171B" w:rsidP="00834E24">
      <w:pPr>
        <w:spacing w:line="360" w:lineRule="auto"/>
        <w:jc w:val="both"/>
        <w:rPr>
          <w:rFonts w:ascii="Arial" w:hAnsi="Arial" w:cs="Arial"/>
          <w:sz w:val="24"/>
          <w:szCs w:val="24"/>
        </w:rPr>
      </w:pPr>
      <w:r>
        <w:rPr>
          <w:rFonts w:ascii="Arial" w:hAnsi="Arial" w:cs="Arial"/>
          <w:sz w:val="24"/>
          <w:szCs w:val="24"/>
        </w:rPr>
        <w:t xml:space="preserve">   Hotel Trinity is a fictional hotel. It’s workforce of 200 employees was massively impacted as </w:t>
      </w:r>
      <w:r w:rsidR="000B430A">
        <w:rPr>
          <w:rFonts w:ascii="Arial" w:hAnsi="Arial" w:cs="Arial"/>
          <w:sz w:val="24"/>
          <w:szCs w:val="24"/>
        </w:rPr>
        <w:t xml:space="preserve">20 positions were made redundant, 100 employees were furloughed, and the business survived with only 80 staff. </w:t>
      </w:r>
      <w:r w:rsidR="00571CE4">
        <w:rPr>
          <w:rFonts w:ascii="Arial" w:hAnsi="Arial" w:cs="Arial"/>
          <w:sz w:val="24"/>
          <w:szCs w:val="24"/>
        </w:rPr>
        <w:t xml:space="preserve">When they were asked to come back to work after 12 months of being off, some of them may come, some of them may find it hard to get back into that habit or that routine after so long, or some of them will need a motivation to come back. Training’s support is a good way in getting employees in that routine, as it gives them a refresh of what their job description and their aims are. After so much time off, management’s expectations in their efficiency should not be that high as they used to before the pandemic, they should be given time to accommodate again to the environment. </w:t>
      </w:r>
      <w:r w:rsidR="002D44B9">
        <w:rPr>
          <w:rFonts w:ascii="Arial" w:hAnsi="Arial" w:cs="Arial"/>
          <w:sz w:val="24"/>
          <w:szCs w:val="24"/>
        </w:rPr>
        <w:t>“</w:t>
      </w:r>
      <w:r w:rsidR="002D44B9" w:rsidRPr="002D44B9">
        <w:rPr>
          <w:rFonts w:ascii="Arial" w:hAnsi="Arial" w:cs="Arial"/>
          <w:sz w:val="24"/>
          <w:szCs w:val="24"/>
        </w:rPr>
        <w:t xml:space="preserve">We want people coming back to work motivated to build back better: if we are not thoughtful about a good return, we will create workplaces </w:t>
      </w:r>
      <w:r w:rsidR="002D44B9" w:rsidRPr="002D44B9">
        <w:rPr>
          <w:rFonts w:ascii="Arial" w:hAnsi="Arial" w:cs="Arial"/>
          <w:sz w:val="24"/>
          <w:szCs w:val="24"/>
        </w:rPr>
        <w:lastRenderedPageBreak/>
        <w:t xml:space="preserve">which are </w:t>
      </w:r>
      <w:r w:rsidR="002D44B9" w:rsidRPr="002D44B9">
        <w:rPr>
          <w:rFonts w:ascii="Arial" w:hAnsi="Arial" w:cs="Arial"/>
          <w:sz w:val="24"/>
          <w:szCs w:val="24"/>
        </w:rPr>
        <w:t>filled</w:t>
      </w:r>
      <w:r w:rsidR="002D44B9" w:rsidRPr="002D44B9">
        <w:rPr>
          <w:rFonts w:ascii="Arial" w:hAnsi="Arial" w:cs="Arial"/>
          <w:sz w:val="24"/>
          <w:szCs w:val="24"/>
        </w:rPr>
        <w:t xml:space="preserve"> with fear, unhappiness and doubt. Companies must realise that COVID is not a great leveller; some groups require more support than others. As responsible businesses, we </w:t>
      </w:r>
      <w:r w:rsidR="002D44B9" w:rsidRPr="002D44B9">
        <w:rPr>
          <w:rFonts w:ascii="Arial" w:hAnsi="Arial" w:cs="Arial"/>
          <w:sz w:val="24"/>
          <w:szCs w:val="24"/>
        </w:rPr>
        <w:t>must</w:t>
      </w:r>
      <w:r w:rsidR="002D44B9" w:rsidRPr="002D44B9">
        <w:rPr>
          <w:rFonts w:ascii="Arial" w:hAnsi="Arial" w:cs="Arial"/>
          <w:sz w:val="24"/>
          <w:szCs w:val="24"/>
        </w:rPr>
        <w:t xml:space="preserve"> step up and meet this new challenge with our eyes open.</w:t>
      </w:r>
      <w:r w:rsidR="002D44B9">
        <w:rPr>
          <w:rFonts w:ascii="Arial" w:hAnsi="Arial" w:cs="Arial"/>
          <w:sz w:val="24"/>
          <w:szCs w:val="24"/>
        </w:rPr>
        <w:t xml:space="preserve">” </w:t>
      </w:r>
      <w:sdt>
        <w:sdtPr>
          <w:rPr>
            <w:rFonts w:ascii="Arial" w:hAnsi="Arial" w:cs="Arial"/>
            <w:sz w:val="24"/>
            <w:szCs w:val="24"/>
          </w:rPr>
          <w:id w:val="2071073596"/>
          <w:citation/>
        </w:sdtPr>
        <w:sdtContent>
          <w:r w:rsidR="002D44B9">
            <w:rPr>
              <w:rFonts w:ascii="Arial" w:hAnsi="Arial" w:cs="Arial"/>
              <w:sz w:val="24"/>
              <w:szCs w:val="24"/>
            </w:rPr>
            <w:fldChar w:fldCharType="begin"/>
          </w:r>
          <w:r w:rsidR="002D44B9">
            <w:rPr>
              <w:rFonts w:ascii="Arial" w:hAnsi="Arial" w:cs="Arial"/>
              <w:sz w:val="24"/>
              <w:szCs w:val="24"/>
            </w:rPr>
            <w:instrText xml:space="preserve"> CITATION Ama20 \l 2057 </w:instrText>
          </w:r>
          <w:r w:rsidR="002D44B9">
            <w:rPr>
              <w:rFonts w:ascii="Arial" w:hAnsi="Arial" w:cs="Arial"/>
              <w:sz w:val="24"/>
              <w:szCs w:val="24"/>
            </w:rPr>
            <w:fldChar w:fldCharType="separate"/>
          </w:r>
          <w:r w:rsidR="002D44B9" w:rsidRPr="002D44B9">
            <w:rPr>
              <w:rFonts w:ascii="Arial" w:hAnsi="Arial" w:cs="Arial"/>
              <w:noProof/>
              <w:sz w:val="24"/>
              <w:szCs w:val="24"/>
            </w:rPr>
            <w:t>(OBE, 2020)</w:t>
          </w:r>
          <w:r w:rsidR="002D44B9">
            <w:rPr>
              <w:rFonts w:ascii="Arial" w:hAnsi="Arial" w:cs="Arial"/>
              <w:sz w:val="24"/>
              <w:szCs w:val="24"/>
            </w:rPr>
            <w:fldChar w:fldCharType="end"/>
          </w:r>
        </w:sdtContent>
      </w:sdt>
    </w:p>
    <w:p w14:paraId="725095ED" w14:textId="75B51AD7" w:rsidR="00216BC9" w:rsidRDefault="00216BC9" w:rsidP="00834E24">
      <w:pPr>
        <w:spacing w:line="360" w:lineRule="auto"/>
        <w:jc w:val="both"/>
        <w:rPr>
          <w:rFonts w:ascii="Arial" w:hAnsi="Arial" w:cs="Arial"/>
          <w:sz w:val="24"/>
          <w:szCs w:val="24"/>
          <w:shd w:val="clear" w:color="auto" w:fill="FFFFFF"/>
        </w:rPr>
      </w:pPr>
      <w:r>
        <w:rPr>
          <w:rFonts w:ascii="Arial" w:hAnsi="Arial" w:cs="Arial"/>
          <w:sz w:val="24"/>
          <w:szCs w:val="24"/>
        </w:rPr>
        <w:t xml:space="preserve">   One of the main facts that employers must consider is vaccination and tasting, and this must be followed by government guidelines. The company must have its own policies in place in accordance with this, and staff must follow them. “</w:t>
      </w:r>
      <w:r w:rsidRPr="00216BC9">
        <w:rPr>
          <w:rFonts w:ascii="Arial" w:hAnsi="Arial" w:cs="Arial"/>
          <w:sz w:val="24"/>
          <w:szCs w:val="24"/>
          <w:shd w:val="clear" w:color="auto" w:fill="FFFFFF"/>
        </w:rPr>
        <w:t>At the very least employers need to think about their own organisational policies around whether some or all staff are required to be vaccinated as part of their job. Employers should continue to monitor the latest government guidance and be prepared to act upon any changes</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073550652"/>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CIP20 \l 2057 </w:instrText>
          </w:r>
          <w:r>
            <w:rPr>
              <w:rFonts w:ascii="Arial" w:hAnsi="Arial" w:cs="Arial"/>
              <w:sz w:val="24"/>
              <w:szCs w:val="24"/>
              <w:shd w:val="clear" w:color="auto" w:fill="FFFFFF"/>
            </w:rPr>
            <w:fldChar w:fldCharType="separate"/>
          </w:r>
          <w:r w:rsidRPr="00216BC9">
            <w:rPr>
              <w:rFonts w:ascii="Arial" w:hAnsi="Arial" w:cs="Arial"/>
              <w:noProof/>
              <w:sz w:val="24"/>
              <w:szCs w:val="24"/>
              <w:shd w:val="clear" w:color="auto" w:fill="FFFFFF"/>
            </w:rPr>
            <w:t>(CIPD, 2020)</w:t>
          </w:r>
          <w:r>
            <w:rPr>
              <w:rFonts w:ascii="Arial" w:hAnsi="Arial" w:cs="Arial"/>
              <w:sz w:val="24"/>
              <w:szCs w:val="24"/>
              <w:shd w:val="clear" w:color="auto" w:fill="FFFFFF"/>
            </w:rPr>
            <w:fldChar w:fldCharType="end"/>
          </w:r>
        </w:sdtContent>
      </w:sdt>
    </w:p>
    <w:p w14:paraId="3FD39853" w14:textId="793E0B6B" w:rsidR="0025798D" w:rsidRDefault="0025798D" w:rsidP="00834E2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Pr="0025798D">
        <w:rPr>
          <w:rFonts w:ascii="Arial" w:hAnsi="Arial" w:cs="Arial"/>
          <w:sz w:val="24"/>
          <w:szCs w:val="24"/>
          <w:shd w:val="clear" w:color="auto" w:fill="FFFFFF"/>
        </w:rPr>
        <w:t>Economic output in the hospitality sector was down 90% in April 2020 compared to February 2020. Output recovered over the summer of 2020, boosted by easing coronavirus restrictions and the </w:t>
      </w:r>
      <w:hyperlink r:id="rId5" w:history="1">
        <w:r w:rsidRPr="0025798D">
          <w:rPr>
            <w:rStyle w:val="Hyperlink"/>
            <w:rFonts w:ascii="Arial" w:hAnsi="Arial" w:cs="Arial"/>
            <w:color w:val="auto"/>
            <w:sz w:val="24"/>
            <w:szCs w:val="24"/>
            <w:bdr w:val="none" w:sz="0" w:space="0" w:color="auto" w:frame="1"/>
            <w:shd w:val="clear" w:color="auto" w:fill="FFFFFF"/>
          </w:rPr>
          <w:t>Eat Out to Help Out scheme</w:t>
        </w:r>
      </w:hyperlink>
      <w:r w:rsidRPr="0025798D">
        <w:rPr>
          <w:rFonts w:ascii="Arial" w:hAnsi="Arial" w:cs="Arial"/>
          <w:sz w:val="24"/>
          <w:szCs w:val="24"/>
          <w:shd w:val="clear" w:color="auto" w:fill="FFFFFF"/>
        </w:rPr>
        <w:t> in August, but was still below pre-pandemic levels. Output declined again from September as Covid-19 cases rose and restrictions were imposed.</w:t>
      </w:r>
      <w:r>
        <w:rPr>
          <w:rFonts w:ascii="Arial" w:hAnsi="Arial" w:cs="Arial"/>
          <w:sz w:val="24"/>
          <w:szCs w:val="24"/>
          <w:shd w:val="clear" w:color="auto" w:fill="FFFFFF"/>
        </w:rPr>
        <w:t>”</w:t>
      </w:r>
      <w:sdt>
        <w:sdtPr>
          <w:rPr>
            <w:rFonts w:ascii="Arial" w:hAnsi="Arial" w:cs="Arial"/>
            <w:sz w:val="24"/>
            <w:szCs w:val="24"/>
            <w:shd w:val="clear" w:color="auto" w:fill="FFFFFF"/>
          </w:rPr>
          <w:id w:val="-1302539294"/>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Nia21 \l 2057 </w:instrText>
          </w:r>
          <w:r>
            <w:rPr>
              <w:rFonts w:ascii="Arial" w:hAnsi="Arial" w:cs="Arial"/>
              <w:sz w:val="24"/>
              <w:szCs w:val="24"/>
              <w:shd w:val="clear" w:color="auto" w:fill="FFFFFF"/>
            </w:rPr>
            <w:fldChar w:fldCharType="separate"/>
          </w:r>
          <w:r>
            <w:rPr>
              <w:rFonts w:ascii="Arial" w:hAnsi="Arial" w:cs="Arial"/>
              <w:noProof/>
              <w:sz w:val="24"/>
              <w:szCs w:val="24"/>
              <w:shd w:val="clear" w:color="auto" w:fill="FFFFFF"/>
            </w:rPr>
            <w:t xml:space="preserve"> </w:t>
          </w:r>
          <w:r w:rsidRPr="0025798D">
            <w:rPr>
              <w:rFonts w:ascii="Arial" w:hAnsi="Arial" w:cs="Arial"/>
              <w:noProof/>
              <w:sz w:val="24"/>
              <w:szCs w:val="24"/>
              <w:shd w:val="clear" w:color="auto" w:fill="FFFFFF"/>
            </w:rPr>
            <w:t>(Niamh Foley, 2021)</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w:t>
      </w:r>
      <w:r w:rsidR="007960C2">
        <w:rPr>
          <w:rFonts w:ascii="Arial" w:hAnsi="Arial" w:cs="Arial"/>
          <w:sz w:val="24"/>
          <w:szCs w:val="24"/>
          <w:shd w:val="clear" w:color="auto" w:fill="FFFFFF"/>
        </w:rPr>
        <w:t xml:space="preserve">In summer 2020 Hotel Trinity worked out with 80 staff out of 200. Everyone had to help each other, and supervisors and team leaders had to work with housekeepers and waiters as the small financial support from government was not enough to pay the employees that was needed. To reduce the need of employees, some of the floors have been closed, so the number of salaries required to be paid could fit in the government financial support, and the hotel could make that maximum 10% profit at least in the summertime. However, when summer ended and COVID cases increased and pandemic came back again as in March, </w:t>
      </w:r>
      <w:r w:rsidR="005D2F28">
        <w:rPr>
          <w:rFonts w:ascii="Arial" w:hAnsi="Arial" w:cs="Arial"/>
          <w:sz w:val="24"/>
          <w:szCs w:val="24"/>
          <w:shd w:val="clear" w:color="auto" w:fill="FFFFFF"/>
        </w:rPr>
        <w:t xml:space="preserve">Trinity hotel could not even make that 10% profit anymore and had to rely only on government support. </w:t>
      </w:r>
    </w:p>
    <w:p w14:paraId="08CD9866" w14:textId="4789E8C2" w:rsidR="005D2F28" w:rsidRDefault="005D2F28" w:rsidP="00834E24">
      <w:pPr>
        <w:spacing w:line="360" w:lineRule="auto"/>
        <w:jc w:val="both"/>
        <w:rPr>
          <w:rFonts w:ascii="Arial" w:hAnsi="Arial" w:cs="Arial"/>
          <w:sz w:val="24"/>
          <w:szCs w:val="24"/>
        </w:rPr>
      </w:pPr>
      <w:r>
        <w:rPr>
          <w:rFonts w:ascii="Arial" w:hAnsi="Arial" w:cs="Arial"/>
          <w:sz w:val="24"/>
          <w:szCs w:val="24"/>
          <w:shd w:val="clear" w:color="auto" w:fill="FFFFFF"/>
        </w:rPr>
        <w:t xml:space="preserve">    “</w:t>
      </w:r>
      <w:r w:rsidRPr="005D2F28">
        <w:rPr>
          <w:rFonts w:ascii="Arial" w:hAnsi="Arial" w:cs="Arial"/>
          <w:sz w:val="24"/>
          <w:szCs w:val="24"/>
        </w:rPr>
        <w:t>Understanding the impact of the pandemic on the employee life cycle allows leaders of organizations to make sure their employees are receiving the best experience possible—now and into the new normal, after the initial COVID-19 response dissipates.</w:t>
      </w:r>
      <w:r>
        <w:rPr>
          <w:rFonts w:ascii="Arial" w:hAnsi="Arial" w:cs="Arial"/>
          <w:sz w:val="24"/>
          <w:szCs w:val="24"/>
        </w:rPr>
        <w:t xml:space="preserve">” </w:t>
      </w:r>
      <w:sdt>
        <w:sdtPr>
          <w:rPr>
            <w:rFonts w:ascii="Arial" w:hAnsi="Arial" w:cs="Arial"/>
            <w:sz w:val="24"/>
            <w:szCs w:val="24"/>
          </w:rPr>
          <w:id w:val="-489399721"/>
          <w:citation/>
        </w:sdtPr>
        <w:sdtContent>
          <w:r>
            <w:rPr>
              <w:rFonts w:ascii="Arial" w:hAnsi="Arial" w:cs="Arial"/>
              <w:sz w:val="24"/>
              <w:szCs w:val="24"/>
            </w:rPr>
            <w:fldChar w:fldCharType="begin"/>
          </w:r>
          <w:r>
            <w:rPr>
              <w:rFonts w:ascii="Arial" w:hAnsi="Arial" w:cs="Arial"/>
              <w:sz w:val="24"/>
              <w:szCs w:val="24"/>
            </w:rPr>
            <w:instrText xml:space="preserve"> CITATION Kim21 \l 2057 </w:instrText>
          </w:r>
          <w:r>
            <w:rPr>
              <w:rFonts w:ascii="Arial" w:hAnsi="Arial" w:cs="Arial"/>
              <w:sz w:val="24"/>
              <w:szCs w:val="24"/>
            </w:rPr>
            <w:fldChar w:fldCharType="separate"/>
          </w:r>
          <w:r w:rsidRPr="005D2F28">
            <w:rPr>
              <w:rFonts w:ascii="Arial" w:hAnsi="Arial" w:cs="Arial"/>
              <w:noProof/>
              <w:sz w:val="24"/>
              <w:szCs w:val="24"/>
            </w:rPr>
            <w:t>(Davenport, 2021)</w:t>
          </w:r>
          <w:r>
            <w:rPr>
              <w:rFonts w:ascii="Arial" w:hAnsi="Arial" w:cs="Arial"/>
              <w:sz w:val="24"/>
              <w:szCs w:val="24"/>
            </w:rPr>
            <w:fldChar w:fldCharType="end"/>
          </w:r>
        </w:sdtContent>
      </w:sdt>
      <w:r>
        <w:rPr>
          <w:rFonts w:ascii="Arial" w:hAnsi="Arial" w:cs="Arial"/>
          <w:sz w:val="24"/>
          <w:szCs w:val="24"/>
        </w:rPr>
        <w:t xml:space="preserve"> First stage of the employee’s lifecycle that HR needs to focus on is attracting. Hotel Trinity’s HR is </w:t>
      </w:r>
      <w:r w:rsidR="008C018F">
        <w:rPr>
          <w:rFonts w:ascii="Arial" w:hAnsi="Arial" w:cs="Arial"/>
          <w:sz w:val="24"/>
          <w:szCs w:val="24"/>
        </w:rPr>
        <w:t>planning</w:t>
      </w:r>
      <w:r>
        <w:rPr>
          <w:rFonts w:ascii="Arial" w:hAnsi="Arial" w:cs="Arial"/>
          <w:sz w:val="24"/>
          <w:szCs w:val="24"/>
        </w:rPr>
        <w:t xml:space="preserve"> in April 2021 in how to attract new employees to the company, and what benefits to offer them. </w:t>
      </w:r>
      <w:r w:rsidR="008C018F">
        <w:rPr>
          <w:rFonts w:ascii="Arial" w:hAnsi="Arial" w:cs="Arial"/>
          <w:sz w:val="24"/>
          <w:szCs w:val="24"/>
        </w:rPr>
        <w:t xml:space="preserve">HR will consider that some future employees may be looking at the hotel’s health and safety </w:t>
      </w:r>
      <w:r w:rsidR="008C018F">
        <w:rPr>
          <w:rFonts w:ascii="Arial" w:hAnsi="Arial" w:cs="Arial"/>
          <w:sz w:val="24"/>
          <w:szCs w:val="24"/>
        </w:rPr>
        <w:lastRenderedPageBreak/>
        <w:t>measures that are in place, like social distancing and masks wearing. After this phase has been passed and employees been attracted into their new job, Trinity Hotel is focusing on helping the new employees adjust as quickly as possible into their new role. In this phase, a big role plays trainings, role expectation and job description. Rewarding is the third phase of employee’s cycle.</w:t>
      </w:r>
      <w:r w:rsidR="0068011E">
        <w:rPr>
          <w:rFonts w:ascii="Arial" w:hAnsi="Arial" w:cs="Arial"/>
          <w:sz w:val="24"/>
          <w:szCs w:val="24"/>
        </w:rPr>
        <w:t xml:space="preserve"> At this stage, the organisation knows and recognises their employee’s professional development.</w:t>
      </w:r>
      <w:r w:rsidR="008C018F">
        <w:rPr>
          <w:rFonts w:ascii="Arial" w:hAnsi="Arial" w:cs="Arial"/>
          <w:sz w:val="24"/>
          <w:szCs w:val="24"/>
        </w:rPr>
        <w:t xml:space="preserve"> Recognising new recruited employees that lead by example is making the organisation </w:t>
      </w:r>
      <w:r w:rsidR="0068011E">
        <w:rPr>
          <w:rFonts w:ascii="Arial" w:hAnsi="Arial" w:cs="Arial"/>
          <w:sz w:val="24"/>
          <w:szCs w:val="24"/>
        </w:rPr>
        <w:t xml:space="preserve">stranger. Hotel Trinity always considered to recognise employees’ values and promote them when a job role was available, rather then recruiting someone new for a higher role. In this way, employees that want to progress will be more productive and active, wanting to achieve their goal of being promoted, and it is also a way of the company showing them that their work is valued and appreciated. At this stage, Hotel trinity had all supervisors’ positions occupied and HR only needed to focus on recruiting basic employees. </w:t>
      </w:r>
      <w:r w:rsidR="00DB7752">
        <w:rPr>
          <w:rFonts w:ascii="Arial" w:hAnsi="Arial" w:cs="Arial"/>
          <w:sz w:val="24"/>
          <w:szCs w:val="24"/>
        </w:rPr>
        <w:t xml:space="preserve">In developing phase, the organisation aims to get the development and all hard work that has been invested in its employees. The last phase is transitioning, when Hotel Trinity is trying to manage the situation when employees that developed themselves are leaving the organisation for many reasons like new job attraction, retirement, involuntary termination and so on. At this stage, HR can make different offers if the employee is very valuable and effective to be company, offers that may include benefits and attraction that will make them stay. </w:t>
      </w:r>
    </w:p>
    <w:p w14:paraId="10B33B4A" w14:textId="04E92D3D" w:rsidR="00DB7752" w:rsidRDefault="00DB7752" w:rsidP="00834E24">
      <w:pPr>
        <w:spacing w:line="360" w:lineRule="auto"/>
        <w:jc w:val="both"/>
        <w:rPr>
          <w:rFonts w:ascii="Arial" w:hAnsi="Arial" w:cs="Arial"/>
          <w:sz w:val="24"/>
          <w:szCs w:val="24"/>
        </w:rPr>
      </w:pPr>
      <w:r>
        <w:rPr>
          <w:rFonts w:ascii="Arial" w:hAnsi="Arial" w:cs="Arial"/>
          <w:sz w:val="24"/>
          <w:szCs w:val="24"/>
        </w:rPr>
        <w:t xml:space="preserve">    At current time,</w:t>
      </w:r>
      <w:r w:rsidR="006257F9">
        <w:rPr>
          <w:rFonts w:ascii="Arial" w:hAnsi="Arial" w:cs="Arial"/>
          <w:sz w:val="24"/>
          <w:szCs w:val="24"/>
        </w:rPr>
        <w:t xml:space="preserve"> when hospitality sector is open,</w:t>
      </w:r>
      <w:r>
        <w:rPr>
          <w:rFonts w:ascii="Arial" w:hAnsi="Arial" w:cs="Arial"/>
          <w:sz w:val="24"/>
          <w:szCs w:val="24"/>
        </w:rPr>
        <w:t xml:space="preserve"> employee lifecycle is very tight as due to current labour market</w:t>
      </w:r>
      <w:r w:rsidR="006257F9">
        <w:rPr>
          <w:rFonts w:ascii="Arial" w:hAnsi="Arial" w:cs="Arial"/>
          <w:sz w:val="24"/>
          <w:szCs w:val="24"/>
        </w:rPr>
        <w:t>, where 12 months ago, a lot of people were looking for a job whilst they been made redundant or furloughed</w:t>
      </w:r>
      <w:r>
        <w:rPr>
          <w:rFonts w:ascii="Arial" w:hAnsi="Arial" w:cs="Arial"/>
          <w:sz w:val="24"/>
          <w:szCs w:val="24"/>
        </w:rPr>
        <w:t>.</w:t>
      </w:r>
      <w:r w:rsidR="006257F9">
        <w:rPr>
          <w:rFonts w:ascii="Arial" w:hAnsi="Arial" w:cs="Arial"/>
          <w:sz w:val="24"/>
          <w:szCs w:val="24"/>
        </w:rPr>
        <w:t xml:space="preserve"> “</w:t>
      </w:r>
      <w:r w:rsidR="006257F9" w:rsidRPr="006257F9">
        <w:rPr>
          <w:rFonts w:ascii="Arial" w:hAnsi="Arial" w:cs="Arial"/>
          <w:color w:val="000000" w:themeColor="text1"/>
          <w:sz w:val="24"/>
          <w:szCs w:val="24"/>
          <w:shd w:val="clear" w:color="auto" w:fill="FFFFFF"/>
        </w:rPr>
        <w:t>The number of people claiming unemployment related benefits fell by 51,100 in the month to August 2021 but remains 865,100 million higher than in March 2020</w:t>
      </w:r>
      <w:r w:rsidR="006257F9">
        <w:rPr>
          <w:rFonts w:ascii="Arial" w:hAnsi="Arial" w:cs="Arial"/>
          <w:color w:val="000000" w:themeColor="text1"/>
          <w:sz w:val="24"/>
          <w:szCs w:val="24"/>
          <w:shd w:val="clear" w:color="auto" w:fill="FFFFFF"/>
        </w:rPr>
        <w:t>”</w:t>
      </w:r>
      <w:r w:rsidR="006257F9" w:rsidRPr="006257F9">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1293488822"/>
          <w:citation/>
        </w:sdtPr>
        <w:sdtContent>
          <w:r w:rsidR="006257F9">
            <w:rPr>
              <w:rFonts w:ascii="Arial" w:hAnsi="Arial" w:cs="Arial"/>
              <w:color w:val="000000" w:themeColor="text1"/>
              <w:sz w:val="24"/>
              <w:szCs w:val="24"/>
              <w:shd w:val="clear" w:color="auto" w:fill="FFFFFF"/>
            </w:rPr>
            <w:fldChar w:fldCharType="begin"/>
          </w:r>
          <w:r w:rsidR="006257F9">
            <w:rPr>
              <w:rFonts w:ascii="Arial" w:hAnsi="Arial" w:cs="Arial"/>
              <w:color w:val="000000" w:themeColor="text1"/>
              <w:sz w:val="24"/>
              <w:szCs w:val="24"/>
              <w:shd w:val="clear" w:color="auto" w:fill="FFFFFF"/>
            </w:rPr>
            <w:instrText xml:space="preserve"> CITATION And21 \l 2057 </w:instrText>
          </w:r>
          <w:r w:rsidR="006257F9">
            <w:rPr>
              <w:rFonts w:ascii="Arial" w:hAnsi="Arial" w:cs="Arial"/>
              <w:color w:val="000000" w:themeColor="text1"/>
              <w:sz w:val="24"/>
              <w:szCs w:val="24"/>
              <w:shd w:val="clear" w:color="auto" w:fill="FFFFFF"/>
            </w:rPr>
            <w:fldChar w:fldCharType="separate"/>
          </w:r>
          <w:r w:rsidR="006257F9">
            <w:rPr>
              <w:rFonts w:ascii="Arial" w:hAnsi="Arial" w:cs="Arial"/>
              <w:noProof/>
              <w:color w:val="000000" w:themeColor="text1"/>
              <w:sz w:val="24"/>
              <w:szCs w:val="24"/>
              <w:shd w:val="clear" w:color="auto" w:fill="FFFFFF"/>
            </w:rPr>
            <w:t xml:space="preserve"> </w:t>
          </w:r>
          <w:r w:rsidR="006257F9" w:rsidRPr="006257F9">
            <w:rPr>
              <w:rFonts w:ascii="Arial" w:hAnsi="Arial" w:cs="Arial"/>
              <w:noProof/>
              <w:color w:val="000000" w:themeColor="text1"/>
              <w:sz w:val="24"/>
              <w:szCs w:val="24"/>
              <w:shd w:val="clear" w:color="auto" w:fill="FFFFFF"/>
            </w:rPr>
            <w:t>(Andy Powell, 2021)</w:t>
          </w:r>
          <w:r w:rsidR="006257F9">
            <w:rPr>
              <w:rFonts w:ascii="Arial" w:hAnsi="Arial" w:cs="Arial"/>
              <w:color w:val="000000" w:themeColor="text1"/>
              <w:sz w:val="24"/>
              <w:szCs w:val="24"/>
              <w:shd w:val="clear" w:color="auto" w:fill="FFFFFF"/>
            </w:rPr>
            <w:fldChar w:fldCharType="end"/>
          </w:r>
        </w:sdtContent>
      </w:sdt>
      <w:r w:rsidRPr="006257F9">
        <w:rPr>
          <w:rFonts w:ascii="Arial" w:hAnsi="Arial" w:cs="Arial"/>
          <w:color w:val="000000" w:themeColor="text1"/>
          <w:sz w:val="24"/>
          <w:szCs w:val="24"/>
        </w:rPr>
        <w:t xml:space="preserve"> </w:t>
      </w:r>
      <w:r>
        <w:rPr>
          <w:rFonts w:ascii="Arial" w:hAnsi="Arial" w:cs="Arial"/>
          <w:sz w:val="24"/>
          <w:szCs w:val="24"/>
        </w:rPr>
        <w:t xml:space="preserve">There are a lot of offers for job in different areas, so employees have where to </w:t>
      </w:r>
      <w:r w:rsidR="006257F9">
        <w:rPr>
          <w:rFonts w:ascii="Arial" w:hAnsi="Arial" w:cs="Arial"/>
          <w:sz w:val="24"/>
          <w:szCs w:val="24"/>
        </w:rPr>
        <w:t>choose</w:t>
      </w:r>
      <w:r>
        <w:rPr>
          <w:rFonts w:ascii="Arial" w:hAnsi="Arial" w:cs="Arial"/>
          <w:sz w:val="24"/>
          <w:szCs w:val="24"/>
        </w:rPr>
        <w:t xml:space="preserve"> from. Brexit does not help eighter, as a lot of emigrants had to leave UK, </w:t>
      </w:r>
      <w:r w:rsidR="005E3B62">
        <w:rPr>
          <w:rFonts w:ascii="Arial" w:hAnsi="Arial" w:cs="Arial"/>
          <w:sz w:val="24"/>
          <w:szCs w:val="24"/>
        </w:rPr>
        <w:t xml:space="preserve">so that does not help the COVID19 employee situation. </w:t>
      </w:r>
    </w:p>
    <w:p w14:paraId="27378172" w14:textId="2B003185" w:rsidR="00B12A9C" w:rsidRDefault="00A33B5C" w:rsidP="00834E24">
      <w:pPr>
        <w:spacing w:line="360" w:lineRule="auto"/>
        <w:jc w:val="both"/>
        <w:rPr>
          <w:rFonts w:ascii="Arial" w:hAnsi="Arial" w:cs="Arial"/>
          <w:sz w:val="24"/>
          <w:szCs w:val="24"/>
          <w:shd w:val="clear" w:color="auto" w:fill="FFFFFF"/>
        </w:rPr>
      </w:pPr>
      <w:r>
        <w:rPr>
          <w:rFonts w:ascii="Arial" w:hAnsi="Arial" w:cs="Arial"/>
          <w:sz w:val="24"/>
          <w:szCs w:val="24"/>
        </w:rPr>
        <w:t xml:space="preserve">     PESTEL analysis is a good tool to put in order Hotel Trinity’s aims and see how much what the company can invest. Political factors are an external factor that is not up to the company. Government </w:t>
      </w:r>
      <w:r w:rsidR="009A5B89">
        <w:rPr>
          <w:rFonts w:ascii="Arial" w:hAnsi="Arial" w:cs="Arial"/>
          <w:sz w:val="24"/>
          <w:szCs w:val="24"/>
        </w:rPr>
        <w:t xml:space="preserve">guidelines are changing very frequent these days regarding COVID19 and Trinity Hotel must adapt to it every day. “When looking at political factors, you are looking at how government policy and actions intervene in the </w:t>
      </w:r>
      <w:r w:rsidR="009A5B89">
        <w:rPr>
          <w:rFonts w:ascii="Arial" w:hAnsi="Arial" w:cs="Arial"/>
          <w:sz w:val="24"/>
          <w:szCs w:val="24"/>
        </w:rPr>
        <w:lastRenderedPageBreak/>
        <w:t>economy and other factors that can affect the business.</w:t>
      </w:r>
      <w:r w:rsidR="009A5B89">
        <w:rPr>
          <w:rFonts w:ascii="Arial" w:hAnsi="Arial" w:cs="Arial"/>
          <w:color w:val="000000" w:themeColor="text1"/>
          <w:sz w:val="24"/>
          <w:szCs w:val="24"/>
          <w:shd w:val="clear" w:color="auto" w:fill="F8F9FA"/>
        </w:rPr>
        <w:t>”</w:t>
      </w:r>
      <w:r w:rsidR="00B12A9C" w:rsidRPr="00B12A9C">
        <w:t xml:space="preserve"> </w:t>
      </w:r>
      <w:sdt>
        <w:sdtPr>
          <w:rPr>
            <w:rFonts w:ascii="Arial" w:hAnsi="Arial" w:cs="Arial"/>
            <w:sz w:val="24"/>
            <w:szCs w:val="24"/>
          </w:rPr>
          <w:id w:val="1557891871"/>
          <w:citation/>
        </w:sdtPr>
        <w:sdtContent>
          <w:r w:rsidR="00B12A9C" w:rsidRPr="00B12A9C">
            <w:rPr>
              <w:rFonts w:ascii="Arial" w:hAnsi="Arial" w:cs="Arial"/>
              <w:sz w:val="24"/>
              <w:szCs w:val="24"/>
            </w:rPr>
            <w:fldChar w:fldCharType="begin"/>
          </w:r>
          <w:r w:rsidR="00B12A9C" w:rsidRPr="00B12A9C">
            <w:rPr>
              <w:rFonts w:ascii="Arial" w:hAnsi="Arial" w:cs="Arial"/>
              <w:sz w:val="24"/>
              <w:szCs w:val="24"/>
            </w:rPr>
            <w:instrText xml:space="preserve"> CITATION CFI21 \l 2057 </w:instrText>
          </w:r>
          <w:r w:rsidR="00B12A9C" w:rsidRPr="00B12A9C">
            <w:rPr>
              <w:rFonts w:ascii="Arial" w:hAnsi="Arial" w:cs="Arial"/>
              <w:sz w:val="24"/>
              <w:szCs w:val="24"/>
            </w:rPr>
            <w:fldChar w:fldCharType="separate"/>
          </w:r>
          <w:r w:rsidR="00B12A9C" w:rsidRPr="00B12A9C">
            <w:rPr>
              <w:rFonts w:ascii="Arial" w:hAnsi="Arial" w:cs="Arial"/>
              <w:noProof/>
              <w:sz w:val="24"/>
              <w:szCs w:val="24"/>
            </w:rPr>
            <w:t>(CFI, 2015-2021)</w:t>
          </w:r>
          <w:r w:rsidR="00B12A9C" w:rsidRPr="00B12A9C">
            <w:rPr>
              <w:rFonts w:ascii="Arial" w:hAnsi="Arial" w:cs="Arial"/>
              <w:sz w:val="24"/>
              <w:szCs w:val="24"/>
            </w:rPr>
            <w:fldChar w:fldCharType="end"/>
          </w:r>
        </w:sdtContent>
      </w:sdt>
      <w:r w:rsidR="00B12A9C">
        <w:rPr>
          <w:rFonts w:ascii="Arial" w:hAnsi="Arial" w:cs="Arial"/>
          <w:sz w:val="24"/>
          <w:szCs w:val="24"/>
        </w:rPr>
        <w:t xml:space="preserve"> Economic factors have a massive impact on Hotel Trinity’s business and profit. Economic growth and profit that the company makes, best interests and inflation, disposable income are just some of the economic factors. The company have not made much profit the last 12 months, but with disposable income can get some help from government. “</w:t>
      </w:r>
      <w:r w:rsidR="00B12A9C" w:rsidRPr="00B12A9C">
        <w:rPr>
          <w:rFonts w:ascii="Arial" w:hAnsi="Arial" w:cs="Arial"/>
          <w:sz w:val="24"/>
          <w:szCs w:val="24"/>
          <w:shd w:val="clear" w:color="auto" w:fill="FFFFFF"/>
        </w:rPr>
        <w:t>These factors impact on the economy and its performance, which in turn directly impacts on the organisation and its profitability. Factors include interest rates, employment or unemployment rates, raw material costs and foreign exchange rates.</w:t>
      </w:r>
      <w:r w:rsidR="00B12A9C">
        <w:rPr>
          <w:rFonts w:ascii="Arial" w:hAnsi="Arial" w:cs="Arial"/>
          <w:sz w:val="24"/>
          <w:szCs w:val="24"/>
        </w:rPr>
        <w:t xml:space="preserve">” </w:t>
      </w:r>
      <w:sdt>
        <w:sdtPr>
          <w:rPr>
            <w:rFonts w:ascii="Arial" w:hAnsi="Arial" w:cs="Arial"/>
            <w:sz w:val="24"/>
            <w:szCs w:val="24"/>
          </w:rPr>
          <w:id w:val="-1606646787"/>
          <w:citation/>
        </w:sdtPr>
        <w:sdtContent>
          <w:r w:rsidR="00B12A9C">
            <w:rPr>
              <w:rFonts w:ascii="Arial" w:hAnsi="Arial" w:cs="Arial"/>
              <w:sz w:val="24"/>
              <w:szCs w:val="24"/>
            </w:rPr>
            <w:fldChar w:fldCharType="begin"/>
          </w:r>
          <w:r w:rsidR="00B12A9C">
            <w:rPr>
              <w:rFonts w:ascii="Arial" w:hAnsi="Arial" w:cs="Arial"/>
              <w:sz w:val="24"/>
              <w:szCs w:val="24"/>
            </w:rPr>
            <w:instrText xml:space="preserve"> CITATION Oxf211 \l 2057 </w:instrText>
          </w:r>
          <w:r w:rsidR="00B12A9C">
            <w:rPr>
              <w:rFonts w:ascii="Arial" w:hAnsi="Arial" w:cs="Arial"/>
              <w:sz w:val="24"/>
              <w:szCs w:val="24"/>
            </w:rPr>
            <w:fldChar w:fldCharType="separate"/>
          </w:r>
          <w:r w:rsidR="00B12A9C" w:rsidRPr="00B12A9C">
            <w:rPr>
              <w:rFonts w:ascii="Arial" w:hAnsi="Arial" w:cs="Arial"/>
              <w:noProof/>
              <w:sz w:val="24"/>
              <w:szCs w:val="24"/>
            </w:rPr>
            <w:t>(Marketing, 2021)</w:t>
          </w:r>
          <w:r w:rsidR="00B12A9C">
            <w:rPr>
              <w:rFonts w:ascii="Arial" w:hAnsi="Arial" w:cs="Arial"/>
              <w:sz w:val="24"/>
              <w:szCs w:val="24"/>
            </w:rPr>
            <w:fldChar w:fldCharType="end"/>
          </w:r>
        </w:sdtContent>
      </w:sdt>
      <w:r w:rsidR="00B12A9C">
        <w:rPr>
          <w:rFonts w:ascii="Arial" w:hAnsi="Arial" w:cs="Arial"/>
          <w:sz w:val="24"/>
          <w:szCs w:val="24"/>
        </w:rPr>
        <w:t xml:space="preserve"> </w:t>
      </w:r>
      <w:r w:rsidR="00AC0CF1">
        <w:rPr>
          <w:rFonts w:ascii="Arial" w:hAnsi="Arial" w:cs="Arial"/>
          <w:sz w:val="24"/>
          <w:szCs w:val="24"/>
        </w:rPr>
        <w:t>Social factors are also extremely important for Hotel Trinity. Being known as a business hotel, on age range is little probably to have children, so the service needs to focus on adults needs, likely with high level of income. Situated in Central London, employees should expect all kind of customer’s culture. Also, COVID19 factors are to be considered in social factors. On the other hand of the company, employees should be trained to perform their work at the expected level of the customers. “</w:t>
      </w:r>
      <w:r w:rsidR="00AC0CF1" w:rsidRPr="00AC0CF1">
        <w:rPr>
          <w:rFonts w:ascii="Arial" w:hAnsi="Arial" w:cs="Arial"/>
          <w:color w:val="000000" w:themeColor="text1"/>
          <w:sz w:val="24"/>
          <w:szCs w:val="24"/>
          <w:shd w:val="clear" w:color="auto" w:fill="FFFFFF"/>
        </w:rPr>
        <w:t xml:space="preserve">This dimension of the general environment represents the demographic characteristics, norms, customs and values of the population within which the organization operates. This </w:t>
      </w:r>
      <w:r w:rsidR="00AC0CF1" w:rsidRPr="00AC0CF1">
        <w:rPr>
          <w:rFonts w:ascii="Arial" w:hAnsi="Arial" w:cs="Arial"/>
          <w:color w:val="000000" w:themeColor="text1"/>
          <w:sz w:val="24"/>
          <w:szCs w:val="24"/>
          <w:shd w:val="clear" w:color="auto" w:fill="FFFFFF"/>
        </w:rPr>
        <w:t>includes</w:t>
      </w:r>
      <w:r w:rsidR="00AC0CF1" w:rsidRPr="00AC0CF1">
        <w:rPr>
          <w:rFonts w:ascii="Arial" w:hAnsi="Arial" w:cs="Arial"/>
          <w:color w:val="000000" w:themeColor="text1"/>
          <w:sz w:val="24"/>
          <w:szCs w:val="24"/>
          <w:shd w:val="clear" w:color="auto" w:fill="FFFFFF"/>
        </w:rPr>
        <w:t xml:space="preserve"> population trends such as the population growth rate, age distribution, income distribution, career attitudes, safety emphasis, health consciousness, lifestyle attitudes and cultural barriers. These factors are especially important for marketers when targeting certain customers. In addition, it also says something about the local workforce and its willingness to work under certain conditions.</w:t>
      </w:r>
      <w:r w:rsidR="00AC0CF1">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142369652"/>
          <w:citation/>
        </w:sdtPr>
        <w:sdtContent>
          <w:r w:rsidR="00AC0CF1">
            <w:rPr>
              <w:rFonts w:ascii="Arial" w:hAnsi="Arial" w:cs="Arial"/>
              <w:color w:val="000000" w:themeColor="text1"/>
              <w:sz w:val="24"/>
              <w:szCs w:val="24"/>
              <w:shd w:val="clear" w:color="auto" w:fill="FFFFFF"/>
            </w:rPr>
            <w:fldChar w:fldCharType="begin"/>
          </w:r>
          <w:r w:rsidR="00AC0CF1">
            <w:rPr>
              <w:rFonts w:ascii="Arial" w:hAnsi="Arial" w:cs="Arial"/>
              <w:color w:val="000000" w:themeColor="text1"/>
              <w:sz w:val="24"/>
              <w:szCs w:val="24"/>
              <w:shd w:val="clear" w:color="auto" w:fill="FFFFFF"/>
            </w:rPr>
            <w:instrText xml:space="preserve"> CITATION B2U21 \l 2057 </w:instrText>
          </w:r>
          <w:r w:rsidR="00AC0CF1">
            <w:rPr>
              <w:rFonts w:ascii="Arial" w:hAnsi="Arial" w:cs="Arial"/>
              <w:color w:val="000000" w:themeColor="text1"/>
              <w:sz w:val="24"/>
              <w:szCs w:val="24"/>
              <w:shd w:val="clear" w:color="auto" w:fill="FFFFFF"/>
            </w:rPr>
            <w:fldChar w:fldCharType="separate"/>
          </w:r>
          <w:r w:rsidR="00AC0CF1" w:rsidRPr="00AC0CF1">
            <w:rPr>
              <w:rFonts w:ascii="Arial" w:hAnsi="Arial" w:cs="Arial"/>
              <w:noProof/>
              <w:color w:val="000000" w:themeColor="text1"/>
              <w:sz w:val="24"/>
              <w:szCs w:val="24"/>
              <w:shd w:val="clear" w:color="auto" w:fill="FFFFFF"/>
            </w:rPr>
            <w:t>(B2U, n.d.)</w:t>
          </w:r>
          <w:r w:rsidR="00AC0CF1">
            <w:rPr>
              <w:rFonts w:ascii="Arial" w:hAnsi="Arial" w:cs="Arial"/>
              <w:color w:val="000000" w:themeColor="text1"/>
              <w:sz w:val="24"/>
              <w:szCs w:val="24"/>
              <w:shd w:val="clear" w:color="auto" w:fill="FFFFFF"/>
            </w:rPr>
            <w:fldChar w:fldCharType="end"/>
          </w:r>
        </w:sdtContent>
      </w:sdt>
      <w:r w:rsidR="00AC0CF1">
        <w:rPr>
          <w:rFonts w:ascii="Arial" w:hAnsi="Arial" w:cs="Arial"/>
          <w:color w:val="000000" w:themeColor="text1"/>
          <w:sz w:val="24"/>
          <w:szCs w:val="24"/>
          <w:shd w:val="clear" w:color="auto" w:fill="FFFFFF"/>
        </w:rPr>
        <w:t xml:space="preserve"> </w:t>
      </w:r>
      <w:r w:rsidR="00D155FB">
        <w:rPr>
          <w:rFonts w:ascii="Arial" w:hAnsi="Arial" w:cs="Arial"/>
          <w:color w:val="000000" w:themeColor="text1"/>
          <w:sz w:val="24"/>
          <w:szCs w:val="24"/>
          <w:shd w:val="clear" w:color="auto" w:fill="FFFFFF"/>
        </w:rPr>
        <w:t>“</w:t>
      </w:r>
      <w:r w:rsidR="00D155FB" w:rsidRPr="00D155FB">
        <w:rPr>
          <w:rFonts w:ascii="Arial" w:hAnsi="Arial" w:cs="Arial"/>
          <w:color w:val="202122"/>
          <w:sz w:val="24"/>
          <w:szCs w:val="24"/>
          <w:shd w:val="clear" w:color="auto" w:fill="FFFFFF"/>
        </w:rPr>
        <w:t>Technological factors include technological aspects like</w:t>
      </w:r>
      <w:r w:rsidR="00D155FB">
        <w:rPr>
          <w:rFonts w:ascii="Arial" w:hAnsi="Arial" w:cs="Arial"/>
          <w:color w:val="202122"/>
          <w:sz w:val="24"/>
          <w:szCs w:val="24"/>
          <w:shd w:val="clear" w:color="auto" w:fill="FFFFFF"/>
        </w:rPr>
        <w:t xml:space="preserve"> R&amp;D</w:t>
      </w:r>
      <w:r w:rsidR="00D155FB" w:rsidRPr="00D155FB">
        <w:rPr>
          <w:rFonts w:ascii="Arial" w:hAnsi="Arial" w:cs="Arial"/>
          <w:color w:val="202122"/>
          <w:sz w:val="24"/>
          <w:szCs w:val="24"/>
          <w:shd w:val="clear" w:color="auto" w:fill="FFFFFF"/>
        </w:rPr>
        <w:t> activity, </w:t>
      </w:r>
      <w:r w:rsidR="00D155FB">
        <w:rPr>
          <w:rFonts w:ascii="Arial" w:hAnsi="Arial" w:cs="Arial"/>
          <w:sz w:val="24"/>
          <w:szCs w:val="24"/>
        </w:rPr>
        <w:t>automation</w:t>
      </w:r>
      <w:r w:rsidR="00D155FB" w:rsidRPr="00D155FB">
        <w:rPr>
          <w:rFonts w:ascii="Arial" w:hAnsi="Arial" w:cs="Arial"/>
          <w:color w:val="202122"/>
          <w:sz w:val="24"/>
          <w:szCs w:val="24"/>
          <w:shd w:val="clear" w:color="auto" w:fill="FFFFFF"/>
        </w:rPr>
        <w:t>, technology incentives and the rate of </w:t>
      </w:r>
      <w:r w:rsidR="00D155FB">
        <w:rPr>
          <w:rFonts w:ascii="Arial" w:hAnsi="Arial" w:cs="Arial"/>
          <w:sz w:val="24"/>
          <w:szCs w:val="24"/>
        </w:rPr>
        <w:t xml:space="preserve">technological change.” </w:t>
      </w:r>
      <w:sdt>
        <w:sdtPr>
          <w:rPr>
            <w:rFonts w:ascii="Arial" w:hAnsi="Arial" w:cs="Arial"/>
            <w:sz w:val="24"/>
            <w:szCs w:val="24"/>
          </w:rPr>
          <w:id w:val="555592631"/>
          <w:citation/>
        </w:sdtPr>
        <w:sdtContent>
          <w:r w:rsidR="00D155FB">
            <w:rPr>
              <w:rFonts w:ascii="Arial" w:hAnsi="Arial" w:cs="Arial"/>
              <w:sz w:val="24"/>
              <w:szCs w:val="24"/>
            </w:rPr>
            <w:fldChar w:fldCharType="begin"/>
          </w:r>
          <w:r w:rsidR="00D155FB">
            <w:rPr>
              <w:rFonts w:ascii="Arial" w:hAnsi="Arial" w:cs="Arial"/>
              <w:sz w:val="24"/>
              <w:szCs w:val="24"/>
            </w:rPr>
            <w:instrText xml:space="preserve"> CITATION Wik21 \l 2057 </w:instrText>
          </w:r>
          <w:r w:rsidR="00D155FB">
            <w:rPr>
              <w:rFonts w:ascii="Arial" w:hAnsi="Arial" w:cs="Arial"/>
              <w:sz w:val="24"/>
              <w:szCs w:val="24"/>
            </w:rPr>
            <w:fldChar w:fldCharType="separate"/>
          </w:r>
          <w:r w:rsidR="00D155FB" w:rsidRPr="00D155FB">
            <w:rPr>
              <w:rFonts w:ascii="Arial" w:hAnsi="Arial" w:cs="Arial"/>
              <w:noProof/>
              <w:sz w:val="24"/>
              <w:szCs w:val="24"/>
            </w:rPr>
            <w:t>(Wikipedia, 2021)</w:t>
          </w:r>
          <w:r w:rsidR="00D155FB">
            <w:rPr>
              <w:rFonts w:ascii="Arial" w:hAnsi="Arial" w:cs="Arial"/>
              <w:sz w:val="24"/>
              <w:szCs w:val="24"/>
            </w:rPr>
            <w:fldChar w:fldCharType="end"/>
          </w:r>
        </w:sdtContent>
      </w:sdt>
      <w:r w:rsidR="00D155FB">
        <w:rPr>
          <w:rFonts w:ascii="Arial" w:hAnsi="Arial" w:cs="Arial"/>
          <w:sz w:val="24"/>
          <w:szCs w:val="24"/>
        </w:rPr>
        <w:t xml:space="preserve"> Technology at Trinity Hotel is used in three main ways: producing, distributing, and communicating. Technology is used for so much more this days, big hotel companies like Hilton use artificial intelligence to hire employees, but this is not the case with Trinity. Environmental factors have come into marketers’ attention only about 15 years ago. These factors cover sustainability and what sustainable elements the company uses to help the planet. </w:t>
      </w:r>
      <w:r w:rsidR="00D430EB">
        <w:rPr>
          <w:rFonts w:ascii="Arial" w:hAnsi="Arial" w:cs="Arial"/>
          <w:sz w:val="24"/>
          <w:szCs w:val="24"/>
        </w:rPr>
        <w:t>“</w:t>
      </w:r>
      <w:r w:rsidR="00D430EB" w:rsidRPr="00D430EB">
        <w:rPr>
          <w:rFonts w:ascii="Arial" w:hAnsi="Arial" w:cs="Arial"/>
          <w:sz w:val="24"/>
          <w:szCs w:val="24"/>
        </w:rPr>
        <w:t>There’s a growing demand from consumers for ethical, sustainable products, which marketers should include as part of any analysis</w:t>
      </w:r>
      <w:r w:rsidR="00D430EB">
        <w:rPr>
          <w:rFonts w:ascii="Arial" w:hAnsi="Arial" w:cs="Arial"/>
          <w:sz w:val="24"/>
          <w:szCs w:val="24"/>
        </w:rPr>
        <w:t xml:space="preserve">” </w:t>
      </w:r>
      <w:sdt>
        <w:sdtPr>
          <w:rPr>
            <w:rFonts w:ascii="Arial" w:hAnsi="Arial" w:cs="Arial"/>
            <w:sz w:val="24"/>
            <w:szCs w:val="24"/>
          </w:rPr>
          <w:id w:val="1450741409"/>
          <w:citation/>
        </w:sdtPr>
        <w:sdtContent>
          <w:r w:rsidR="00D430EB">
            <w:rPr>
              <w:rFonts w:ascii="Arial" w:hAnsi="Arial" w:cs="Arial"/>
              <w:sz w:val="24"/>
              <w:szCs w:val="24"/>
            </w:rPr>
            <w:fldChar w:fldCharType="begin"/>
          </w:r>
          <w:r w:rsidR="00D430EB">
            <w:rPr>
              <w:rFonts w:ascii="Arial" w:hAnsi="Arial" w:cs="Arial"/>
              <w:sz w:val="24"/>
              <w:szCs w:val="24"/>
            </w:rPr>
            <w:instrText xml:space="preserve"> CITATION GoC21 \l 2057 </w:instrText>
          </w:r>
          <w:r w:rsidR="00D430EB">
            <w:rPr>
              <w:rFonts w:ascii="Arial" w:hAnsi="Arial" w:cs="Arial"/>
              <w:sz w:val="24"/>
              <w:szCs w:val="24"/>
            </w:rPr>
            <w:fldChar w:fldCharType="separate"/>
          </w:r>
          <w:r w:rsidR="00D430EB" w:rsidRPr="00D430EB">
            <w:rPr>
              <w:rFonts w:ascii="Arial" w:hAnsi="Arial" w:cs="Arial"/>
              <w:noProof/>
              <w:sz w:val="24"/>
              <w:szCs w:val="24"/>
            </w:rPr>
            <w:t>(GoCardless, n.d.)</w:t>
          </w:r>
          <w:r w:rsidR="00D430EB">
            <w:rPr>
              <w:rFonts w:ascii="Arial" w:hAnsi="Arial" w:cs="Arial"/>
              <w:sz w:val="24"/>
              <w:szCs w:val="24"/>
            </w:rPr>
            <w:fldChar w:fldCharType="end"/>
          </w:r>
        </w:sdtContent>
      </w:sdt>
      <w:r w:rsidR="00D430EB">
        <w:rPr>
          <w:rFonts w:ascii="Arial" w:hAnsi="Arial" w:cs="Arial"/>
          <w:sz w:val="24"/>
          <w:szCs w:val="24"/>
        </w:rPr>
        <w:t xml:space="preserve"> “</w:t>
      </w:r>
      <w:r w:rsidR="00D430EB" w:rsidRPr="00D430EB">
        <w:rPr>
          <w:rFonts w:ascii="Arial" w:hAnsi="Arial" w:cs="Arial"/>
          <w:sz w:val="24"/>
          <w:szCs w:val="24"/>
          <w:shd w:val="clear" w:color="auto" w:fill="FFFFFF"/>
        </w:rPr>
        <w:t xml:space="preserve">Legal factors include - health and safety, equal opportunities, advertising standards, consumer rights and laws, product labelling and product safety. </w:t>
      </w:r>
      <w:r w:rsidR="00D430EB" w:rsidRPr="00D430EB">
        <w:rPr>
          <w:rFonts w:ascii="Arial" w:hAnsi="Arial" w:cs="Arial"/>
          <w:sz w:val="24"/>
          <w:szCs w:val="24"/>
          <w:shd w:val="clear" w:color="auto" w:fill="FFFFFF"/>
        </w:rPr>
        <w:t>Companies</w:t>
      </w:r>
      <w:r w:rsidR="00D430EB" w:rsidRPr="00D430EB">
        <w:rPr>
          <w:rFonts w:ascii="Arial" w:hAnsi="Arial" w:cs="Arial"/>
          <w:sz w:val="24"/>
          <w:szCs w:val="24"/>
          <w:shd w:val="clear" w:color="auto" w:fill="FFFFFF"/>
        </w:rPr>
        <w:t xml:space="preserve"> need to know what is and what is not legal </w:t>
      </w:r>
      <w:r w:rsidR="00D430EB" w:rsidRPr="00D430EB">
        <w:rPr>
          <w:rFonts w:ascii="Arial" w:hAnsi="Arial" w:cs="Arial"/>
          <w:sz w:val="24"/>
          <w:szCs w:val="24"/>
          <w:shd w:val="clear" w:color="auto" w:fill="FFFFFF"/>
        </w:rPr>
        <w:t>to</w:t>
      </w:r>
      <w:r w:rsidR="00D430EB" w:rsidRPr="00D430EB">
        <w:rPr>
          <w:rFonts w:ascii="Arial" w:hAnsi="Arial" w:cs="Arial"/>
          <w:sz w:val="24"/>
          <w:szCs w:val="24"/>
          <w:shd w:val="clear" w:color="auto" w:fill="FFFFFF"/>
        </w:rPr>
        <w:t xml:space="preserve"> trade successfully. If an organisation trades globally this becomes a very tricky area to get right as each country </w:t>
      </w:r>
      <w:r w:rsidR="00D430EB" w:rsidRPr="00D430EB">
        <w:rPr>
          <w:rFonts w:ascii="Arial" w:hAnsi="Arial" w:cs="Arial"/>
          <w:sz w:val="24"/>
          <w:szCs w:val="24"/>
          <w:shd w:val="clear" w:color="auto" w:fill="FFFFFF"/>
        </w:rPr>
        <w:lastRenderedPageBreak/>
        <w:t>has its own set of rules and regulations.</w:t>
      </w:r>
      <w:r w:rsidR="00D430EB">
        <w:rPr>
          <w:rFonts w:ascii="Arial" w:hAnsi="Arial" w:cs="Arial"/>
          <w:sz w:val="24"/>
          <w:szCs w:val="24"/>
          <w:shd w:val="clear" w:color="auto" w:fill="FFFFFF"/>
        </w:rPr>
        <w:t xml:space="preserve">” </w:t>
      </w:r>
      <w:sdt>
        <w:sdtPr>
          <w:rPr>
            <w:rFonts w:ascii="Arial" w:hAnsi="Arial" w:cs="Arial"/>
            <w:sz w:val="24"/>
            <w:szCs w:val="24"/>
            <w:shd w:val="clear" w:color="auto" w:fill="FFFFFF"/>
          </w:rPr>
          <w:id w:val="-179352004"/>
          <w:citation/>
        </w:sdtPr>
        <w:sdtContent>
          <w:r w:rsidR="00D430EB">
            <w:rPr>
              <w:rFonts w:ascii="Arial" w:hAnsi="Arial" w:cs="Arial"/>
              <w:sz w:val="24"/>
              <w:szCs w:val="24"/>
              <w:shd w:val="clear" w:color="auto" w:fill="FFFFFF"/>
            </w:rPr>
            <w:fldChar w:fldCharType="begin"/>
          </w:r>
          <w:r w:rsidR="00D430EB">
            <w:rPr>
              <w:rFonts w:ascii="Arial" w:hAnsi="Arial" w:cs="Arial"/>
              <w:sz w:val="24"/>
              <w:szCs w:val="24"/>
              <w:shd w:val="clear" w:color="auto" w:fill="FFFFFF"/>
            </w:rPr>
            <w:instrText xml:space="preserve"> CITATION Pro21 \l 2057 </w:instrText>
          </w:r>
          <w:r w:rsidR="00D430EB">
            <w:rPr>
              <w:rFonts w:ascii="Arial" w:hAnsi="Arial" w:cs="Arial"/>
              <w:sz w:val="24"/>
              <w:szCs w:val="24"/>
              <w:shd w:val="clear" w:color="auto" w:fill="FFFFFF"/>
            </w:rPr>
            <w:fldChar w:fldCharType="separate"/>
          </w:r>
          <w:r w:rsidR="00D430EB" w:rsidRPr="00D430EB">
            <w:rPr>
              <w:rFonts w:ascii="Arial" w:hAnsi="Arial" w:cs="Arial"/>
              <w:noProof/>
              <w:sz w:val="24"/>
              <w:szCs w:val="24"/>
              <w:shd w:val="clear" w:color="auto" w:fill="FFFFFF"/>
            </w:rPr>
            <w:t>(Academy, n.d.)</w:t>
          </w:r>
          <w:r w:rsidR="00D430EB">
            <w:rPr>
              <w:rFonts w:ascii="Arial" w:hAnsi="Arial" w:cs="Arial"/>
              <w:sz w:val="24"/>
              <w:szCs w:val="24"/>
              <w:shd w:val="clear" w:color="auto" w:fill="FFFFFF"/>
            </w:rPr>
            <w:fldChar w:fldCharType="end"/>
          </w:r>
        </w:sdtContent>
      </w:sdt>
      <w:r w:rsidR="00D430EB">
        <w:rPr>
          <w:rFonts w:ascii="Arial" w:hAnsi="Arial" w:cs="Arial"/>
          <w:sz w:val="24"/>
          <w:szCs w:val="24"/>
          <w:shd w:val="clear" w:color="auto" w:fill="FFFFFF"/>
        </w:rPr>
        <w:t xml:space="preserve">  Legal factors </w:t>
      </w:r>
      <w:r w:rsidR="00FE3620">
        <w:rPr>
          <w:rFonts w:ascii="Arial" w:hAnsi="Arial" w:cs="Arial"/>
          <w:sz w:val="24"/>
          <w:szCs w:val="24"/>
          <w:shd w:val="clear" w:color="auto" w:fill="FFFFFF"/>
        </w:rPr>
        <w:t>this day</w:t>
      </w:r>
      <w:r w:rsidR="00D430EB">
        <w:rPr>
          <w:rFonts w:ascii="Arial" w:hAnsi="Arial" w:cs="Arial"/>
          <w:sz w:val="24"/>
          <w:szCs w:val="24"/>
          <w:shd w:val="clear" w:color="auto" w:fill="FFFFFF"/>
        </w:rPr>
        <w:t xml:space="preserve"> includes the government regulations due to COVID19. </w:t>
      </w:r>
    </w:p>
    <w:p w14:paraId="6D7A524F" w14:textId="2C322BF1" w:rsidR="00FE3620" w:rsidRDefault="00FE3620" w:rsidP="00834E24">
      <w:pPr>
        <w:spacing w:line="360" w:lineRule="auto"/>
        <w:jc w:val="both"/>
        <w:rPr>
          <w:rFonts w:ascii="Arial" w:hAnsi="Arial" w:cs="Arial"/>
          <w:sz w:val="24"/>
          <w:szCs w:val="24"/>
        </w:rPr>
      </w:pPr>
      <w:r>
        <w:rPr>
          <w:rFonts w:ascii="Arial" w:hAnsi="Arial" w:cs="Arial"/>
          <w:sz w:val="24"/>
          <w:szCs w:val="24"/>
          <w:shd w:val="clear" w:color="auto" w:fill="FFFFFF"/>
        </w:rPr>
        <w:t xml:space="preserve">    Closing hotels had much to do with traveling sector. Even if </w:t>
      </w:r>
      <w:r w:rsidR="006520D5">
        <w:rPr>
          <w:rFonts w:ascii="Arial" w:hAnsi="Arial" w:cs="Arial"/>
          <w:sz w:val="24"/>
          <w:szCs w:val="24"/>
          <w:shd w:val="clear" w:color="auto" w:fill="FFFFFF"/>
        </w:rPr>
        <w:t>it could have been the possibility that</w:t>
      </w:r>
      <w:r>
        <w:rPr>
          <w:rFonts w:ascii="Arial" w:hAnsi="Arial" w:cs="Arial"/>
          <w:sz w:val="24"/>
          <w:szCs w:val="24"/>
          <w:shd w:val="clear" w:color="auto" w:fill="FFFFFF"/>
        </w:rPr>
        <w:t xml:space="preserve"> hotels were not closed, they would not have the same profit and they still must put people in furlough or make redundancy as traveling sector were affected. </w:t>
      </w:r>
      <w:r w:rsidR="006520D5">
        <w:rPr>
          <w:rFonts w:ascii="Arial" w:hAnsi="Arial" w:cs="Arial"/>
          <w:sz w:val="24"/>
          <w:szCs w:val="24"/>
          <w:shd w:val="clear" w:color="auto" w:fill="FFFFFF"/>
        </w:rPr>
        <w:t xml:space="preserve">“Without government assistance, nearly half of respondence indicated that would be forced to close hotels.” </w:t>
      </w:r>
      <w:sdt>
        <w:sdtPr>
          <w:rPr>
            <w:rFonts w:ascii="Arial" w:hAnsi="Arial" w:cs="Arial"/>
            <w:sz w:val="24"/>
            <w:szCs w:val="24"/>
            <w:shd w:val="clear" w:color="auto" w:fill="FFFFFF"/>
          </w:rPr>
          <w:id w:val="-398587264"/>
          <w:citation/>
        </w:sdtPr>
        <w:sdtContent>
          <w:r w:rsidR="006520D5">
            <w:rPr>
              <w:rFonts w:ascii="Arial" w:hAnsi="Arial" w:cs="Arial"/>
              <w:sz w:val="24"/>
              <w:szCs w:val="24"/>
              <w:shd w:val="clear" w:color="auto" w:fill="FFFFFF"/>
            </w:rPr>
            <w:fldChar w:fldCharType="begin"/>
          </w:r>
          <w:r w:rsidR="006520D5">
            <w:rPr>
              <w:rFonts w:ascii="Arial" w:hAnsi="Arial" w:cs="Arial"/>
              <w:sz w:val="24"/>
              <w:szCs w:val="24"/>
              <w:shd w:val="clear" w:color="auto" w:fill="FFFFFF"/>
            </w:rPr>
            <w:instrText xml:space="preserve"> CITATION Alp21 \l 2057 </w:instrText>
          </w:r>
          <w:r w:rsidR="006520D5">
            <w:rPr>
              <w:rFonts w:ascii="Arial" w:hAnsi="Arial" w:cs="Arial"/>
              <w:sz w:val="24"/>
              <w:szCs w:val="24"/>
              <w:shd w:val="clear" w:color="auto" w:fill="FFFFFF"/>
            </w:rPr>
            <w:fldChar w:fldCharType="separate"/>
          </w:r>
          <w:r w:rsidR="006520D5" w:rsidRPr="006520D5">
            <w:rPr>
              <w:rFonts w:ascii="Arial" w:hAnsi="Arial" w:cs="Arial"/>
              <w:noProof/>
              <w:sz w:val="24"/>
              <w:szCs w:val="24"/>
              <w:shd w:val="clear" w:color="auto" w:fill="FFFFFF"/>
            </w:rPr>
            <w:t>(Feedback, 2021)</w:t>
          </w:r>
          <w:r w:rsidR="006520D5">
            <w:rPr>
              <w:rFonts w:ascii="Arial" w:hAnsi="Arial" w:cs="Arial"/>
              <w:sz w:val="24"/>
              <w:szCs w:val="24"/>
              <w:shd w:val="clear" w:color="auto" w:fill="FFFFFF"/>
            </w:rPr>
            <w:fldChar w:fldCharType="end"/>
          </w:r>
        </w:sdtContent>
      </w:sdt>
      <w:r w:rsidR="006520D5">
        <w:rPr>
          <w:rFonts w:ascii="Arial" w:hAnsi="Arial" w:cs="Arial"/>
          <w:sz w:val="24"/>
          <w:szCs w:val="24"/>
          <w:shd w:val="clear" w:color="auto" w:fill="FFFFFF"/>
        </w:rPr>
        <w:t xml:space="preserve"> </w:t>
      </w:r>
      <w:r>
        <w:rPr>
          <w:rFonts w:ascii="Arial" w:hAnsi="Arial" w:cs="Arial"/>
          <w:sz w:val="24"/>
          <w:szCs w:val="24"/>
          <w:shd w:val="clear" w:color="auto" w:fill="FFFFFF"/>
        </w:rPr>
        <w:t xml:space="preserve">Especially Trinity Hotel, being a business hotel. When pandemic started in March 2020 and employees had no work, it was a massive challenge for the company. In August 2020 things started to get back to normal a little, some staff went back to work, find it difficult but were supported by the company a lot, until summer times ended, and pandemic came back, they had to lose their jobs again. In April 2021 when we went back to normal, Trinity Hotel had to take staff on board and get ready for the busy summertime that was coming. Very hard hiring due to COVID19 guidelines and Brexit. However, </w:t>
      </w:r>
      <w:r w:rsidR="006520D5">
        <w:rPr>
          <w:rFonts w:ascii="Arial" w:hAnsi="Arial" w:cs="Arial"/>
          <w:sz w:val="24"/>
          <w:szCs w:val="24"/>
          <w:shd w:val="clear" w:color="auto" w:fill="FFFFFF"/>
        </w:rPr>
        <w:t>employee lifecycle and PESTEL analysis helped HR to organise and cover all vacancies in the company. But we will always need to be ready for any changes that may come or if the pandemic will come back and hospitality will be affected again. “</w:t>
      </w:r>
      <w:r w:rsidR="006520D5" w:rsidRPr="006520D5">
        <w:rPr>
          <w:rFonts w:ascii="Arial" w:hAnsi="Arial" w:cs="Arial"/>
          <w:sz w:val="24"/>
          <w:szCs w:val="24"/>
        </w:rPr>
        <w:t>Changes to the current lockdown restrictions have affected different sectors and regions differently. The changes are also likely to continue to fluctuate, with stricter measures being imposed, possibly with very little notice</w:t>
      </w:r>
      <w:r w:rsidR="006520D5">
        <w:rPr>
          <w:rFonts w:ascii="Arial" w:hAnsi="Arial" w:cs="Arial"/>
          <w:sz w:val="24"/>
          <w:szCs w:val="24"/>
        </w:rPr>
        <w:t xml:space="preserve">” </w:t>
      </w:r>
      <w:sdt>
        <w:sdtPr>
          <w:rPr>
            <w:rFonts w:ascii="Arial" w:hAnsi="Arial" w:cs="Arial"/>
            <w:sz w:val="24"/>
            <w:szCs w:val="24"/>
          </w:rPr>
          <w:id w:val="-1308855530"/>
          <w:citation/>
        </w:sdtPr>
        <w:sdtContent>
          <w:r w:rsidR="006520D5">
            <w:rPr>
              <w:rFonts w:ascii="Arial" w:hAnsi="Arial" w:cs="Arial"/>
              <w:sz w:val="24"/>
              <w:szCs w:val="24"/>
            </w:rPr>
            <w:fldChar w:fldCharType="begin"/>
          </w:r>
          <w:r w:rsidR="006520D5">
            <w:rPr>
              <w:rFonts w:ascii="Arial" w:hAnsi="Arial" w:cs="Arial"/>
              <w:sz w:val="24"/>
              <w:szCs w:val="24"/>
            </w:rPr>
            <w:instrText xml:space="preserve"> CITATION CIP21 \l 2057 </w:instrText>
          </w:r>
          <w:r w:rsidR="006520D5">
            <w:rPr>
              <w:rFonts w:ascii="Arial" w:hAnsi="Arial" w:cs="Arial"/>
              <w:sz w:val="24"/>
              <w:szCs w:val="24"/>
            </w:rPr>
            <w:fldChar w:fldCharType="separate"/>
          </w:r>
          <w:r w:rsidR="006520D5" w:rsidRPr="006520D5">
            <w:rPr>
              <w:rFonts w:ascii="Arial" w:hAnsi="Arial" w:cs="Arial"/>
              <w:noProof/>
              <w:sz w:val="24"/>
              <w:szCs w:val="24"/>
            </w:rPr>
            <w:t>(CIPD, 2021)</w:t>
          </w:r>
          <w:r w:rsidR="006520D5">
            <w:rPr>
              <w:rFonts w:ascii="Arial" w:hAnsi="Arial" w:cs="Arial"/>
              <w:sz w:val="24"/>
              <w:szCs w:val="24"/>
            </w:rPr>
            <w:fldChar w:fldCharType="end"/>
          </w:r>
        </w:sdtContent>
      </w:sdt>
    </w:p>
    <w:p w14:paraId="1BCC8C21" w14:textId="11287DB9" w:rsidR="006520D5" w:rsidRDefault="006520D5" w:rsidP="00834E24">
      <w:pPr>
        <w:spacing w:line="360" w:lineRule="auto"/>
        <w:jc w:val="both"/>
        <w:rPr>
          <w:rFonts w:ascii="Arial" w:hAnsi="Arial" w:cs="Arial"/>
          <w:sz w:val="24"/>
          <w:szCs w:val="24"/>
        </w:rPr>
      </w:pPr>
    </w:p>
    <w:p w14:paraId="596BCA5E" w14:textId="173F5FC7" w:rsidR="006520D5" w:rsidRDefault="006520D5" w:rsidP="00834E24">
      <w:pPr>
        <w:spacing w:line="360" w:lineRule="auto"/>
        <w:jc w:val="both"/>
        <w:rPr>
          <w:rFonts w:ascii="Arial" w:hAnsi="Arial" w:cs="Arial"/>
          <w:sz w:val="24"/>
          <w:szCs w:val="24"/>
        </w:rPr>
      </w:pPr>
    </w:p>
    <w:sdt>
      <w:sdtPr>
        <w:id w:val="7292714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25B5C33" w14:textId="6B46C9E3" w:rsidR="006520D5" w:rsidRDefault="006520D5">
          <w:pPr>
            <w:pStyle w:val="Heading1"/>
          </w:pPr>
          <w:r>
            <w:t>References</w:t>
          </w:r>
        </w:p>
        <w:sdt>
          <w:sdtPr>
            <w:id w:val="-573587230"/>
            <w:bibliography/>
          </w:sdtPr>
          <w:sdtContent>
            <w:p w14:paraId="36AAD61C" w14:textId="77777777" w:rsidR="006520D5" w:rsidRDefault="006520D5" w:rsidP="006520D5">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Academy, P., n.d. </w:t>
              </w:r>
              <w:r>
                <w:rPr>
                  <w:i/>
                  <w:iCs/>
                  <w:noProof/>
                  <w:lang w:val="en-US"/>
                </w:rPr>
                <w:t xml:space="preserve">Professional Academy. </w:t>
              </w:r>
              <w:r>
                <w:rPr>
                  <w:noProof/>
                  <w:lang w:val="en-US"/>
                </w:rPr>
                <w:t xml:space="preserve">[Online] </w:t>
              </w:r>
              <w:r>
                <w:rPr>
                  <w:noProof/>
                  <w:lang w:val="en-US"/>
                </w:rPr>
                <w:br/>
                <w:t xml:space="preserve">Available at: </w:t>
              </w:r>
              <w:r>
                <w:rPr>
                  <w:noProof/>
                  <w:u w:val="single"/>
                  <w:lang w:val="en-US"/>
                </w:rPr>
                <w:t>https://www.professionalacademy.com/blogs/marketing-theories-pestel-analysis/</w:t>
              </w:r>
              <w:r>
                <w:rPr>
                  <w:noProof/>
                  <w:lang w:val="en-US"/>
                </w:rPr>
                <w:br/>
                <w:t>[Accessed 14 10 2021].</w:t>
              </w:r>
            </w:p>
            <w:p w14:paraId="52E4C477" w14:textId="77777777" w:rsidR="006520D5" w:rsidRDefault="006520D5" w:rsidP="006520D5">
              <w:pPr>
                <w:pStyle w:val="Bibliography"/>
                <w:rPr>
                  <w:noProof/>
                  <w:lang w:val="en-US"/>
                </w:rPr>
              </w:pPr>
              <w:r>
                <w:rPr>
                  <w:noProof/>
                  <w:lang w:val="en-US"/>
                </w:rPr>
                <w:t xml:space="preserve">Andy Powell, B. F.-D., 2021. </w:t>
              </w:r>
              <w:r>
                <w:rPr>
                  <w:i/>
                  <w:iCs/>
                  <w:noProof/>
                  <w:lang w:val="en-US"/>
                </w:rPr>
                <w:t xml:space="preserve">UK Parliament. </w:t>
              </w:r>
              <w:r>
                <w:rPr>
                  <w:noProof/>
                  <w:lang w:val="en-US"/>
                </w:rPr>
                <w:t xml:space="preserve">[Online] </w:t>
              </w:r>
              <w:r>
                <w:rPr>
                  <w:noProof/>
                  <w:lang w:val="en-US"/>
                </w:rPr>
                <w:br/>
                <w:t xml:space="preserve">Available at: </w:t>
              </w:r>
              <w:r>
                <w:rPr>
                  <w:noProof/>
                  <w:u w:val="single"/>
                  <w:lang w:val="en-US"/>
                </w:rPr>
                <w:t>https://commonslibrary.parliament.uk/research-briefings/cbp-8898/</w:t>
              </w:r>
              <w:r>
                <w:rPr>
                  <w:noProof/>
                  <w:lang w:val="en-US"/>
                </w:rPr>
                <w:br/>
                <w:t>[Accessed 14 10 2021].</w:t>
              </w:r>
            </w:p>
            <w:p w14:paraId="2D51F055" w14:textId="77777777" w:rsidR="006520D5" w:rsidRDefault="006520D5" w:rsidP="006520D5">
              <w:pPr>
                <w:pStyle w:val="Bibliography"/>
                <w:rPr>
                  <w:noProof/>
                  <w:lang w:val="en-US"/>
                </w:rPr>
              </w:pPr>
              <w:r>
                <w:rPr>
                  <w:noProof/>
                  <w:lang w:val="en-US"/>
                </w:rPr>
                <w:t xml:space="preserve">B2U, n.d. </w:t>
              </w:r>
              <w:r>
                <w:rPr>
                  <w:i/>
                  <w:iCs/>
                  <w:noProof/>
                  <w:lang w:val="en-US"/>
                </w:rPr>
                <w:t xml:space="preserve">Business to you. </w:t>
              </w:r>
              <w:r>
                <w:rPr>
                  <w:noProof/>
                  <w:lang w:val="en-US"/>
                </w:rPr>
                <w:t xml:space="preserve">[Online] </w:t>
              </w:r>
              <w:r>
                <w:rPr>
                  <w:noProof/>
                  <w:lang w:val="en-US"/>
                </w:rPr>
                <w:br/>
                <w:t xml:space="preserve">Available at: </w:t>
              </w:r>
              <w:r>
                <w:rPr>
                  <w:noProof/>
                  <w:u w:val="single"/>
                  <w:lang w:val="en-US"/>
                </w:rPr>
                <w:t>https://www.business-to-you.com/scanning-the-environment-pestel-analysis/</w:t>
              </w:r>
              <w:r>
                <w:rPr>
                  <w:noProof/>
                  <w:lang w:val="en-US"/>
                </w:rPr>
                <w:br/>
                <w:t>[Accessed 14 10 2021].</w:t>
              </w:r>
            </w:p>
            <w:p w14:paraId="3B7DC452" w14:textId="77777777" w:rsidR="006520D5" w:rsidRDefault="006520D5" w:rsidP="006520D5">
              <w:pPr>
                <w:pStyle w:val="Bibliography"/>
                <w:rPr>
                  <w:noProof/>
                  <w:lang w:val="en-US"/>
                </w:rPr>
              </w:pPr>
              <w:r>
                <w:rPr>
                  <w:noProof/>
                  <w:lang w:val="en-US"/>
                </w:rPr>
                <w:lastRenderedPageBreak/>
                <w:t xml:space="preserve">CFI, 2015-2021. </w:t>
              </w:r>
              <w:r>
                <w:rPr>
                  <w:i/>
                  <w:iCs/>
                  <w:noProof/>
                  <w:lang w:val="en-US"/>
                </w:rPr>
                <w:t xml:space="preserve">Corporate Finaince Institute. </w:t>
              </w:r>
              <w:r>
                <w:rPr>
                  <w:noProof/>
                  <w:lang w:val="en-US"/>
                </w:rPr>
                <w:t xml:space="preserve">[Online] </w:t>
              </w:r>
              <w:r>
                <w:rPr>
                  <w:noProof/>
                  <w:lang w:val="en-US"/>
                </w:rPr>
                <w:br/>
                <w:t xml:space="preserve">Available at: </w:t>
              </w:r>
              <w:r>
                <w:rPr>
                  <w:noProof/>
                  <w:u w:val="single"/>
                  <w:lang w:val="en-US"/>
                </w:rPr>
                <w:t>https://corporatefinanceinstitute.com/resources/knowledge/strategy/pestel-analysis/</w:t>
              </w:r>
              <w:r>
                <w:rPr>
                  <w:noProof/>
                  <w:lang w:val="en-US"/>
                </w:rPr>
                <w:br/>
                <w:t>[Accessed 14 10 2021].</w:t>
              </w:r>
            </w:p>
            <w:p w14:paraId="62E156A7" w14:textId="77777777" w:rsidR="006520D5" w:rsidRDefault="006520D5" w:rsidP="006520D5">
              <w:pPr>
                <w:pStyle w:val="Bibliography"/>
                <w:rPr>
                  <w:noProof/>
                  <w:lang w:val="en-US"/>
                </w:rPr>
              </w:pPr>
              <w:r>
                <w:rPr>
                  <w:noProof/>
                  <w:lang w:val="en-US"/>
                </w:rPr>
                <w:t xml:space="preserve">CIPD, 2020. </w:t>
              </w:r>
              <w:r>
                <w:rPr>
                  <w:i/>
                  <w:iCs/>
                  <w:noProof/>
                  <w:lang w:val="en-US"/>
                </w:rPr>
                <w:t xml:space="preserve">www.cipd.co.uk. </w:t>
              </w:r>
              <w:r>
                <w:rPr>
                  <w:noProof/>
                  <w:lang w:val="en-US"/>
                </w:rPr>
                <w:t xml:space="preserve">[Online] </w:t>
              </w:r>
              <w:r>
                <w:rPr>
                  <w:noProof/>
                  <w:lang w:val="en-US"/>
                </w:rPr>
                <w:br/>
                <w:t xml:space="preserve">Available at: </w:t>
              </w:r>
              <w:r>
                <w:rPr>
                  <w:noProof/>
                  <w:u w:val="single"/>
                  <w:lang w:val="en-US"/>
                </w:rPr>
                <w:t>https://www.cipd.co.uk/knowledge/fundamentals/emp-law/employees/workplace-guide-returning-after-coronavirus#gref</w:t>
              </w:r>
              <w:r>
                <w:rPr>
                  <w:noProof/>
                  <w:lang w:val="en-US"/>
                </w:rPr>
                <w:br/>
                <w:t>[Accessed 14 10 2021].</w:t>
              </w:r>
            </w:p>
            <w:p w14:paraId="79C62ED7" w14:textId="77777777" w:rsidR="006520D5" w:rsidRDefault="006520D5" w:rsidP="006520D5">
              <w:pPr>
                <w:pStyle w:val="Bibliography"/>
                <w:rPr>
                  <w:noProof/>
                  <w:lang w:val="en-US"/>
                </w:rPr>
              </w:pPr>
              <w:r>
                <w:rPr>
                  <w:noProof/>
                  <w:lang w:val="en-US"/>
                </w:rPr>
                <w:t xml:space="preserve">CIPD, 2021.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file:///C:/Users/svale/Desktop/Personnel%20Resourcing%20and%20Development/week%203/workplace-guide-returning-after-coronavirus_20210127T222716.pdf</w:t>
              </w:r>
              <w:r>
                <w:rPr>
                  <w:noProof/>
                  <w:lang w:val="en-US"/>
                </w:rPr>
                <w:br/>
                <w:t>[Accessed 14 10 2021].</w:t>
              </w:r>
            </w:p>
            <w:p w14:paraId="42FFD6B5" w14:textId="77777777" w:rsidR="006520D5" w:rsidRDefault="006520D5" w:rsidP="006520D5">
              <w:pPr>
                <w:pStyle w:val="Bibliography"/>
                <w:rPr>
                  <w:noProof/>
                  <w:lang w:val="en-US"/>
                </w:rPr>
              </w:pPr>
              <w:r>
                <w:rPr>
                  <w:noProof/>
                  <w:lang w:val="en-US"/>
                </w:rPr>
                <w:t xml:space="preserve">Davenport, K., 2021. </w:t>
              </w:r>
              <w:r>
                <w:rPr>
                  <w:i/>
                  <w:iCs/>
                  <w:noProof/>
                  <w:lang w:val="en-US"/>
                </w:rPr>
                <w:t xml:space="preserve">Scottmadden. </w:t>
              </w:r>
              <w:r>
                <w:rPr>
                  <w:noProof/>
                  <w:lang w:val="en-US"/>
                </w:rPr>
                <w:t xml:space="preserve">[Online] </w:t>
              </w:r>
              <w:r>
                <w:rPr>
                  <w:noProof/>
                  <w:lang w:val="en-US"/>
                </w:rPr>
                <w:br/>
                <w:t xml:space="preserve">Available at: </w:t>
              </w:r>
              <w:r>
                <w:rPr>
                  <w:noProof/>
                  <w:u w:val="single"/>
                  <w:lang w:val="en-US"/>
                </w:rPr>
                <w:t>www.scottmadden.com</w:t>
              </w:r>
              <w:r>
                <w:rPr>
                  <w:noProof/>
                  <w:lang w:val="en-US"/>
                </w:rPr>
                <w:br/>
                <w:t>[Accessed 14 10 2021].</w:t>
              </w:r>
            </w:p>
            <w:p w14:paraId="6BDCA71B" w14:textId="77777777" w:rsidR="006520D5" w:rsidRDefault="006520D5" w:rsidP="006520D5">
              <w:pPr>
                <w:pStyle w:val="Bibliography"/>
                <w:rPr>
                  <w:noProof/>
                  <w:lang w:val="en-US"/>
                </w:rPr>
              </w:pPr>
              <w:r>
                <w:rPr>
                  <w:noProof/>
                  <w:lang w:val="en-US"/>
                </w:rPr>
                <w:t xml:space="preserve">Dogra, S., 2020. </w:t>
              </w:r>
              <w:r>
                <w:rPr>
                  <w:i/>
                  <w:iCs/>
                  <w:noProof/>
                  <w:lang w:val="en-US"/>
                </w:rPr>
                <w:t xml:space="preserve">EHL Insights. </w:t>
              </w:r>
              <w:r>
                <w:rPr>
                  <w:noProof/>
                  <w:lang w:val="en-US"/>
                </w:rPr>
                <w:t xml:space="preserve">[Online] </w:t>
              </w:r>
              <w:r>
                <w:rPr>
                  <w:noProof/>
                  <w:lang w:val="en-US"/>
                </w:rPr>
                <w:br/>
                <w:t xml:space="preserve">Available at: </w:t>
              </w:r>
              <w:r>
                <w:rPr>
                  <w:noProof/>
                  <w:u w:val="single"/>
                  <w:lang w:val="en-US"/>
                </w:rPr>
                <w:t>https://hospitalityinsights.ehl.edu/covid-19-impact-hospitality-workforce</w:t>
              </w:r>
              <w:r>
                <w:rPr>
                  <w:noProof/>
                  <w:lang w:val="en-US"/>
                </w:rPr>
                <w:br/>
                <w:t>[Accessed 14 10 2021].</w:t>
              </w:r>
            </w:p>
            <w:p w14:paraId="0B03B059" w14:textId="77777777" w:rsidR="006520D5" w:rsidRDefault="006520D5" w:rsidP="006520D5">
              <w:pPr>
                <w:pStyle w:val="Bibliography"/>
                <w:rPr>
                  <w:noProof/>
                  <w:lang w:val="en-US"/>
                </w:rPr>
              </w:pPr>
              <w:r>
                <w:rPr>
                  <w:noProof/>
                  <w:lang w:val="en-US"/>
                </w:rPr>
                <w:t xml:space="preserve">Feedback, A. F. D., 2021. </w:t>
              </w:r>
              <w:r>
                <w:rPr>
                  <w:i/>
                  <w:iCs/>
                  <w:noProof/>
                  <w:lang w:val="en-US"/>
                </w:rPr>
                <w:t xml:space="preserve">AHLA. </w:t>
              </w:r>
              <w:r>
                <w:rPr>
                  <w:noProof/>
                  <w:lang w:val="en-US"/>
                </w:rPr>
                <w:t xml:space="preserve">[Online] </w:t>
              </w:r>
              <w:r>
                <w:rPr>
                  <w:noProof/>
                  <w:lang w:val="en-US"/>
                </w:rPr>
                <w:br/>
                <w:t xml:space="preserve">Available at: </w:t>
              </w:r>
              <w:r>
                <w:rPr>
                  <w:noProof/>
                  <w:u w:val="single"/>
                  <w:lang w:val="en-US"/>
                </w:rPr>
                <w:t>https://www.ahla.com/covid-19s-impact-hotel-industry</w:t>
              </w:r>
              <w:r>
                <w:rPr>
                  <w:noProof/>
                  <w:lang w:val="en-US"/>
                </w:rPr>
                <w:br/>
                <w:t>[Accessed 14 10 2021].</w:t>
              </w:r>
            </w:p>
            <w:p w14:paraId="2790EB6C" w14:textId="77777777" w:rsidR="006520D5" w:rsidRDefault="006520D5" w:rsidP="006520D5">
              <w:pPr>
                <w:pStyle w:val="Bibliography"/>
                <w:rPr>
                  <w:noProof/>
                  <w:lang w:val="en-US"/>
                </w:rPr>
              </w:pPr>
              <w:r>
                <w:rPr>
                  <w:noProof/>
                  <w:lang w:val="en-US"/>
                </w:rPr>
                <w:t xml:space="preserve">GoCardless, n.d. </w:t>
              </w:r>
              <w:r>
                <w:rPr>
                  <w:i/>
                  <w:iCs/>
                  <w:noProof/>
                  <w:lang w:val="en-US"/>
                </w:rPr>
                <w:t xml:space="preserve">Go cardless. </w:t>
              </w:r>
              <w:r>
                <w:rPr>
                  <w:noProof/>
                  <w:lang w:val="en-US"/>
                </w:rPr>
                <w:t xml:space="preserve">[Online] </w:t>
              </w:r>
              <w:r>
                <w:rPr>
                  <w:noProof/>
                  <w:lang w:val="en-US"/>
                </w:rPr>
                <w:br/>
                <w:t xml:space="preserve">Available at: </w:t>
              </w:r>
              <w:r>
                <w:rPr>
                  <w:noProof/>
                  <w:u w:val="single"/>
                  <w:lang w:val="en-US"/>
                </w:rPr>
                <w:t>https://gocardless.com/guides/posts/what-is-a-pestel-analysis/</w:t>
              </w:r>
              <w:r>
                <w:rPr>
                  <w:noProof/>
                  <w:lang w:val="en-US"/>
                </w:rPr>
                <w:br/>
                <w:t>[Accessed 14 10 2021].</w:t>
              </w:r>
            </w:p>
            <w:p w14:paraId="7DA464B3" w14:textId="77777777" w:rsidR="006520D5" w:rsidRDefault="006520D5" w:rsidP="006520D5">
              <w:pPr>
                <w:pStyle w:val="Bibliography"/>
                <w:rPr>
                  <w:noProof/>
                  <w:lang w:val="en-US"/>
                </w:rPr>
              </w:pPr>
              <w:r>
                <w:rPr>
                  <w:noProof/>
                  <w:lang w:val="en-US"/>
                </w:rPr>
                <w:t xml:space="preserve">Khan, K., 2021. The Effect of COVID-19 on the Hospitality Industry: The implication for open innovation. </w:t>
              </w:r>
              <w:r>
                <w:rPr>
                  <w:i/>
                  <w:iCs/>
                  <w:noProof/>
                  <w:lang w:val="en-US"/>
                </w:rPr>
                <w:t xml:space="preserve">Journal of open innocation , </w:t>
              </w:r>
              <w:r>
                <w:rPr>
                  <w:noProof/>
                  <w:lang w:val="en-US"/>
                </w:rPr>
                <w:t>p. 17.</w:t>
              </w:r>
            </w:p>
            <w:p w14:paraId="26B81865" w14:textId="77777777" w:rsidR="006520D5" w:rsidRDefault="006520D5" w:rsidP="006520D5">
              <w:pPr>
                <w:pStyle w:val="Bibliography"/>
                <w:rPr>
                  <w:noProof/>
                  <w:lang w:val="en-US"/>
                </w:rPr>
              </w:pPr>
              <w:r>
                <w:rPr>
                  <w:noProof/>
                  <w:lang w:val="en-US"/>
                </w:rPr>
                <w:t xml:space="preserve">Marketing, O. C. o., 2021. </w:t>
              </w:r>
              <w:r>
                <w:rPr>
                  <w:i/>
                  <w:iCs/>
                  <w:noProof/>
                  <w:lang w:val="en-US"/>
                </w:rPr>
                <w:t xml:space="preserve">Oxford College of Marketing. </w:t>
              </w:r>
              <w:r>
                <w:rPr>
                  <w:noProof/>
                  <w:lang w:val="en-US"/>
                </w:rPr>
                <w:t xml:space="preserve">[Online] </w:t>
              </w:r>
              <w:r>
                <w:rPr>
                  <w:noProof/>
                  <w:lang w:val="en-US"/>
                </w:rPr>
                <w:br/>
                <w:t xml:space="preserve">Available at: </w:t>
              </w:r>
              <w:r>
                <w:rPr>
                  <w:noProof/>
                  <w:u w:val="single"/>
                  <w:lang w:val="en-US"/>
                </w:rPr>
                <w:t>https://blog.oxfordcollegeofmarketing.com/2016/06/30/pestel-analysis/</w:t>
              </w:r>
              <w:r>
                <w:rPr>
                  <w:noProof/>
                  <w:lang w:val="en-US"/>
                </w:rPr>
                <w:br/>
                <w:t>[Accessed 14 10 2021].</w:t>
              </w:r>
            </w:p>
            <w:p w14:paraId="7F8CADC9" w14:textId="77777777" w:rsidR="006520D5" w:rsidRDefault="006520D5" w:rsidP="006520D5">
              <w:pPr>
                <w:pStyle w:val="Bibliography"/>
                <w:rPr>
                  <w:noProof/>
                  <w:lang w:val="en-US"/>
                </w:rPr>
              </w:pPr>
              <w:r>
                <w:rPr>
                  <w:noProof/>
                  <w:lang w:val="en-US"/>
                </w:rPr>
                <w:t xml:space="preserve">MCKinsey&amp;Company, 2020. </w:t>
              </w:r>
              <w:r>
                <w:rPr>
                  <w:i/>
                  <w:iCs/>
                  <w:noProof/>
                  <w:lang w:val="en-US"/>
                </w:rPr>
                <w:t xml:space="preserve">www.mckinsey.com. </w:t>
              </w:r>
              <w:r>
                <w:rPr>
                  <w:noProof/>
                  <w:lang w:val="en-US"/>
                </w:rPr>
                <w:t xml:space="preserve">[Online] </w:t>
              </w:r>
              <w:r>
                <w:rPr>
                  <w:noProof/>
                  <w:lang w:val="en-US"/>
                </w:rPr>
                <w:br/>
                <w:t xml:space="preserve">Available at: </w:t>
              </w:r>
              <w:r>
                <w:rPr>
                  <w:noProof/>
                  <w:u w:val="single"/>
                  <w:lang w:val="en-US"/>
                </w:rPr>
                <w:t>https://www.mckinsey.com/industries/travel-logistics-and-infrastructure/our-insights/hospitality-and-covid-19-how-long-until-no-vacancy-for-us-hotels</w:t>
              </w:r>
              <w:r>
                <w:rPr>
                  <w:noProof/>
                  <w:lang w:val="en-US"/>
                </w:rPr>
                <w:br/>
                <w:t>[Accessed 14 10 2021].</w:t>
              </w:r>
            </w:p>
            <w:p w14:paraId="52F3E2B7" w14:textId="77777777" w:rsidR="006520D5" w:rsidRDefault="006520D5" w:rsidP="006520D5">
              <w:pPr>
                <w:pStyle w:val="Bibliography"/>
                <w:rPr>
                  <w:noProof/>
                  <w:lang w:val="en-US"/>
                </w:rPr>
              </w:pPr>
              <w:r>
                <w:rPr>
                  <w:noProof/>
                  <w:lang w:val="en-US"/>
                </w:rPr>
                <w:t xml:space="preserve">Niamh Foley, G. H., 2021. </w:t>
              </w:r>
              <w:r>
                <w:rPr>
                  <w:i/>
                  <w:iCs/>
                  <w:noProof/>
                  <w:lang w:val="en-US"/>
                </w:rPr>
                <w:t xml:space="preserve">commonslibrary.parliament.uk. </w:t>
              </w:r>
              <w:r>
                <w:rPr>
                  <w:noProof/>
                  <w:lang w:val="en-US"/>
                </w:rPr>
                <w:t xml:space="preserve">[Online] </w:t>
              </w:r>
              <w:r>
                <w:rPr>
                  <w:noProof/>
                  <w:lang w:val="en-US"/>
                </w:rPr>
                <w:br/>
                <w:t xml:space="preserve">Available at: </w:t>
              </w:r>
              <w:r>
                <w:rPr>
                  <w:noProof/>
                  <w:u w:val="single"/>
                  <w:lang w:val="en-US"/>
                </w:rPr>
                <w:t>https://commonslibrary.parliament.uk/research-briefings/cbp-9111/</w:t>
              </w:r>
              <w:r>
                <w:rPr>
                  <w:noProof/>
                  <w:lang w:val="en-US"/>
                </w:rPr>
                <w:br/>
                <w:t>[Accessed 14 10 2021].</w:t>
              </w:r>
            </w:p>
            <w:p w14:paraId="714D797E" w14:textId="77777777" w:rsidR="006520D5" w:rsidRDefault="006520D5" w:rsidP="006520D5">
              <w:pPr>
                <w:pStyle w:val="Bibliography"/>
                <w:rPr>
                  <w:noProof/>
                  <w:lang w:val="en-US"/>
                </w:rPr>
              </w:pPr>
              <w:r>
                <w:rPr>
                  <w:noProof/>
                  <w:lang w:val="en-US"/>
                </w:rPr>
                <w:t xml:space="preserve">OBE, A. M., 2020. </w:t>
              </w:r>
              <w:r>
                <w:rPr>
                  <w:i/>
                  <w:iCs/>
                  <w:noProof/>
                  <w:lang w:val="en-US"/>
                </w:rPr>
                <w:t xml:space="preserve">www.som.org.uk. </w:t>
              </w:r>
              <w:r>
                <w:rPr>
                  <w:noProof/>
                  <w:lang w:val="en-US"/>
                </w:rPr>
                <w:t xml:space="preserve">[Online] </w:t>
              </w:r>
              <w:r>
                <w:rPr>
                  <w:noProof/>
                  <w:lang w:val="en-US"/>
                </w:rPr>
                <w:br/>
                <w:t xml:space="preserve">Available at: </w:t>
              </w:r>
              <w:r>
                <w:rPr>
                  <w:noProof/>
                  <w:u w:val="single"/>
                  <w:lang w:val="en-US"/>
                </w:rPr>
                <w:t>https://www.som.org.uk/Returning_to_the_workplace_COVID-19_toolkit_FINAL.pdf</w:t>
              </w:r>
              <w:r>
                <w:rPr>
                  <w:noProof/>
                  <w:lang w:val="en-US"/>
                </w:rPr>
                <w:br/>
                <w:t>[Accessed 14 10 2021].</w:t>
              </w:r>
            </w:p>
            <w:p w14:paraId="443AD002" w14:textId="77777777" w:rsidR="006520D5" w:rsidRDefault="006520D5" w:rsidP="006520D5">
              <w:pPr>
                <w:pStyle w:val="Bibliography"/>
                <w:rPr>
                  <w:noProof/>
                  <w:lang w:val="en-US"/>
                </w:rPr>
              </w:pPr>
              <w:r>
                <w:rPr>
                  <w:noProof/>
                  <w:lang w:val="en-US"/>
                </w:rPr>
                <w:lastRenderedPageBreak/>
                <w:t xml:space="preserve">Wikipedia, 2021.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https://en.wikipedia.org/wiki/PEST_analysis</w:t>
              </w:r>
              <w:r>
                <w:rPr>
                  <w:noProof/>
                  <w:lang w:val="en-US"/>
                </w:rPr>
                <w:br/>
                <w:t>[Accessed 14 10 2021].</w:t>
              </w:r>
            </w:p>
            <w:p w14:paraId="75ECE6EB" w14:textId="35286F68" w:rsidR="006520D5" w:rsidRDefault="006520D5" w:rsidP="006520D5">
              <w:r>
                <w:rPr>
                  <w:b/>
                  <w:bCs/>
                  <w:noProof/>
                </w:rPr>
                <w:fldChar w:fldCharType="end"/>
              </w:r>
            </w:p>
          </w:sdtContent>
        </w:sdt>
      </w:sdtContent>
    </w:sdt>
    <w:p w14:paraId="754A10C8" w14:textId="77777777" w:rsidR="006520D5" w:rsidRPr="00D430EB" w:rsidRDefault="006520D5" w:rsidP="00834E24">
      <w:pPr>
        <w:spacing w:line="360" w:lineRule="auto"/>
        <w:jc w:val="both"/>
        <w:rPr>
          <w:rFonts w:ascii="Arial" w:hAnsi="Arial" w:cs="Arial"/>
          <w:sz w:val="24"/>
          <w:szCs w:val="24"/>
          <w:shd w:val="clear" w:color="auto" w:fill="F8F9FA"/>
        </w:rPr>
      </w:pPr>
    </w:p>
    <w:sectPr w:rsidR="006520D5" w:rsidRPr="00D43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FF2"/>
    <w:rsid w:val="000B430A"/>
    <w:rsid w:val="000E7E72"/>
    <w:rsid w:val="00216BC9"/>
    <w:rsid w:val="0025798D"/>
    <w:rsid w:val="0026171B"/>
    <w:rsid w:val="002D44B9"/>
    <w:rsid w:val="00362844"/>
    <w:rsid w:val="00571CE4"/>
    <w:rsid w:val="005D2F28"/>
    <w:rsid w:val="005E3B62"/>
    <w:rsid w:val="006257F9"/>
    <w:rsid w:val="006520D5"/>
    <w:rsid w:val="0068011E"/>
    <w:rsid w:val="00754415"/>
    <w:rsid w:val="007960C2"/>
    <w:rsid w:val="007E6419"/>
    <w:rsid w:val="00834E24"/>
    <w:rsid w:val="008C018F"/>
    <w:rsid w:val="009A5B89"/>
    <w:rsid w:val="00A33B5C"/>
    <w:rsid w:val="00AC0CF1"/>
    <w:rsid w:val="00B12A9C"/>
    <w:rsid w:val="00BC7422"/>
    <w:rsid w:val="00CD3FF2"/>
    <w:rsid w:val="00D155FB"/>
    <w:rsid w:val="00D430EB"/>
    <w:rsid w:val="00DB7752"/>
    <w:rsid w:val="00FE3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978A3"/>
  <w15:chartTrackingRefBased/>
  <w15:docId w15:val="{AAFCBF2A-3A9B-4004-8C3D-08652E03E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0D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5798D"/>
    <w:rPr>
      <w:color w:val="0000FF"/>
      <w:u w:val="single"/>
    </w:rPr>
  </w:style>
  <w:style w:type="character" w:customStyle="1" w:styleId="Heading1Char">
    <w:name w:val="Heading 1 Char"/>
    <w:basedOn w:val="DefaultParagraphFont"/>
    <w:link w:val="Heading1"/>
    <w:uiPriority w:val="9"/>
    <w:rsid w:val="006520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2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797">
      <w:bodyDiv w:val="1"/>
      <w:marLeft w:val="0"/>
      <w:marRight w:val="0"/>
      <w:marTop w:val="0"/>
      <w:marBottom w:val="0"/>
      <w:divBdr>
        <w:top w:val="none" w:sz="0" w:space="0" w:color="auto"/>
        <w:left w:val="none" w:sz="0" w:space="0" w:color="auto"/>
        <w:bottom w:val="none" w:sz="0" w:space="0" w:color="auto"/>
        <w:right w:val="none" w:sz="0" w:space="0" w:color="auto"/>
      </w:divBdr>
    </w:div>
    <w:div w:id="14891374">
      <w:bodyDiv w:val="1"/>
      <w:marLeft w:val="0"/>
      <w:marRight w:val="0"/>
      <w:marTop w:val="0"/>
      <w:marBottom w:val="0"/>
      <w:divBdr>
        <w:top w:val="none" w:sz="0" w:space="0" w:color="auto"/>
        <w:left w:val="none" w:sz="0" w:space="0" w:color="auto"/>
        <w:bottom w:val="none" w:sz="0" w:space="0" w:color="auto"/>
        <w:right w:val="none" w:sz="0" w:space="0" w:color="auto"/>
      </w:divBdr>
    </w:div>
    <w:div w:id="106048224">
      <w:bodyDiv w:val="1"/>
      <w:marLeft w:val="0"/>
      <w:marRight w:val="0"/>
      <w:marTop w:val="0"/>
      <w:marBottom w:val="0"/>
      <w:divBdr>
        <w:top w:val="none" w:sz="0" w:space="0" w:color="auto"/>
        <w:left w:val="none" w:sz="0" w:space="0" w:color="auto"/>
        <w:bottom w:val="none" w:sz="0" w:space="0" w:color="auto"/>
        <w:right w:val="none" w:sz="0" w:space="0" w:color="auto"/>
      </w:divBdr>
    </w:div>
    <w:div w:id="184292457">
      <w:bodyDiv w:val="1"/>
      <w:marLeft w:val="0"/>
      <w:marRight w:val="0"/>
      <w:marTop w:val="0"/>
      <w:marBottom w:val="0"/>
      <w:divBdr>
        <w:top w:val="none" w:sz="0" w:space="0" w:color="auto"/>
        <w:left w:val="none" w:sz="0" w:space="0" w:color="auto"/>
        <w:bottom w:val="none" w:sz="0" w:space="0" w:color="auto"/>
        <w:right w:val="none" w:sz="0" w:space="0" w:color="auto"/>
      </w:divBdr>
    </w:div>
    <w:div w:id="267086795">
      <w:bodyDiv w:val="1"/>
      <w:marLeft w:val="0"/>
      <w:marRight w:val="0"/>
      <w:marTop w:val="0"/>
      <w:marBottom w:val="0"/>
      <w:divBdr>
        <w:top w:val="none" w:sz="0" w:space="0" w:color="auto"/>
        <w:left w:val="none" w:sz="0" w:space="0" w:color="auto"/>
        <w:bottom w:val="none" w:sz="0" w:space="0" w:color="auto"/>
        <w:right w:val="none" w:sz="0" w:space="0" w:color="auto"/>
      </w:divBdr>
    </w:div>
    <w:div w:id="319582919">
      <w:bodyDiv w:val="1"/>
      <w:marLeft w:val="0"/>
      <w:marRight w:val="0"/>
      <w:marTop w:val="0"/>
      <w:marBottom w:val="0"/>
      <w:divBdr>
        <w:top w:val="none" w:sz="0" w:space="0" w:color="auto"/>
        <w:left w:val="none" w:sz="0" w:space="0" w:color="auto"/>
        <w:bottom w:val="none" w:sz="0" w:space="0" w:color="auto"/>
        <w:right w:val="none" w:sz="0" w:space="0" w:color="auto"/>
      </w:divBdr>
    </w:div>
    <w:div w:id="438986019">
      <w:bodyDiv w:val="1"/>
      <w:marLeft w:val="0"/>
      <w:marRight w:val="0"/>
      <w:marTop w:val="0"/>
      <w:marBottom w:val="0"/>
      <w:divBdr>
        <w:top w:val="none" w:sz="0" w:space="0" w:color="auto"/>
        <w:left w:val="none" w:sz="0" w:space="0" w:color="auto"/>
        <w:bottom w:val="none" w:sz="0" w:space="0" w:color="auto"/>
        <w:right w:val="none" w:sz="0" w:space="0" w:color="auto"/>
      </w:divBdr>
    </w:div>
    <w:div w:id="476264283">
      <w:bodyDiv w:val="1"/>
      <w:marLeft w:val="0"/>
      <w:marRight w:val="0"/>
      <w:marTop w:val="0"/>
      <w:marBottom w:val="0"/>
      <w:divBdr>
        <w:top w:val="none" w:sz="0" w:space="0" w:color="auto"/>
        <w:left w:val="none" w:sz="0" w:space="0" w:color="auto"/>
        <w:bottom w:val="none" w:sz="0" w:space="0" w:color="auto"/>
        <w:right w:val="none" w:sz="0" w:space="0" w:color="auto"/>
      </w:divBdr>
    </w:div>
    <w:div w:id="659965305">
      <w:bodyDiv w:val="1"/>
      <w:marLeft w:val="0"/>
      <w:marRight w:val="0"/>
      <w:marTop w:val="0"/>
      <w:marBottom w:val="0"/>
      <w:divBdr>
        <w:top w:val="none" w:sz="0" w:space="0" w:color="auto"/>
        <w:left w:val="none" w:sz="0" w:space="0" w:color="auto"/>
        <w:bottom w:val="none" w:sz="0" w:space="0" w:color="auto"/>
        <w:right w:val="none" w:sz="0" w:space="0" w:color="auto"/>
      </w:divBdr>
    </w:div>
    <w:div w:id="785081602">
      <w:bodyDiv w:val="1"/>
      <w:marLeft w:val="0"/>
      <w:marRight w:val="0"/>
      <w:marTop w:val="0"/>
      <w:marBottom w:val="0"/>
      <w:divBdr>
        <w:top w:val="none" w:sz="0" w:space="0" w:color="auto"/>
        <w:left w:val="none" w:sz="0" w:space="0" w:color="auto"/>
        <w:bottom w:val="none" w:sz="0" w:space="0" w:color="auto"/>
        <w:right w:val="none" w:sz="0" w:space="0" w:color="auto"/>
      </w:divBdr>
    </w:div>
    <w:div w:id="805513960">
      <w:bodyDiv w:val="1"/>
      <w:marLeft w:val="0"/>
      <w:marRight w:val="0"/>
      <w:marTop w:val="0"/>
      <w:marBottom w:val="0"/>
      <w:divBdr>
        <w:top w:val="none" w:sz="0" w:space="0" w:color="auto"/>
        <w:left w:val="none" w:sz="0" w:space="0" w:color="auto"/>
        <w:bottom w:val="none" w:sz="0" w:space="0" w:color="auto"/>
        <w:right w:val="none" w:sz="0" w:space="0" w:color="auto"/>
      </w:divBdr>
    </w:div>
    <w:div w:id="832141990">
      <w:bodyDiv w:val="1"/>
      <w:marLeft w:val="0"/>
      <w:marRight w:val="0"/>
      <w:marTop w:val="0"/>
      <w:marBottom w:val="0"/>
      <w:divBdr>
        <w:top w:val="none" w:sz="0" w:space="0" w:color="auto"/>
        <w:left w:val="none" w:sz="0" w:space="0" w:color="auto"/>
        <w:bottom w:val="none" w:sz="0" w:space="0" w:color="auto"/>
        <w:right w:val="none" w:sz="0" w:space="0" w:color="auto"/>
      </w:divBdr>
    </w:div>
    <w:div w:id="1083990074">
      <w:bodyDiv w:val="1"/>
      <w:marLeft w:val="0"/>
      <w:marRight w:val="0"/>
      <w:marTop w:val="0"/>
      <w:marBottom w:val="0"/>
      <w:divBdr>
        <w:top w:val="none" w:sz="0" w:space="0" w:color="auto"/>
        <w:left w:val="none" w:sz="0" w:space="0" w:color="auto"/>
        <w:bottom w:val="none" w:sz="0" w:space="0" w:color="auto"/>
        <w:right w:val="none" w:sz="0" w:space="0" w:color="auto"/>
      </w:divBdr>
    </w:div>
    <w:div w:id="1386831804">
      <w:bodyDiv w:val="1"/>
      <w:marLeft w:val="0"/>
      <w:marRight w:val="0"/>
      <w:marTop w:val="0"/>
      <w:marBottom w:val="0"/>
      <w:divBdr>
        <w:top w:val="none" w:sz="0" w:space="0" w:color="auto"/>
        <w:left w:val="none" w:sz="0" w:space="0" w:color="auto"/>
        <w:bottom w:val="none" w:sz="0" w:space="0" w:color="auto"/>
        <w:right w:val="none" w:sz="0" w:space="0" w:color="auto"/>
      </w:divBdr>
    </w:div>
    <w:div w:id="1400519123">
      <w:bodyDiv w:val="1"/>
      <w:marLeft w:val="0"/>
      <w:marRight w:val="0"/>
      <w:marTop w:val="0"/>
      <w:marBottom w:val="0"/>
      <w:divBdr>
        <w:top w:val="none" w:sz="0" w:space="0" w:color="auto"/>
        <w:left w:val="none" w:sz="0" w:space="0" w:color="auto"/>
        <w:bottom w:val="none" w:sz="0" w:space="0" w:color="auto"/>
        <w:right w:val="none" w:sz="0" w:space="0" w:color="auto"/>
      </w:divBdr>
    </w:div>
    <w:div w:id="1493637594">
      <w:bodyDiv w:val="1"/>
      <w:marLeft w:val="0"/>
      <w:marRight w:val="0"/>
      <w:marTop w:val="0"/>
      <w:marBottom w:val="0"/>
      <w:divBdr>
        <w:top w:val="none" w:sz="0" w:space="0" w:color="auto"/>
        <w:left w:val="none" w:sz="0" w:space="0" w:color="auto"/>
        <w:bottom w:val="none" w:sz="0" w:space="0" w:color="auto"/>
        <w:right w:val="none" w:sz="0" w:space="0" w:color="auto"/>
      </w:divBdr>
    </w:div>
    <w:div w:id="1505128522">
      <w:bodyDiv w:val="1"/>
      <w:marLeft w:val="0"/>
      <w:marRight w:val="0"/>
      <w:marTop w:val="0"/>
      <w:marBottom w:val="0"/>
      <w:divBdr>
        <w:top w:val="none" w:sz="0" w:space="0" w:color="auto"/>
        <w:left w:val="none" w:sz="0" w:space="0" w:color="auto"/>
        <w:bottom w:val="none" w:sz="0" w:space="0" w:color="auto"/>
        <w:right w:val="none" w:sz="0" w:space="0" w:color="auto"/>
      </w:divBdr>
    </w:div>
    <w:div w:id="1579053129">
      <w:bodyDiv w:val="1"/>
      <w:marLeft w:val="0"/>
      <w:marRight w:val="0"/>
      <w:marTop w:val="0"/>
      <w:marBottom w:val="0"/>
      <w:divBdr>
        <w:top w:val="none" w:sz="0" w:space="0" w:color="auto"/>
        <w:left w:val="none" w:sz="0" w:space="0" w:color="auto"/>
        <w:bottom w:val="none" w:sz="0" w:space="0" w:color="auto"/>
        <w:right w:val="none" w:sz="0" w:space="0" w:color="auto"/>
      </w:divBdr>
    </w:div>
    <w:div w:id="1579903348">
      <w:bodyDiv w:val="1"/>
      <w:marLeft w:val="0"/>
      <w:marRight w:val="0"/>
      <w:marTop w:val="0"/>
      <w:marBottom w:val="0"/>
      <w:divBdr>
        <w:top w:val="none" w:sz="0" w:space="0" w:color="auto"/>
        <w:left w:val="none" w:sz="0" w:space="0" w:color="auto"/>
        <w:bottom w:val="none" w:sz="0" w:space="0" w:color="auto"/>
        <w:right w:val="none" w:sz="0" w:space="0" w:color="auto"/>
      </w:divBdr>
    </w:div>
    <w:div w:id="1599362107">
      <w:bodyDiv w:val="1"/>
      <w:marLeft w:val="0"/>
      <w:marRight w:val="0"/>
      <w:marTop w:val="0"/>
      <w:marBottom w:val="0"/>
      <w:divBdr>
        <w:top w:val="none" w:sz="0" w:space="0" w:color="auto"/>
        <w:left w:val="none" w:sz="0" w:space="0" w:color="auto"/>
        <w:bottom w:val="none" w:sz="0" w:space="0" w:color="auto"/>
        <w:right w:val="none" w:sz="0" w:space="0" w:color="auto"/>
      </w:divBdr>
    </w:div>
    <w:div w:id="1824931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commonslibrary.parliament.uk/research-briefings/cbp-897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MCK20</b:Tag>
    <b:SourceType>InternetSite</b:SourceType>
    <b:Guid>{BB968B8F-BFF7-4094-A535-DB8EE801143E}</b:Guid>
    <b:Author>
      <b:Author>
        <b:NameList>
          <b:Person>
            <b:Last>MCKinsey&amp;Company</b:Last>
          </b:Person>
        </b:NameList>
      </b:Author>
    </b:Author>
    <b:Title>www.mckinsey.com</b:Title>
    <b:Year>2020</b:Year>
    <b:YearAccessed>2021</b:YearAccessed>
    <b:MonthAccessed>10</b:MonthAccessed>
    <b:DayAccessed>14</b:DayAccessed>
    <b:URL>https://www.mckinsey.com/industries/travel-logistics-and-infrastructure/our-insights/hospitality-and-covid-19-how-long-until-no-vacancy-for-us-hotels</b:URL>
    <b:RefOrder>3</b:RefOrder>
  </b:Source>
  <b:Source>
    <b:Tag>KiK21</b:Tag>
    <b:SourceType>JournalArticle</b:SourceType>
    <b:Guid>{576DBB26-F919-410F-8318-F9682B0354A4}</b:Guid>
    <b:Author>
      <b:Author>
        <b:NameList>
          <b:Person>
            <b:Last>Khan</b:Last>
            <b:First>Ki</b:First>
          </b:Person>
        </b:NameList>
      </b:Author>
    </b:Author>
    <b:Title>The Effect of COVID-19 on the Hospitality Industry: The implication for open innovation </b:Title>
    <b:Year>2021</b:Year>
    <b:JournalName>Journal of open innocation </b:JournalName>
    <b:Pages>17</b:Pages>
    <b:RefOrder>1</b:RefOrder>
  </b:Source>
  <b:Source>
    <b:Tag>Suk20</b:Tag>
    <b:SourceType>InternetSite</b:SourceType>
    <b:Guid>{2071F0D6-FE2A-4956-8F78-1611EACEF9F2}</b:Guid>
    <b:Author>
      <b:Author>
        <b:NameList>
          <b:Person>
            <b:Last>Dogra</b:Last>
            <b:First>Sukrit</b:First>
          </b:Person>
        </b:NameList>
      </b:Author>
    </b:Author>
    <b:Title>EHL Insights</b:Title>
    <b:Year>2020</b:Year>
    <b:YearAccessed>2021</b:YearAccessed>
    <b:MonthAccessed>10</b:MonthAccessed>
    <b:DayAccessed>14</b:DayAccessed>
    <b:URL>https://hospitalityinsights.ehl.edu/covid-19-impact-hospitality-workforce</b:URL>
    <b:RefOrder>2</b:RefOrder>
  </b:Source>
  <b:Source>
    <b:Tag>CIP20</b:Tag>
    <b:SourceType>InternetSite</b:SourceType>
    <b:Guid>{226986CE-3B80-414E-B56A-33D5BCD25937}</b:Guid>
    <b:Author>
      <b:Author>
        <b:NameList>
          <b:Person>
            <b:Last>CIPD</b:Last>
          </b:Person>
        </b:NameList>
      </b:Author>
    </b:Author>
    <b:Title>www.cipd.co.uk</b:Title>
    <b:Year>2020</b:Year>
    <b:YearAccessed>2021</b:YearAccessed>
    <b:MonthAccessed>10</b:MonthAccessed>
    <b:DayAccessed>14</b:DayAccessed>
    <b:URL>https://www.cipd.co.uk/knowledge/fundamentals/emp-law/employees/workplace-guide-returning-after-coronavirus#gref</b:URL>
    <b:RefOrder>5</b:RefOrder>
  </b:Source>
  <b:Source>
    <b:Tag>Ama20</b:Tag>
    <b:SourceType>InternetSite</b:SourceType>
    <b:Guid>{012BFCC8-7E63-46AA-9B4D-F87818C31EBF}</b:Guid>
    <b:Author>
      <b:Author>
        <b:NameList>
          <b:Person>
            <b:Last>OBE</b:Last>
            <b:First>Amanda</b:First>
            <b:Middle>Mackenzie</b:Middle>
          </b:Person>
        </b:NameList>
      </b:Author>
    </b:Author>
    <b:Title>www.som.org.uk</b:Title>
    <b:Year>2020</b:Year>
    <b:YearAccessed>2021</b:YearAccessed>
    <b:MonthAccessed>10</b:MonthAccessed>
    <b:DayAccessed>14</b:DayAccessed>
    <b:URL>https://www.som.org.uk/Returning_to_the_workplace_COVID-19_toolkit_FINAL.pdf</b:URL>
    <b:RefOrder>4</b:RefOrder>
  </b:Source>
  <b:Source>
    <b:Tag>Nia21</b:Tag>
    <b:SourceType>InternetSite</b:SourceType>
    <b:Guid>{7A564065-0537-41B0-ABC4-4B55972788A4}</b:Guid>
    <b:Author>
      <b:Author>
        <b:NameList>
          <b:Person>
            <b:Last>Niamh Foley</b:Last>
            <b:First>Georgina</b:First>
            <b:Middle>Hutton</b:Middle>
          </b:Person>
        </b:NameList>
      </b:Author>
    </b:Author>
    <b:Title>commonslibrary.parliament.uk</b:Title>
    <b:Year>2021</b:Year>
    <b:YearAccessed>2021</b:YearAccessed>
    <b:MonthAccessed>10</b:MonthAccessed>
    <b:DayAccessed>14</b:DayAccessed>
    <b:URL>https://commonslibrary.parliament.uk/research-briefings/cbp-9111/</b:URL>
    <b:RefOrder>6</b:RefOrder>
  </b:Source>
  <b:Source>
    <b:Tag>Kim21</b:Tag>
    <b:SourceType>InternetSite</b:SourceType>
    <b:Guid>{0D5B92C0-2E5F-4EE7-96D5-179EB632FB68}</b:Guid>
    <b:Author>
      <b:Author>
        <b:NameList>
          <b:Person>
            <b:Last>Davenport</b:Last>
            <b:First>Kimberly</b:First>
          </b:Person>
        </b:NameList>
      </b:Author>
    </b:Author>
    <b:Title>Scottmadden </b:Title>
    <b:Year>2021</b:Year>
    <b:YearAccessed>2021</b:YearAccessed>
    <b:MonthAccessed>10</b:MonthAccessed>
    <b:DayAccessed>14</b:DayAccessed>
    <b:URL>www.scottmadden.com</b:URL>
    <b:RefOrder>7</b:RefOrder>
  </b:Source>
  <b:Source>
    <b:Tag>And21</b:Tag>
    <b:SourceType>InternetSite</b:SourceType>
    <b:Guid>{2419BCC0-6DE0-4B9B-A9F0-41B33BC102FF}</b:Guid>
    <b:Author>
      <b:Author>
        <b:NameList>
          <b:Person>
            <b:Last>Andy Powell</b:Last>
            <b:First>Brigid</b:First>
            <b:Middle>Francis-Devine</b:Middle>
          </b:Person>
        </b:NameList>
      </b:Author>
    </b:Author>
    <b:Title>UK Parliament </b:Title>
    <b:Year>2021</b:Year>
    <b:YearAccessed>2021</b:YearAccessed>
    <b:MonthAccessed>10</b:MonthAccessed>
    <b:DayAccessed>14</b:DayAccessed>
    <b:URL>https://commonslibrary.parliament.uk/research-briefings/cbp-8898/</b:URL>
    <b:RefOrder>8</b:RefOrder>
  </b:Source>
  <b:Source>
    <b:Tag>CFI21</b:Tag>
    <b:SourceType>InternetSite</b:SourceType>
    <b:Guid>{FAD40E3F-8112-4623-B097-C2C67E266B42}</b:Guid>
    <b:Author>
      <b:Author>
        <b:NameList>
          <b:Person>
            <b:Last>CFI</b:Last>
          </b:Person>
        </b:NameList>
      </b:Author>
    </b:Author>
    <b:Title>Corporate Finaince Institute </b:Title>
    <b:Year>2015-2021</b:Year>
    <b:YearAccessed>2021</b:YearAccessed>
    <b:MonthAccessed>10</b:MonthAccessed>
    <b:DayAccessed>14</b:DayAccessed>
    <b:URL>https://corporatefinanceinstitute.com/resources/knowledge/strategy/pestel-analysis/</b:URL>
    <b:RefOrder>9</b:RefOrder>
  </b:Source>
  <b:Source>
    <b:Tag>Oxf211</b:Tag>
    <b:SourceType>InternetSite</b:SourceType>
    <b:Guid>{CEF7296B-CA14-4722-8FD0-79A8D81F6086}</b:Guid>
    <b:Author>
      <b:Author>
        <b:NameList>
          <b:Person>
            <b:Last>Marketing</b:Last>
            <b:First>Oxford</b:First>
            <b:Middle>College of</b:Middle>
          </b:Person>
        </b:NameList>
      </b:Author>
    </b:Author>
    <b:Title>Oxford College of Marketing </b:Title>
    <b:Year>2021</b:Year>
    <b:YearAccessed>2021</b:YearAccessed>
    <b:MonthAccessed>10</b:MonthAccessed>
    <b:DayAccessed>14</b:DayAccessed>
    <b:URL>https://blog.oxfordcollegeofmarketing.com/2016/06/30/pestel-analysis/</b:URL>
    <b:RefOrder>10</b:RefOrder>
  </b:Source>
  <b:Source>
    <b:Tag>B2U21</b:Tag>
    <b:SourceType>InternetSite</b:SourceType>
    <b:Guid>{A1BFFFF3-AA6B-4CAA-B758-DAE799BB927B}</b:Guid>
    <b:Author>
      <b:Author>
        <b:NameList>
          <b:Person>
            <b:Last>B2U</b:Last>
          </b:Person>
        </b:NameList>
      </b:Author>
    </b:Author>
    <b:Title>Business to you </b:Title>
    <b:YearAccessed>2021</b:YearAccessed>
    <b:MonthAccessed>10</b:MonthAccessed>
    <b:DayAccessed>14</b:DayAccessed>
    <b:URL>https://www.business-to-you.com/scanning-the-environment-pestel-analysis/</b:URL>
    <b:RefOrder>11</b:RefOrder>
  </b:Source>
  <b:Source>
    <b:Tag>Wik21</b:Tag>
    <b:SourceType>InternetSite</b:SourceType>
    <b:Guid>{BFF2670B-35DF-4752-AE50-AC852F9EA4ED}</b:Guid>
    <b:Author>
      <b:Author>
        <b:NameList>
          <b:Person>
            <b:Last>Wikipedia</b:Last>
          </b:Person>
        </b:NameList>
      </b:Author>
    </b:Author>
    <b:Title>Wikipedia</b:Title>
    <b:Year>2021</b:Year>
    <b:YearAccessed>2021</b:YearAccessed>
    <b:MonthAccessed>10</b:MonthAccessed>
    <b:DayAccessed>14</b:DayAccessed>
    <b:URL>https://en.wikipedia.org/wiki/PEST_analysis</b:URL>
    <b:RefOrder>12</b:RefOrder>
  </b:Source>
  <b:Source>
    <b:Tag>GoC21</b:Tag>
    <b:SourceType>InternetSite</b:SourceType>
    <b:Guid>{91F7A81E-36F2-4C2D-A5D5-D1D7B40F91AD}</b:Guid>
    <b:Author>
      <b:Author>
        <b:NameList>
          <b:Person>
            <b:Last>GoCardless</b:Last>
          </b:Person>
        </b:NameList>
      </b:Author>
    </b:Author>
    <b:Title>Go cardless</b:Title>
    <b:YearAccessed>2021</b:YearAccessed>
    <b:MonthAccessed>10</b:MonthAccessed>
    <b:DayAccessed>14</b:DayAccessed>
    <b:URL>https://gocardless.com/guides/posts/what-is-a-pestel-analysis/</b:URL>
    <b:RefOrder>13</b:RefOrder>
  </b:Source>
  <b:Source>
    <b:Tag>Pro21</b:Tag>
    <b:SourceType>InternetSite</b:SourceType>
    <b:Guid>{BEB1060E-4B66-4FC6-BBC8-8FDD985B9E14}</b:Guid>
    <b:Author>
      <b:Author>
        <b:NameList>
          <b:Person>
            <b:Last>Academy</b:Last>
            <b:First>Professional</b:First>
          </b:Person>
        </b:NameList>
      </b:Author>
    </b:Author>
    <b:Title>Professional Academy </b:Title>
    <b:YearAccessed>2021</b:YearAccessed>
    <b:MonthAccessed>10</b:MonthAccessed>
    <b:DayAccessed>14</b:DayAccessed>
    <b:URL>https://www.professionalacademy.com/blogs/marketing-theories-pestel-analysis/</b:URL>
    <b:RefOrder>14</b:RefOrder>
  </b:Source>
  <b:Source>
    <b:Tag>Alp21</b:Tag>
    <b:SourceType>InternetSite</b:SourceType>
    <b:Guid>{6AC27BBD-3BE0-43B5-8CA6-A1AD2C008510}</b:Guid>
    <b:Author>
      <b:Author>
        <b:NameList>
          <b:Person>
            <b:Last>Feedback</b:Last>
            <b:First>Alpha</b:First>
            <b:Middle>Front Desk</b:Middle>
          </b:Person>
        </b:NameList>
      </b:Author>
    </b:Author>
    <b:Title>AHLA</b:Title>
    <b:Year>2021</b:Year>
    <b:YearAccessed>2021</b:YearAccessed>
    <b:MonthAccessed>10</b:MonthAccessed>
    <b:DayAccessed>14</b:DayAccessed>
    <b:URL>https://www.ahla.com/covid-19s-impact-hotel-industry</b:URL>
    <b:RefOrder>15</b:RefOrder>
  </b:Source>
  <b:Source>
    <b:Tag>CIP21</b:Tag>
    <b:SourceType>InternetSite</b:SourceType>
    <b:Guid>{C82BB26E-AF34-4EEE-91C2-E0DB1C4169F4}</b:Guid>
    <b:Author>
      <b:Author>
        <b:NameList>
          <b:Person>
            <b:Last>CIPD</b:Last>
          </b:Person>
        </b:NameList>
      </b:Author>
    </b:Author>
    <b:Title>CIPD</b:Title>
    <b:Year>2021</b:Year>
    <b:YearAccessed>2021</b:YearAccessed>
    <b:MonthAccessed>10</b:MonthAccessed>
    <b:DayAccessed>14</b:DayAccessed>
    <b:URL>file:///C:/Users/svale/Desktop/Personnel%20Resourcing%20and%20Development/week%203/workplace-guide-returning-after-coronavirus_20210127T222716.pdf</b:URL>
    <b:RefOrder>16</b:RefOrder>
  </b:Source>
</b:Sources>
</file>

<file path=customXml/itemProps1.xml><?xml version="1.0" encoding="utf-8"?>
<ds:datastoreItem xmlns:ds="http://schemas.openxmlformats.org/officeDocument/2006/customXml" ds:itemID="{A5B2B846-156F-4A23-ACE4-C8365CB9A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8</Pages>
  <Words>2338</Words>
  <Characters>13331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2</cp:revision>
  <dcterms:created xsi:type="dcterms:W3CDTF">2021-10-14T09:04:00Z</dcterms:created>
  <dcterms:modified xsi:type="dcterms:W3CDTF">2021-10-14T15:26:00Z</dcterms:modified>
</cp:coreProperties>
</file>