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contextualSpacing/>
        <w:jc w:val="both"/>
        <w:rPr>
          <w:rFonts w:ascii="Times New Roman" w:hAnsi="Times New Roman" w:cs="Times New Roman"/>
          <w:b/>
          <w:sz w:val="24"/>
          <w:szCs w:val="24"/>
        </w:rPr>
      </w:pPr>
    </w:p>
    <w:p>
      <w:pPr>
        <w:spacing w:line="480" w:lineRule="auto"/>
        <w:contextualSpacing/>
        <w:jc w:val="both"/>
        <w:rPr>
          <w:rFonts w:ascii="Times New Roman" w:hAnsi="Times New Roman" w:cs="Times New Roman"/>
          <w:b/>
          <w:sz w:val="24"/>
          <w:szCs w:val="24"/>
        </w:rPr>
      </w:pPr>
    </w:p>
    <w:p>
      <w:pPr>
        <w:spacing w:line="480" w:lineRule="auto"/>
        <w:contextualSpacing/>
        <w:jc w:val="both"/>
        <w:rPr>
          <w:rFonts w:ascii="Times New Roman" w:hAnsi="Times New Roman" w:cs="Times New Roman"/>
          <w:b/>
          <w:sz w:val="24"/>
          <w:szCs w:val="24"/>
        </w:rPr>
      </w:pPr>
    </w:p>
    <w:p>
      <w:pPr>
        <w:spacing w:line="480" w:lineRule="auto"/>
        <w:contextualSpacing/>
        <w:jc w:val="both"/>
        <w:rPr>
          <w:rFonts w:ascii="Times New Roman" w:hAnsi="Times New Roman" w:cs="Times New Roman"/>
          <w:b/>
          <w:sz w:val="24"/>
          <w:szCs w:val="24"/>
        </w:rPr>
      </w:pPr>
    </w:p>
    <w:p>
      <w:pPr>
        <w:spacing w:line="480" w:lineRule="auto"/>
        <w:contextualSpacing/>
        <w:jc w:val="both"/>
        <w:rPr>
          <w:rFonts w:ascii="Times New Roman" w:hAnsi="Times New Roman" w:cs="Times New Roman"/>
          <w:b/>
          <w:sz w:val="24"/>
          <w:szCs w:val="24"/>
        </w:rPr>
      </w:pPr>
    </w:p>
    <w:p>
      <w:pPr>
        <w:spacing w:line="480" w:lineRule="auto"/>
        <w:contextualSpacing/>
        <w:jc w:val="both"/>
        <w:rPr>
          <w:rFonts w:ascii="Times New Roman" w:hAnsi="Times New Roman" w:cs="Times New Roman"/>
          <w:b/>
          <w:sz w:val="24"/>
          <w:szCs w:val="24"/>
        </w:rPr>
      </w:pPr>
    </w:p>
    <w:p>
      <w:pPr>
        <w:spacing w:line="480" w:lineRule="auto"/>
        <w:contextualSpacing/>
        <w:jc w:val="both"/>
        <w:rPr>
          <w:rFonts w:ascii="Times New Roman" w:hAnsi="Times New Roman" w:cs="Times New Roman"/>
          <w:b/>
          <w:sz w:val="24"/>
          <w:szCs w:val="24"/>
        </w:rPr>
      </w:pPr>
    </w:p>
    <w:p>
      <w:pPr>
        <w:spacing w:line="480" w:lineRule="auto"/>
        <w:contextualSpacing/>
        <w:jc w:val="both"/>
        <w:rPr>
          <w:rFonts w:ascii="Times New Roman" w:hAnsi="Times New Roman" w:cs="Times New Roman"/>
          <w:b/>
          <w:sz w:val="24"/>
          <w:szCs w:val="24"/>
        </w:rPr>
      </w:pPr>
    </w:p>
    <w:p>
      <w:pPr>
        <w:spacing w:line="480" w:lineRule="auto"/>
        <w:contextualSpacing/>
        <w:jc w:val="both"/>
        <w:rPr>
          <w:rFonts w:ascii="Times New Roman" w:hAnsi="Times New Roman" w:cs="Times New Roman"/>
          <w:b/>
          <w:sz w:val="24"/>
          <w:szCs w:val="24"/>
        </w:rPr>
      </w:pPr>
      <w:r>
        <w:rPr>
          <w:rFonts w:ascii="Times New Roman" w:hAnsi="Times New Roman" w:cs="Times New Roman"/>
          <w:b/>
          <w:sz w:val="24"/>
          <w:szCs w:val="24"/>
        </w:rPr>
        <w:t>A Guide for the Successful International Expansion of a UK Clothing Retailer to Asian Markets: Managing Cultural Difference</w:t>
      </w:r>
    </w:p>
    <w:p>
      <w:pPr>
        <w:spacing w:line="480" w:lineRule="auto"/>
        <w:contextualSpacing/>
        <w:jc w:val="both"/>
        <w:rPr>
          <w:rFonts w:hint="default" w:ascii="Times New Roman" w:hAnsi="Times New Roman" w:eastAsia="宋体" w:cs="Times New Roman"/>
          <w:sz w:val="24"/>
          <w:szCs w:val="24"/>
          <w:lang w:val="en-US" w:eastAsia="zh-CN"/>
        </w:rPr>
      </w:pPr>
      <w:r>
        <w:rPr>
          <w:rFonts w:ascii="Times New Roman" w:hAnsi="Times New Roman" w:cs="Times New Roman"/>
          <w:sz w:val="24"/>
          <w:szCs w:val="24"/>
        </w:rPr>
        <w:t>Student’s Name</w:t>
      </w:r>
      <w:r>
        <w:rPr>
          <w:rFonts w:hint="eastAsia" w:ascii="Times New Roman" w:hAnsi="Times New Roman" w:eastAsia="宋体" w:cs="Times New Roman"/>
          <w:sz w:val="24"/>
          <w:szCs w:val="24"/>
          <w:lang w:val="en-US" w:eastAsia="zh-CN"/>
        </w:rPr>
        <w:t>: WangMingHao</w:t>
      </w:r>
    </w:p>
    <w:p>
      <w:pPr>
        <w:spacing w:line="480" w:lineRule="auto"/>
        <w:contextualSpacing/>
        <w:jc w:val="both"/>
        <w:rPr>
          <w:rFonts w:hint="default" w:ascii="Times New Roman" w:hAnsi="Times New Roman" w:eastAsia="宋体" w:cs="Times New Roman"/>
          <w:sz w:val="24"/>
          <w:szCs w:val="24"/>
          <w:lang w:val="en-US" w:eastAsia="zh-CN"/>
        </w:rPr>
      </w:pPr>
      <w:r>
        <w:rPr>
          <w:rFonts w:ascii="Times New Roman" w:hAnsi="Times New Roman" w:cs="Times New Roman"/>
          <w:sz w:val="24"/>
          <w:szCs w:val="24"/>
        </w:rPr>
        <w:t>Course Code</w:t>
      </w:r>
      <w:r>
        <w:rPr>
          <w:rFonts w:hint="eastAsia" w:ascii="Times New Roman" w:hAnsi="Times New Roman" w:eastAsia="宋体" w:cs="Times New Roman"/>
          <w:sz w:val="24"/>
          <w:szCs w:val="24"/>
          <w:lang w:val="en-US" w:eastAsia="zh-CN"/>
        </w:rPr>
        <w:t>:6021</w:t>
      </w:r>
    </w:p>
    <w:p>
      <w:pPr>
        <w:spacing w:line="480" w:lineRule="auto"/>
        <w:contextualSpacing/>
        <w:jc w:val="both"/>
        <w:rPr>
          <w:rFonts w:ascii="Times New Roman" w:hAnsi="Times New Roman" w:cs="Times New Roman"/>
          <w:b/>
          <w:sz w:val="24"/>
          <w:szCs w:val="24"/>
        </w:rPr>
      </w:pPr>
    </w:p>
    <w:p>
      <w:pPr>
        <w:spacing w:line="480" w:lineRule="auto"/>
        <w:contextualSpacing/>
        <w:jc w:val="both"/>
        <w:rPr>
          <w:rFonts w:ascii="Times New Roman" w:hAnsi="Times New Roman" w:cs="Times New Roman"/>
          <w:b/>
          <w:sz w:val="24"/>
          <w:szCs w:val="24"/>
        </w:rPr>
      </w:pPr>
    </w:p>
    <w:p>
      <w:pPr>
        <w:spacing w:line="480" w:lineRule="auto"/>
        <w:contextualSpacing/>
        <w:jc w:val="both"/>
        <w:rPr>
          <w:rFonts w:ascii="Times New Roman" w:hAnsi="Times New Roman" w:cs="Times New Roman"/>
          <w:b/>
          <w:sz w:val="24"/>
          <w:szCs w:val="24"/>
        </w:rPr>
      </w:pPr>
    </w:p>
    <w:p>
      <w:pPr>
        <w:spacing w:line="480" w:lineRule="auto"/>
        <w:contextualSpacing/>
        <w:jc w:val="both"/>
        <w:rPr>
          <w:rFonts w:ascii="Times New Roman" w:hAnsi="Times New Roman" w:cs="Times New Roman"/>
          <w:b/>
          <w:sz w:val="24"/>
          <w:szCs w:val="24"/>
        </w:rPr>
      </w:pPr>
    </w:p>
    <w:p>
      <w:pPr>
        <w:spacing w:line="480" w:lineRule="auto"/>
        <w:contextualSpacing/>
        <w:jc w:val="both"/>
        <w:rPr>
          <w:rFonts w:ascii="Times New Roman" w:hAnsi="Times New Roman" w:cs="Times New Roman"/>
          <w:b/>
          <w:sz w:val="24"/>
          <w:szCs w:val="24"/>
        </w:rPr>
      </w:pPr>
    </w:p>
    <w:p>
      <w:pPr>
        <w:spacing w:line="480" w:lineRule="auto"/>
        <w:contextualSpacing/>
        <w:jc w:val="both"/>
        <w:rPr>
          <w:rFonts w:ascii="Times New Roman" w:hAnsi="Times New Roman" w:cs="Times New Roman"/>
          <w:b/>
          <w:sz w:val="24"/>
          <w:szCs w:val="24"/>
        </w:rPr>
      </w:pPr>
    </w:p>
    <w:p>
      <w:pPr>
        <w:spacing w:line="480" w:lineRule="auto"/>
        <w:contextualSpacing/>
        <w:jc w:val="both"/>
        <w:rPr>
          <w:rFonts w:ascii="Times New Roman" w:hAnsi="Times New Roman" w:cs="Times New Roman"/>
          <w:b/>
          <w:sz w:val="24"/>
          <w:szCs w:val="24"/>
        </w:rPr>
      </w:pPr>
    </w:p>
    <w:p>
      <w:pPr>
        <w:spacing w:line="480" w:lineRule="auto"/>
        <w:contextualSpacing/>
        <w:jc w:val="both"/>
        <w:rPr>
          <w:rFonts w:ascii="Times New Roman" w:hAnsi="Times New Roman" w:cs="Times New Roman"/>
          <w:b/>
          <w:sz w:val="24"/>
          <w:szCs w:val="24"/>
        </w:rPr>
      </w:pPr>
    </w:p>
    <w:p>
      <w:pPr>
        <w:spacing w:line="480" w:lineRule="auto"/>
        <w:contextualSpacing/>
        <w:jc w:val="both"/>
        <w:rPr>
          <w:rFonts w:ascii="Times New Roman" w:hAnsi="Times New Roman" w:cs="Times New Roman"/>
          <w:b/>
          <w:sz w:val="24"/>
          <w:szCs w:val="24"/>
        </w:rPr>
      </w:pPr>
    </w:p>
    <w:p>
      <w:pPr>
        <w:spacing w:line="480" w:lineRule="auto"/>
        <w:contextualSpacing/>
        <w:jc w:val="both"/>
        <w:rPr>
          <w:rFonts w:ascii="Times New Roman" w:hAnsi="Times New Roman" w:cs="Times New Roman"/>
          <w:b/>
          <w:sz w:val="24"/>
          <w:szCs w:val="24"/>
        </w:rPr>
      </w:pPr>
    </w:p>
    <w:p>
      <w:pPr>
        <w:spacing w:line="480" w:lineRule="auto"/>
        <w:contextualSpacing/>
        <w:jc w:val="both"/>
        <w:rPr>
          <w:rFonts w:ascii="Times New Roman" w:hAnsi="Times New Roman" w:cs="Times New Roman"/>
          <w:b/>
          <w:sz w:val="24"/>
          <w:szCs w:val="24"/>
        </w:rPr>
      </w:pPr>
    </w:p>
    <w:p>
      <w:pPr>
        <w:spacing w:line="480" w:lineRule="auto"/>
        <w:contextualSpacing/>
        <w:jc w:val="both"/>
        <w:rPr>
          <w:rFonts w:ascii="Times New Roman" w:hAnsi="Times New Roman" w:cs="Times New Roman"/>
          <w:b/>
          <w:sz w:val="24"/>
          <w:szCs w:val="24"/>
        </w:rPr>
      </w:pPr>
    </w:p>
    <w:p>
      <w:pPr>
        <w:spacing w:line="480" w:lineRule="auto"/>
        <w:contextualSpacing/>
        <w:jc w:val="both"/>
        <w:rPr>
          <w:rFonts w:ascii="Times New Roman" w:hAnsi="Times New Roman" w:cs="Times New Roman"/>
          <w:b/>
          <w:sz w:val="24"/>
          <w:szCs w:val="24"/>
        </w:rPr>
      </w:pPr>
    </w:p>
    <w:sdt>
      <w:sdtPr>
        <w:rPr>
          <w:rFonts w:ascii="宋体" w:hAnsi="宋体" w:eastAsia="Times New Roman" w:cstheme="minorBidi"/>
          <w:b/>
          <w:sz w:val="24"/>
          <w:szCs w:val="22"/>
          <w:lang w:val="en-US" w:eastAsia="en-US" w:bidi="ar-SA"/>
        </w:rPr>
        <w:id w:val="147450886"/>
        <w15:color w:val="DBDBDB"/>
        <w:docPartObj>
          <w:docPartGallery w:val="Table of Contents"/>
          <w:docPartUnique/>
        </w:docPartObj>
      </w:sdtPr>
      <w:sdtEndPr>
        <w:rPr>
          <w:rFonts w:ascii="Times New Roman" w:hAnsi="Times New Roman" w:cs="Times New Roman" w:eastAsiaTheme="minorHAnsi"/>
          <w:sz w:val="22"/>
          <w:szCs w:val="24"/>
          <w:lang w:val="en-US" w:eastAsia="en-US" w:bidi="ar-SA"/>
        </w:rPr>
      </w:sdtEndPr>
      <w:sdtContent>
        <w:p>
          <w:pPr>
            <w:spacing w:before="0" w:beforeLines="0" w:after="0" w:afterLines="0" w:line="240" w:lineRule="auto"/>
            <w:ind w:left="0" w:leftChars="0" w:right="0" w:rightChars="0" w:firstLine="0" w:firstLineChars="0"/>
            <w:jc w:val="center"/>
            <w:rPr>
              <w:rFonts w:hint="default" w:eastAsia="Times New Roman"/>
              <w:b/>
              <w:sz w:val="24"/>
              <w:lang w:val="en-US" w:eastAsia="zh-CN"/>
            </w:rPr>
          </w:pPr>
          <w:r>
            <w:rPr>
              <w:rFonts w:hint="eastAsia" w:ascii="宋体" w:hAnsi="宋体" w:eastAsia="Times New Roman" w:cstheme="minorBidi"/>
              <w:b/>
              <w:sz w:val="24"/>
              <w:szCs w:val="22"/>
              <w:lang w:val="en-US" w:eastAsia="zh-CN" w:bidi="ar-SA"/>
            </w:rPr>
            <w:t>Contant</w:t>
          </w:r>
        </w:p>
        <w:p>
          <w:pPr>
            <w:pStyle w:val="9"/>
            <w:tabs>
              <w:tab w:val="right" w:leader="dot" w:pos="9360"/>
            </w:tabs>
            <w:rPr>
              <w:rFonts w:eastAsia="Times New Roman"/>
              <w:sz w:val="24"/>
            </w:rPr>
          </w:pPr>
          <w:r>
            <w:rPr>
              <w:rFonts w:ascii="Times New Roman" w:hAnsi="Times New Roman" w:eastAsia="Times New Roman" w:cs="Times New Roman"/>
              <w:b/>
              <w:sz w:val="24"/>
              <w:szCs w:val="24"/>
            </w:rPr>
            <w:fldChar w:fldCharType="begin"/>
          </w:r>
          <w:r>
            <w:rPr>
              <w:rFonts w:ascii="Times New Roman" w:hAnsi="Times New Roman" w:eastAsia="Times New Roman" w:cs="Times New Roman"/>
              <w:b/>
              <w:sz w:val="24"/>
              <w:szCs w:val="24"/>
            </w:rPr>
            <w:instrText xml:space="preserve">TOC \o "1-3" \h \u </w:instrText>
          </w:r>
          <w:r>
            <w:rPr>
              <w:rFonts w:ascii="Times New Roman" w:hAnsi="Times New Roman" w:eastAsia="Times New Roman" w:cs="Times New Roman"/>
              <w:b/>
              <w:sz w:val="24"/>
              <w:szCs w:val="24"/>
            </w:rPr>
            <w:fldChar w:fldCharType="separate"/>
          </w:r>
          <w:r>
            <w:rPr>
              <w:rFonts w:ascii="Times New Roman" w:hAnsi="Times New Roman" w:eastAsia="Times New Roman" w:cs="Times New Roman"/>
              <w:sz w:val="24"/>
              <w:szCs w:val="24"/>
            </w:rPr>
            <w:fldChar w:fldCharType="begin"/>
          </w:r>
          <w:r>
            <w:rPr>
              <w:rFonts w:ascii="Times New Roman" w:hAnsi="Times New Roman" w:eastAsia="Times New Roman" w:cs="Times New Roman"/>
              <w:sz w:val="24"/>
              <w:szCs w:val="24"/>
            </w:rPr>
            <w:instrText xml:space="preserve"> HYPERLINK \l _Toc19817 </w:instrText>
          </w:r>
          <w:r>
            <w:rPr>
              <w:rFonts w:ascii="Times New Roman" w:hAnsi="Times New Roman" w:eastAsia="Times New Roman" w:cs="Times New Roman"/>
              <w:sz w:val="24"/>
              <w:szCs w:val="24"/>
            </w:rPr>
            <w:fldChar w:fldCharType="separate"/>
          </w:r>
          <w:r>
            <w:rPr>
              <w:rFonts w:hint="default" w:ascii="Times New Roman" w:hAnsi="Times New Roman" w:eastAsia="Times New Roman" w:cs="Times New Roman"/>
              <w:sz w:val="24"/>
              <w:szCs w:val="36"/>
            </w:rPr>
            <w:t>Introduction</w:t>
          </w:r>
          <w:r>
            <w:rPr>
              <w:rFonts w:eastAsia="Times New Roman"/>
              <w:sz w:val="24"/>
            </w:rPr>
            <w:tab/>
          </w:r>
          <w:r>
            <w:rPr>
              <w:rFonts w:eastAsia="Times New Roman"/>
              <w:sz w:val="24"/>
            </w:rPr>
            <w:fldChar w:fldCharType="begin"/>
          </w:r>
          <w:r>
            <w:rPr>
              <w:rFonts w:eastAsia="Times New Roman"/>
              <w:sz w:val="24"/>
            </w:rPr>
            <w:instrText xml:space="preserve"> PAGEREF _Toc19817 \h </w:instrText>
          </w:r>
          <w:r>
            <w:rPr>
              <w:rFonts w:eastAsia="Times New Roman"/>
              <w:sz w:val="24"/>
            </w:rPr>
            <w:fldChar w:fldCharType="separate"/>
          </w:r>
          <w:r>
            <w:rPr>
              <w:rFonts w:eastAsia="Times New Roman"/>
              <w:sz w:val="24"/>
            </w:rPr>
            <w:t>2</w:t>
          </w:r>
          <w:r>
            <w:rPr>
              <w:rFonts w:eastAsia="Times New Roman"/>
              <w:sz w:val="24"/>
            </w:rPr>
            <w:fldChar w:fldCharType="end"/>
          </w:r>
          <w:r>
            <w:rPr>
              <w:rFonts w:ascii="Times New Roman" w:hAnsi="Times New Roman" w:eastAsia="Times New Roman" w:cs="Times New Roman"/>
              <w:sz w:val="24"/>
              <w:szCs w:val="24"/>
            </w:rPr>
            <w:fldChar w:fldCharType="end"/>
          </w:r>
        </w:p>
        <w:p>
          <w:pPr>
            <w:pStyle w:val="9"/>
            <w:tabs>
              <w:tab w:val="right" w:leader="dot" w:pos="9360"/>
            </w:tabs>
            <w:rPr>
              <w:rFonts w:eastAsia="Times New Roman"/>
              <w:sz w:val="24"/>
            </w:rPr>
          </w:pPr>
          <w:r>
            <w:rPr>
              <w:rFonts w:ascii="Times New Roman" w:hAnsi="Times New Roman" w:eastAsia="Times New Roman" w:cs="Times New Roman"/>
              <w:sz w:val="24"/>
              <w:szCs w:val="24"/>
            </w:rPr>
            <w:fldChar w:fldCharType="begin"/>
          </w:r>
          <w:r>
            <w:rPr>
              <w:rFonts w:ascii="Times New Roman" w:hAnsi="Times New Roman" w:eastAsia="Times New Roman" w:cs="Times New Roman"/>
              <w:sz w:val="24"/>
              <w:szCs w:val="24"/>
            </w:rPr>
            <w:instrText xml:space="preserve"> HYPERLINK \l _Toc29756 </w:instrText>
          </w:r>
          <w:r>
            <w:rPr>
              <w:rFonts w:ascii="Times New Roman" w:hAnsi="Times New Roman" w:eastAsia="Times New Roman" w:cs="Times New Roman"/>
              <w:sz w:val="24"/>
              <w:szCs w:val="24"/>
            </w:rPr>
            <w:fldChar w:fldCharType="separate"/>
          </w:r>
          <w:r>
            <w:rPr>
              <w:rFonts w:hint="default" w:ascii="Times New Roman" w:hAnsi="Times New Roman" w:eastAsia="Times New Roman" w:cs="Times New Roman"/>
              <w:sz w:val="24"/>
              <w:szCs w:val="36"/>
            </w:rPr>
            <w:t>Key Findings</w:t>
          </w:r>
          <w:r>
            <w:rPr>
              <w:rFonts w:eastAsia="Times New Roman"/>
              <w:sz w:val="24"/>
            </w:rPr>
            <w:tab/>
          </w:r>
          <w:r>
            <w:rPr>
              <w:rFonts w:eastAsia="Times New Roman"/>
              <w:sz w:val="24"/>
            </w:rPr>
            <w:fldChar w:fldCharType="begin"/>
          </w:r>
          <w:r>
            <w:rPr>
              <w:rFonts w:eastAsia="Times New Roman"/>
              <w:sz w:val="24"/>
            </w:rPr>
            <w:instrText xml:space="preserve"> PAGEREF _Toc29756 \h </w:instrText>
          </w:r>
          <w:r>
            <w:rPr>
              <w:rFonts w:eastAsia="Times New Roman"/>
              <w:sz w:val="24"/>
            </w:rPr>
            <w:fldChar w:fldCharType="separate"/>
          </w:r>
          <w:r>
            <w:rPr>
              <w:rFonts w:eastAsia="Times New Roman"/>
              <w:sz w:val="24"/>
            </w:rPr>
            <w:t>3</w:t>
          </w:r>
          <w:r>
            <w:rPr>
              <w:rFonts w:eastAsia="Times New Roman"/>
              <w:sz w:val="24"/>
            </w:rPr>
            <w:fldChar w:fldCharType="end"/>
          </w:r>
          <w:r>
            <w:rPr>
              <w:rFonts w:ascii="Times New Roman" w:hAnsi="Times New Roman" w:eastAsia="Times New Roman" w:cs="Times New Roman"/>
              <w:sz w:val="24"/>
              <w:szCs w:val="24"/>
            </w:rPr>
            <w:fldChar w:fldCharType="end"/>
          </w:r>
        </w:p>
        <w:p>
          <w:pPr>
            <w:pStyle w:val="10"/>
            <w:tabs>
              <w:tab w:val="right" w:leader="dot" w:pos="9360"/>
            </w:tabs>
            <w:rPr>
              <w:rFonts w:eastAsia="Times New Roman"/>
              <w:sz w:val="24"/>
            </w:rPr>
          </w:pPr>
          <w:r>
            <w:rPr>
              <w:rFonts w:ascii="Times New Roman" w:hAnsi="Times New Roman" w:eastAsia="Times New Roman" w:cs="Times New Roman"/>
              <w:sz w:val="24"/>
              <w:szCs w:val="24"/>
            </w:rPr>
            <w:fldChar w:fldCharType="begin"/>
          </w:r>
          <w:r>
            <w:rPr>
              <w:rFonts w:ascii="Times New Roman" w:hAnsi="Times New Roman" w:eastAsia="Times New Roman" w:cs="Times New Roman"/>
              <w:sz w:val="24"/>
              <w:szCs w:val="24"/>
            </w:rPr>
            <w:instrText xml:space="preserve"> HYPERLINK \l _Toc27249 </w:instrText>
          </w:r>
          <w:r>
            <w:rPr>
              <w:rFonts w:ascii="Times New Roman" w:hAnsi="Times New Roman" w:eastAsia="Times New Roman" w:cs="Times New Roman"/>
              <w:sz w:val="24"/>
              <w:szCs w:val="24"/>
            </w:rPr>
            <w:fldChar w:fldCharType="separate"/>
          </w:r>
          <w:r>
            <w:rPr>
              <w:rFonts w:hint="default" w:ascii="Times New Roman" w:hAnsi="Times New Roman" w:eastAsia="Times New Roman" w:cs="Times New Roman"/>
              <w:sz w:val="24"/>
              <w:szCs w:val="24"/>
            </w:rPr>
            <w:t>International Business Communication</w:t>
          </w:r>
          <w:r>
            <w:rPr>
              <w:rFonts w:eastAsia="Times New Roman"/>
              <w:sz w:val="24"/>
            </w:rPr>
            <w:tab/>
          </w:r>
          <w:r>
            <w:rPr>
              <w:rFonts w:eastAsia="Times New Roman"/>
              <w:sz w:val="24"/>
            </w:rPr>
            <w:fldChar w:fldCharType="begin"/>
          </w:r>
          <w:r>
            <w:rPr>
              <w:rFonts w:eastAsia="Times New Roman"/>
              <w:sz w:val="24"/>
            </w:rPr>
            <w:instrText xml:space="preserve"> PAGEREF _Toc27249 \h </w:instrText>
          </w:r>
          <w:r>
            <w:rPr>
              <w:rFonts w:eastAsia="Times New Roman"/>
              <w:sz w:val="24"/>
            </w:rPr>
            <w:fldChar w:fldCharType="separate"/>
          </w:r>
          <w:r>
            <w:rPr>
              <w:rFonts w:eastAsia="Times New Roman"/>
              <w:sz w:val="24"/>
            </w:rPr>
            <w:t>3</w:t>
          </w:r>
          <w:r>
            <w:rPr>
              <w:rFonts w:eastAsia="Times New Roman"/>
              <w:sz w:val="24"/>
            </w:rPr>
            <w:fldChar w:fldCharType="end"/>
          </w:r>
          <w:r>
            <w:rPr>
              <w:rFonts w:ascii="Times New Roman" w:hAnsi="Times New Roman" w:eastAsia="Times New Roman" w:cs="Times New Roman"/>
              <w:sz w:val="24"/>
              <w:szCs w:val="24"/>
            </w:rPr>
            <w:fldChar w:fldCharType="end"/>
          </w:r>
        </w:p>
        <w:p>
          <w:pPr>
            <w:pStyle w:val="10"/>
            <w:tabs>
              <w:tab w:val="right" w:leader="dot" w:pos="9360"/>
            </w:tabs>
            <w:rPr>
              <w:rFonts w:eastAsia="Times New Roman"/>
              <w:sz w:val="24"/>
            </w:rPr>
          </w:pPr>
          <w:r>
            <w:rPr>
              <w:rFonts w:ascii="Times New Roman" w:hAnsi="Times New Roman" w:eastAsia="Times New Roman" w:cs="Times New Roman"/>
              <w:sz w:val="24"/>
              <w:szCs w:val="24"/>
            </w:rPr>
            <w:fldChar w:fldCharType="begin"/>
          </w:r>
          <w:r>
            <w:rPr>
              <w:rFonts w:ascii="Times New Roman" w:hAnsi="Times New Roman" w:eastAsia="Times New Roman" w:cs="Times New Roman"/>
              <w:sz w:val="24"/>
              <w:szCs w:val="24"/>
            </w:rPr>
            <w:instrText xml:space="preserve"> HYPERLINK \l _Toc15348 </w:instrText>
          </w:r>
          <w:r>
            <w:rPr>
              <w:rFonts w:ascii="Times New Roman" w:hAnsi="Times New Roman" w:eastAsia="Times New Roman" w:cs="Times New Roman"/>
              <w:sz w:val="24"/>
              <w:szCs w:val="24"/>
            </w:rPr>
            <w:fldChar w:fldCharType="separate"/>
          </w:r>
          <w:r>
            <w:rPr>
              <w:rFonts w:hint="default" w:ascii="Times New Roman" w:hAnsi="Times New Roman" w:eastAsia="Times New Roman" w:cs="Times New Roman"/>
              <w:sz w:val="24"/>
              <w:szCs w:val="24"/>
            </w:rPr>
            <w:t>Skills Requirements</w:t>
          </w:r>
          <w:r>
            <w:rPr>
              <w:rFonts w:eastAsia="Times New Roman"/>
              <w:sz w:val="24"/>
            </w:rPr>
            <w:tab/>
          </w:r>
          <w:r>
            <w:rPr>
              <w:rFonts w:eastAsia="Times New Roman"/>
              <w:sz w:val="24"/>
            </w:rPr>
            <w:fldChar w:fldCharType="begin"/>
          </w:r>
          <w:r>
            <w:rPr>
              <w:rFonts w:eastAsia="Times New Roman"/>
              <w:sz w:val="24"/>
            </w:rPr>
            <w:instrText xml:space="preserve"> PAGEREF _Toc15348 \h </w:instrText>
          </w:r>
          <w:r>
            <w:rPr>
              <w:rFonts w:eastAsia="Times New Roman"/>
              <w:sz w:val="24"/>
            </w:rPr>
            <w:fldChar w:fldCharType="separate"/>
          </w:r>
          <w:r>
            <w:rPr>
              <w:rFonts w:eastAsia="Times New Roman"/>
              <w:sz w:val="24"/>
            </w:rPr>
            <w:t>6</w:t>
          </w:r>
          <w:r>
            <w:rPr>
              <w:rFonts w:eastAsia="Times New Roman"/>
              <w:sz w:val="24"/>
            </w:rPr>
            <w:fldChar w:fldCharType="end"/>
          </w:r>
          <w:r>
            <w:rPr>
              <w:rFonts w:ascii="Times New Roman" w:hAnsi="Times New Roman" w:eastAsia="Times New Roman" w:cs="Times New Roman"/>
              <w:sz w:val="24"/>
              <w:szCs w:val="24"/>
            </w:rPr>
            <w:fldChar w:fldCharType="end"/>
          </w:r>
        </w:p>
        <w:p>
          <w:pPr>
            <w:pStyle w:val="10"/>
            <w:tabs>
              <w:tab w:val="right" w:leader="dot" w:pos="9360"/>
            </w:tabs>
            <w:rPr>
              <w:rFonts w:eastAsia="Times New Roman"/>
              <w:sz w:val="24"/>
            </w:rPr>
          </w:pPr>
          <w:r>
            <w:rPr>
              <w:rFonts w:ascii="Times New Roman" w:hAnsi="Times New Roman" w:eastAsia="Times New Roman" w:cs="Times New Roman"/>
              <w:sz w:val="24"/>
              <w:szCs w:val="24"/>
            </w:rPr>
            <w:fldChar w:fldCharType="begin"/>
          </w:r>
          <w:r>
            <w:rPr>
              <w:rFonts w:ascii="Times New Roman" w:hAnsi="Times New Roman" w:eastAsia="Times New Roman" w:cs="Times New Roman"/>
              <w:sz w:val="24"/>
              <w:szCs w:val="24"/>
            </w:rPr>
            <w:instrText xml:space="preserve"> HYPERLINK \l _Toc3701 </w:instrText>
          </w:r>
          <w:r>
            <w:rPr>
              <w:rFonts w:ascii="Times New Roman" w:hAnsi="Times New Roman" w:eastAsia="Times New Roman" w:cs="Times New Roman"/>
              <w:sz w:val="24"/>
              <w:szCs w:val="24"/>
            </w:rPr>
            <w:fldChar w:fldCharType="separate"/>
          </w:r>
          <w:r>
            <w:rPr>
              <w:rFonts w:hint="default" w:ascii="Times New Roman" w:hAnsi="Times New Roman" w:eastAsia="Times New Roman" w:cs="Times New Roman"/>
              <w:sz w:val="24"/>
              <w:szCs w:val="24"/>
            </w:rPr>
            <w:t>Methods of Communication</w:t>
          </w:r>
          <w:r>
            <w:rPr>
              <w:rFonts w:eastAsia="Times New Roman"/>
              <w:sz w:val="24"/>
            </w:rPr>
            <w:tab/>
          </w:r>
          <w:r>
            <w:rPr>
              <w:rFonts w:eastAsia="Times New Roman"/>
              <w:sz w:val="24"/>
            </w:rPr>
            <w:fldChar w:fldCharType="begin"/>
          </w:r>
          <w:r>
            <w:rPr>
              <w:rFonts w:eastAsia="Times New Roman"/>
              <w:sz w:val="24"/>
            </w:rPr>
            <w:instrText xml:space="preserve"> PAGEREF _Toc3701 \h </w:instrText>
          </w:r>
          <w:r>
            <w:rPr>
              <w:rFonts w:eastAsia="Times New Roman"/>
              <w:sz w:val="24"/>
            </w:rPr>
            <w:fldChar w:fldCharType="separate"/>
          </w:r>
          <w:r>
            <w:rPr>
              <w:rFonts w:eastAsia="Times New Roman"/>
              <w:sz w:val="24"/>
            </w:rPr>
            <w:t>7</w:t>
          </w:r>
          <w:r>
            <w:rPr>
              <w:rFonts w:eastAsia="Times New Roman"/>
              <w:sz w:val="24"/>
            </w:rPr>
            <w:fldChar w:fldCharType="end"/>
          </w:r>
          <w:r>
            <w:rPr>
              <w:rFonts w:ascii="Times New Roman" w:hAnsi="Times New Roman" w:eastAsia="Times New Roman" w:cs="Times New Roman"/>
              <w:sz w:val="24"/>
              <w:szCs w:val="24"/>
            </w:rPr>
            <w:fldChar w:fldCharType="end"/>
          </w:r>
        </w:p>
        <w:p>
          <w:pPr>
            <w:pStyle w:val="10"/>
            <w:tabs>
              <w:tab w:val="right" w:leader="dot" w:pos="9360"/>
            </w:tabs>
            <w:rPr>
              <w:rFonts w:eastAsia="Times New Roman"/>
              <w:sz w:val="24"/>
            </w:rPr>
          </w:pPr>
          <w:r>
            <w:rPr>
              <w:rFonts w:ascii="Times New Roman" w:hAnsi="Times New Roman" w:eastAsia="Times New Roman" w:cs="Times New Roman"/>
              <w:sz w:val="24"/>
              <w:szCs w:val="24"/>
            </w:rPr>
            <w:fldChar w:fldCharType="begin"/>
          </w:r>
          <w:r>
            <w:rPr>
              <w:rFonts w:ascii="Times New Roman" w:hAnsi="Times New Roman" w:eastAsia="Times New Roman" w:cs="Times New Roman"/>
              <w:sz w:val="24"/>
              <w:szCs w:val="24"/>
            </w:rPr>
            <w:instrText xml:space="preserve"> HYPERLINK \l _Toc22406 </w:instrText>
          </w:r>
          <w:r>
            <w:rPr>
              <w:rFonts w:ascii="Times New Roman" w:hAnsi="Times New Roman" w:eastAsia="Times New Roman" w:cs="Times New Roman"/>
              <w:sz w:val="24"/>
              <w:szCs w:val="24"/>
            </w:rPr>
            <w:fldChar w:fldCharType="separate"/>
          </w:r>
          <w:r>
            <w:rPr>
              <w:rFonts w:hint="default" w:ascii="Times New Roman" w:hAnsi="Times New Roman" w:eastAsia="Times New Roman" w:cs="Times New Roman"/>
              <w:sz w:val="24"/>
              <w:szCs w:val="24"/>
            </w:rPr>
            <w:t>Halls High Low Context</w:t>
          </w:r>
          <w:r>
            <w:rPr>
              <w:rFonts w:eastAsia="Times New Roman"/>
              <w:sz w:val="24"/>
            </w:rPr>
            <w:tab/>
          </w:r>
          <w:r>
            <w:rPr>
              <w:rFonts w:eastAsia="Times New Roman"/>
              <w:sz w:val="24"/>
            </w:rPr>
            <w:fldChar w:fldCharType="begin"/>
          </w:r>
          <w:r>
            <w:rPr>
              <w:rFonts w:eastAsia="Times New Roman"/>
              <w:sz w:val="24"/>
            </w:rPr>
            <w:instrText xml:space="preserve"> PAGEREF _Toc22406 \h </w:instrText>
          </w:r>
          <w:r>
            <w:rPr>
              <w:rFonts w:eastAsia="Times New Roman"/>
              <w:sz w:val="24"/>
            </w:rPr>
            <w:fldChar w:fldCharType="separate"/>
          </w:r>
          <w:r>
            <w:rPr>
              <w:rFonts w:eastAsia="Times New Roman"/>
              <w:sz w:val="24"/>
            </w:rPr>
            <w:t>8</w:t>
          </w:r>
          <w:r>
            <w:rPr>
              <w:rFonts w:eastAsia="Times New Roman"/>
              <w:sz w:val="24"/>
            </w:rPr>
            <w:fldChar w:fldCharType="end"/>
          </w:r>
          <w:r>
            <w:rPr>
              <w:rFonts w:ascii="Times New Roman" w:hAnsi="Times New Roman" w:eastAsia="Times New Roman" w:cs="Times New Roman"/>
              <w:sz w:val="24"/>
              <w:szCs w:val="24"/>
            </w:rPr>
            <w:fldChar w:fldCharType="end"/>
          </w:r>
        </w:p>
        <w:p>
          <w:pPr>
            <w:pStyle w:val="10"/>
            <w:tabs>
              <w:tab w:val="right" w:leader="dot" w:pos="9360"/>
            </w:tabs>
            <w:rPr>
              <w:rFonts w:eastAsia="Times New Roman"/>
              <w:sz w:val="24"/>
            </w:rPr>
          </w:pPr>
          <w:r>
            <w:rPr>
              <w:rFonts w:ascii="Times New Roman" w:hAnsi="Times New Roman" w:eastAsia="Times New Roman" w:cs="Times New Roman"/>
              <w:sz w:val="24"/>
              <w:szCs w:val="24"/>
            </w:rPr>
            <w:fldChar w:fldCharType="begin"/>
          </w:r>
          <w:r>
            <w:rPr>
              <w:rFonts w:ascii="Times New Roman" w:hAnsi="Times New Roman" w:eastAsia="Times New Roman" w:cs="Times New Roman"/>
              <w:sz w:val="24"/>
              <w:szCs w:val="24"/>
            </w:rPr>
            <w:instrText xml:space="preserve"> HYPERLINK \l _Toc14730 </w:instrText>
          </w:r>
          <w:r>
            <w:rPr>
              <w:rFonts w:ascii="Times New Roman" w:hAnsi="Times New Roman" w:eastAsia="Times New Roman" w:cs="Times New Roman"/>
              <w:sz w:val="24"/>
              <w:szCs w:val="24"/>
            </w:rPr>
            <w:fldChar w:fldCharType="separate"/>
          </w:r>
          <w:r>
            <w:rPr>
              <w:rFonts w:hint="default" w:ascii="Times New Roman" w:hAnsi="Times New Roman" w:eastAsia="Times New Roman" w:cs="Times New Roman"/>
              <w:sz w:val="24"/>
              <w:szCs w:val="24"/>
            </w:rPr>
            <w:t>Effective Communication</w:t>
          </w:r>
          <w:r>
            <w:rPr>
              <w:rFonts w:eastAsia="Times New Roman"/>
              <w:sz w:val="24"/>
            </w:rPr>
            <w:tab/>
          </w:r>
          <w:r>
            <w:rPr>
              <w:rFonts w:eastAsia="Times New Roman"/>
              <w:sz w:val="24"/>
            </w:rPr>
            <w:fldChar w:fldCharType="begin"/>
          </w:r>
          <w:r>
            <w:rPr>
              <w:rFonts w:eastAsia="Times New Roman"/>
              <w:sz w:val="24"/>
            </w:rPr>
            <w:instrText xml:space="preserve"> PAGEREF _Toc14730 \h </w:instrText>
          </w:r>
          <w:r>
            <w:rPr>
              <w:rFonts w:eastAsia="Times New Roman"/>
              <w:sz w:val="24"/>
            </w:rPr>
            <w:fldChar w:fldCharType="separate"/>
          </w:r>
          <w:r>
            <w:rPr>
              <w:rFonts w:eastAsia="Times New Roman"/>
              <w:sz w:val="24"/>
            </w:rPr>
            <w:t>9</w:t>
          </w:r>
          <w:r>
            <w:rPr>
              <w:rFonts w:eastAsia="Times New Roman"/>
              <w:sz w:val="24"/>
            </w:rPr>
            <w:fldChar w:fldCharType="end"/>
          </w:r>
          <w:r>
            <w:rPr>
              <w:rFonts w:ascii="Times New Roman" w:hAnsi="Times New Roman" w:eastAsia="Times New Roman" w:cs="Times New Roman"/>
              <w:sz w:val="24"/>
              <w:szCs w:val="24"/>
            </w:rPr>
            <w:fldChar w:fldCharType="end"/>
          </w:r>
        </w:p>
        <w:p>
          <w:pPr>
            <w:pStyle w:val="9"/>
            <w:tabs>
              <w:tab w:val="right" w:leader="dot" w:pos="9360"/>
            </w:tabs>
            <w:rPr>
              <w:rFonts w:eastAsia="Times New Roman"/>
              <w:sz w:val="24"/>
            </w:rPr>
          </w:pPr>
          <w:r>
            <w:rPr>
              <w:rFonts w:ascii="Times New Roman" w:hAnsi="Times New Roman" w:eastAsia="Times New Roman" w:cs="Times New Roman"/>
              <w:sz w:val="24"/>
              <w:szCs w:val="24"/>
            </w:rPr>
            <w:fldChar w:fldCharType="begin"/>
          </w:r>
          <w:r>
            <w:rPr>
              <w:rFonts w:ascii="Times New Roman" w:hAnsi="Times New Roman" w:eastAsia="Times New Roman" w:cs="Times New Roman"/>
              <w:sz w:val="24"/>
              <w:szCs w:val="24"/>
            </w:rPr>
            <w:instrText xml:space="preserve"> HYPERLINK \l _Toc7944 </w:instrText>
          </w:r>
          <w:r>
            <w:rPr>
              <w:rFonts w:ascii="Times New Roman" w:hAnsi="Times New Roman" w:eastAsia="Times New Roman" w:cs="Times New Roman"/>
              <w:sz w:val="24"/>
              <w:szCs w:val="24"/>
            </w:rPr>
            <w:fldChar w:fldCharType="separate"/>
          </w:r>
          <w:r>
            <w:rPr>
              <w:rFonts w:hint="default" w:ascii="Times New Roman" w:hAnsi="Times New Roman" w:eastAsia="Times New Roman" w:cs="Times New Roman"/>
              <w:sz w:val="24"/>
              <w:szCs w:val="36"/>
            </w:rPr>
            <w:t>International Culture</w:t>
          </w:r>
          <w:r>
            <w:rPr>
              <w:rFonts w:eastAsia="Times New Roman"/>
              <w:sz w:val="24"/>
            </w:rPr>
            <w:tab/>
          </w:r>
          <w:r>
            <w:rPr>
              <w:rFonts w:eastAsia="Times New Roman"/>
              <w:sz w:val="24"/>
            </w:rPr>
            <w:fldChar w:fldCharType="begin"/>
          </w:r>
          <w:r>
            <w:rPr>
              <w:rFonts w:eastAsia="Times New Roman"/>
              <w:sz w:val="24"/>
            </w:rPr>
            <w:instrText xml:space="preserve"> PAGEREF _Toc7944 \h </w:instrText>
          </w:r>
          <w:r>
            <w:rPr>
              <w:rFonts w:eastAsia="Times New Roman"/>
              <w:sz w:val="24"/>
            </w:rPr>
            <w:fldChar w:fldCharType="separate"/>
          </w:r>
          <w:r>
            <w:rPr>
              <w:rFonts w:eastAsia="Times New Roman"/>
              <w:sz w:val="24"/>
            </w:rPr>
            <w:t>10</w:t>
          </w:r>
          <w:r>
            <w:rPr>
              <w:rFonts w:eastAsia="Times New Roman"/>
              <w:sz w:val="24"/>
            </w:rPr>
            <w:fldChar w:fldCharType="end"/>
          </w:r>
          <w:r>
            <w:rPr>
              <w:rFonts w:ascii="Times New Roman" w:hAnsi="Times New Roman" w:eastAsia="Times New Roman" w:cs="Times New Roman"/>
              <w:sz w:val="24"/>
              <w:szCs w:val="24"/>
            </w:rPr>
            <w:fldChar w:fldCharType="end"/>
          </w:r>
        </w:p>
        <w:p>
          <w:pPr>
            <w:pStyle w:val="9"/>
            <w:tabs>
              <w:tab w:val="right" w:leader="dot" w:pos="9360"/>
            </w:tabs>
            <w:rPr>
              <w:rFonts w:eastAsia="Times New Roman"/>
              <w:sz w:val="24"/>
            </w:rPr>
          </w:pPr>
          <w:r>
            <w:rPr>
              <w:rFonts w:ascii="Times New Roman" w:hAnsi="Times New Roman" w:eastAsia="Times New Roman" w:cs="Times New Roman"/>
              <w:sz w:val="24"/>
              <w:szCs w:val="24"/>
            </w:rPr>
            <w:fldChar w:fldCharType="begin"/>
          </w:r>
          <w:r>
            <w:rPr>
              <w:rFonts w:ascii="Times New Roman" w:hAnsi="Times New Roman" w:eastAsia="Times New Roman" w:cs="Times New Roman"/>
              <w:sz w:val="24"/>
              <w:szCs w:val="24"/>
            </w:rPr>
            <w:instrText xml:space="preserve"> HYPERLINK \l _Toc16990 </w:instrText>
          </w:r>
          <w:r>
            <w:rPr>
              <w:rFonts w:ascii="Times New Roman" w:hAnsi="Times New Roman" w:eastAsia="Times New Roman" w:cs="Times New Roman"/>
              <w:sz w:val="24"/>
              <w:szCs w:val="24"/>
            </w:rPr>
            <w:fldChar w:fldCharType="separate"/>
          </w:r>
          <w:r>
            <w:rPr>
              <w:rFonts w:hint="default" w:ascii="Times New Roman" w:hAnsi="Times New Roman" w:eastAsia="Times New Roman" w:cs="Times New Roman"/>
              <w:sz w:val="24"/>
              <w:szCs w:val="36"/>
            </w:rPr>
            <w:t>Importance of Building Relationship</w:t>
          </w:r>
          <w:r>
            <w:rPr>
              <w:rFonts w:eastAsia="Times New Roman"/>
              <w:sz w:val="24"/>
            </w:rPr>
            <w:tab/>
          </w:r>
          <w:r>
            <w:rPr>
              <w:rFonts w:eastAsia="Times New Roman"/>
              <w:sz w:val="24"/>
            </w:rPr>
            <w:fldChar w:fldCharType="begin"/>
          </w:r>
          <w:r>
            <w:rPr>
              <w:rFonts w:eastAsia="Times New Roman"/>
              <w:sz w:val="24"/>
            </w:rPr>
            <w:instrText xml:space="preserve"> PAGEREF _Toc16990 \h </w:instrText>
          </w:r>
          <w:r>
            <w:rPr>
              <w:rFonts w:eastAsia="Times New Roman"/>
              <w:sz w:val="24"/>
            </w:rPr>
            <w:fldChar w:fldCharType="separate"/>
          </w:r>
          <w:r>
            <w:rPr>
              <w:rFonts w:eastAsia="Times New Roman"/>
              <w:sz w:val="24"/>
            </w:rPr>
            <w:t>11</w:t>
          </w:r>
          <w:r>
            <w:rPr>
              <w:rFonts w:eastAsia="Times New Roman"/>
              <w:sz w:val="24"/>
            </w:rPr>
            <w:fldChar w:fldCharType="end"/>
          </w:r>
          <w:r>
            <w:rPr>
              <w:rFonts w:ascii="Times New Roman" w:hAnsi="Times New Roman" w:eastAsia="Times New Roman" w:cs="Times New Roman"/>
              <w:sz w:val="24"/>
              <w:szCs w:val="24"/>
            </w:rPr>
            <w:fldChar w:fldCharType="end"/>
          </w:r>
        </w:p>
        <w:p>
          <w:pPr>
            <w:pStyle w:val="9"/>
            <w:tabs>
              <w:tab w:val="right" w:leader="dot" w:pos="9360"/>
            </w:tabs>
            <w:rPr>
              <w:rFonts w:eastAsia="Times New Roman"/>
              <w:sz w:val="24"/>
            </w:rPr>
          </w:pPr>
          <w:r>
            <w:rPr>
              <w:rFonts w:ascii="Times New Roman" w:hAnsi="Times New Roman" w:eastAsia="Times New Roman" w:cs="Times New Roman"/>
              <w:sz w:val="24"/>
              <w:szCs w:val="24"/>
            </w:rPr>
            <w:fldChar w:fldCharType="begin"/>
          </w:r>
          <w:r>
            <w:rPr>
              <w:rFonts w:ascii="Times New Roman" w:hAnsi="Times New Roman" w:eastAsia="Times New Roman" w:cs="Times New Roman"/>
              <w:sz w:val="24"/>
              <w:szCs w:val="24"/>
            </w:rPr>
            <w:instrText xml:space="preserve"> HYPERLINK \l _Toc14751 </w:instrText>
          </w:r>
          <w:r>
            <w:rPr>
              <w:rFonts w:ascii="Times New Roman" w:hAnsi="Times New Roman" w:eastAsia="Times New Roman" w:cs="Times New Roman"/>
              <w:sz w:val="24"/>
              <w:szCs w:val="24"/>
            </w:rPr>
            <w:fldChar w:fldCharType="separate"/>
          </w:r>
          <w:r>
            <w:rPr>
              <w:rFonts w:hint="default" w:ascii="Times New Roman" w:hAnsi="Times New Roman" w:eastAsia="Times New Roman" w:cs="Times New Roman"/>
              <w:sz w:val="24"/>
              <w:szCs w:val="36"/>
            </w:rPr>
            <w:t>Conclusions and Recommendations</w:t>
          </w:r>
          <w:r>
            <w:rPr>
              <w:rFonts w:eastAsia="Times New Roman"/>
              <w:sz w:val="24"/>
            </w:rPr>
            <w:tab/>
          </w:r>
          <w:r>
            <w:rPr>
              <w:rFonts w:eastAsia="Times New Roman"/>
              <w:sz w:val="24"/>
            </w:rPr>
            <w:fldChar w:fldCharType="begin"/>
          </w:r>
          <w:r>
            <w:rPr>
              <w:rFonts w:eastAsia="Times New Roman"/>
              <w:sz w:val="24"/>
            </w:rPr>
            <w:instrText xml:space="preserve"> PAGEREF _Toc14751 \h </w:instrText>
          </w:r>
          <w:r>
            <w:rPr>
              <w:rFonts w:eastAsia="Times New Roman"/>
              <w:sz w:val="24"/>
            </w:rPr>
            <w:fldChar w:fldCharType="separate"/>
          </w:r>
          <w:r>
            <w:rPr>
              <w:rFonts w:eastAsia="Times New Roman"/>
              <w:sz w:val="24"/>
            </w:rPr>
            <w:t>12</w:t>
          </w:r>
          <w:r>
            <w:rPr>
              <w:rFonts w:eastAsia="Times New Roman"/>
              <w:sz w:val="24"/>
            </w:rPr>
            <w:fldChar w:fldCharType="end"/>
          </w:r>
          <w:r>
            <w:rPr>
              <w:rFonts w:ascii="Times New Roman" w:hAnsi="Times New Roman" w:eastAsia="Times New Roman" w:cs="Times New Roman"/>
              <w:sz w:val="24"/>
              <w:szCs w:val="24"/>
            </w:rPr>
            <w:fldChar w:fldCharType="end"/>
          </w:r>
        </w:p>
        <w:p>
          <w:pPr>
            <w:pStyle w:val="9"/>
            <w:tabs>
              <w:tab w:val="right" w:leader="dot" w:pos="9360"/>
            </w:tabs>
            <w:rPr>
              <w:rFonts w:eastAsia="Times New Roman"/>
              <w:sz w:val="24"/>
            </w:rPr>
          </w:pPr>
          <w:r>
            <w:rPr>
              <w:rFonts w:ascii="Times New Roman" w:hAnsi="Times New Roman" w:eastAsia="Times New Roman" w:cs="Times New Roman"/>
              <w:sz w:val="24"/>
              <w:szCs w:val="24"/>
            </w:rPr>
            <w:fldChar w:fldCharType="begin"/>
          </w:r>
          <w:r>
            <w:rPr>
              <w:rFonts w:ascii="Times New Roman" w:hAnsi="Times New Roman" w:eastAsia="Times New Roman" w:cs="Times New Roman"/>
              <w:sz w:val="24"/>
              <w:szCs w:val="24"/>
            </w:rPr>
            <w:instrText xml:space="preserve"> HYPERLINK \l _Toc23046 </w:instrText>
          </w:r>
          <w:r>
            <w:rPr>
              <w:rFonts w:ascii="Times New Roman" w:hAnsi="Times New Roman" w:eastAsia="Times New Roman" w:cs="Times New Roman"/>
              <w:sz w:val="24"/>
              <w:szCs w:val="24"/>
            </w:rPr>
            <w:fldChar w:fldCharType="separate"/>
          </w:r>
          <w:r>
            <w:rPr>
              <w:rFonts w:ascii="Times New Roman" w:hAnsi="Times New Roman" w:eastAsia="Times New Roman" w:cs="Times New Roman"/>
              <w:sz w:val="24"/>
              <w:szCs w:val="24"/>
            </w:rPr>
            <w:t>References</w:t>
          </w:r>
          <w:r>
            <w:rPr>
              <w:rFonts w:eastAsia="Times New Roman"/>
              <w:sz w:val="24"/>
            </w:rPr>
            <w:tab/>
          </w:r>
          <w:r>
            <w:rPr>
              <w:rFonts w:eastAsia="Times New Roman"/>
              <w:sz w:val="24"/>
            </w:rPr>
            <w:fldChar w:fldCharType="begin"/>
          </w:r>
          <w:r>
            <w:rPr>
              <w:rFonts w:eastAsia="Times New Roman"/>
              <w:sz w:val="24"/>
            </w:rPr>
            <w:instrText xml:space="preserve"> PAGEREF _Toc23046 \h </w:instrText>
          </w:r>
          <w:r>
            <w:rPr>
              <w:rFonts w:eastAsia="Times New Roman"/>
              <w:sz w:val="24"/>
            </w:rPr>
            <w:fldChar w:fldCharType="separate"/>
          </w:r>
          <w:r>
            <w:rPr>
              <w:rFonts w:eastAsia="Times New Roman"/>
              <w:sz w:val="24"/>
            </w:rPr>
            <w:t>14</w:t>
          </w:r>
          <w:r>
            <w:rPr>
              <w:rFonts w:eastAsia="Times New Roman"/>
              <w:sz w:val="24"/>
            </w:rPr>
            <w:fldChar w:fldCharType="end"/>
          </w:r>
          <w:r>
            <w:rPr>
              <w:rFonts w:ascii="Times New Roman" w:hAnsi="Times New Roman" w:eastAsia="Times New Roman" w:cs="Times New Roman"/>
              <w:sz w:val="24"/>
              <w:szCs w:val="24"/>
            </w:rPr>
            <w:fldChar w:fldCharType="end"/>
          </w:r>
        </w:p>
        <w:p>
          <w:pPr>
            <w:spacing w:line="480" w:lineRule="auto"/>
            <w:contextualSpacing/>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fldChar w:fldCharType="end"/>
          </w:r>
        </w:p>
        <w:p>
          <w:pPr>
            <w:spacing w:line="480" w:lineRule="auto"/>
            <w:contextualSpacing/>
            <w:jc w:val="both"/>
            <w:rPr>
              <w:rFonts w:ascii="Times New Roman" w:hAnsi="Times New Roman" w:cs="Times New Roman"/>
              <w:szCs w:val="24"/>
            </w:rPr>
          </w:pPr>
          <w:bookmarkStart w:id="11" w:name="_GoBack"/>
          <w:bookmarkEnd w:id="11"/>
        </w:p>
        <w:p>
          <w:pPr>
            <w:spacing w:line="480" w:lineRule="auto"/>
            <w:contextualSpacing/>
            <w:jc w:val="both"/>
            <w:rPr>
              <w:rFonts w:ascii="Times New Roman" w:hAnsi="Times New Roman" w:cs="Times New Roman"/>
              <w:szCs w:val="24"/>
            </w:rPr>
          </w:pPr>
        </w:p>
        <w:p>
          <w:pPr>
            <w:spacing w:line="480" w:lineRule="auto"/>
            <w:contextualSpacing/>
            <w:jc w:val="both"/>
            <w:rPr>
              <w:rFonts w:ascii="Times New Roman" w:hAnsi="Times New Roman" w:cs="Times New Roman"/>
              <w:szCs w:val="24"/>
            </w:rPr>
          </w:pPr>
        </w:p>
        <w:p>
          <w:pPr>
            <w:spacing w:line="480" w:lineRule="auto"/>
            <w:contextualSpacing/>
            <w:jc w:val="both"/>
            <w:rPr>
              <w:rFonts w:ascii="Times New Roman" w:hAnsi="Times New Roman" w:cs="Times New Roman"/>
              <w:szCs w:val="24"/>
            </w:rPr>
          </w:pPr>
        </w:p>
        <w:p>
          <w:pPr>
            <w:spacing w:line="480" w:lineRule="auto"/>
            <w:contextualSpacing/>
            <w:jc w:val="both"/>
            <w:rPr>
              <w:rFonts w:ascii="Times New Roman" w:hAnsi="Times New Roman" w:cs="Times New Roman"/>
              <w:szCs w:val="24"/>
            </w:rPr>
          </w:pPr>
        </w:p>
        <w:p>
          <w:pPr>
            <w:spacing w:line="480" w:lineRule="auto"/>
            <w:contextualSpacing/>
            <w:jc w:val="both"/>
            <w:rPr>
              <w:rFonts w:ascii="Times New Roman" w:hAnsi="Times New Roman" w:cs="Times New Roman"/>
              <w:szCs w:val="24"/>
            </w:rPr>
          </w:pPr>
        </w:p>
        <w:p>
          <w:pPr>
            <w:spacing w:line="480" w:lineRule="auto"/>
            <w:contextualSpacing/>
            <w:jc w:val="both"/>
            <w:rPr>
              <w:rFonts w:ascii="Times New Roman" w:hAnsi="Times New Roman" w:cs="Times New Roman"/>
              <w:szCs w:val="24"/>
            </w:rPr>
          </w:pPr>
        </w:p>
        <w:p>
          <w:pPr>
            <w:spacing w:line="480" w:lineRule="auto"/>
            <w:contextualSpacing/>
            <w:jc w:val="both"/>
            <w:rPr>
              <w:rFonts w:ascii="Times New Roman" w:hAnsi="Times New Roman" w:cs="Times New Roman"/>
              <w:szCs w:val="24"/>
            </w:rPr>
          </w:pPr>
        </w:p>
        <w:p>
          <w:pPr>
            <w:spacing w:line="480" w:lineRule="auto"/>
            <w:contextualSpacing/>
            <w:jc w:val="both"/>
            <w:rPr>
              <w:rFonts w:ascii="Times New Roman" w:hAnsi="Times New Roman" w:cs="Times New Roman"/>
              <w:szCs w:val="24"/>
            </w:rPr>
          </w:pPr>
        </w:p>
        <w:p>
          <w:pPr>
            <w:spacing w:line="480" w:lineRule="auto"/>
            <w:contextualSpacing/>
            <w:jc w:val="both"/>
            <w:rPr>
              <w:rFonts w:ascii="Times New Roman" w:hAnsi="Times New Roman" w:cs="Times New Roman"/>
              <w:szCs w:val="24"/>
            </w:rPr>
          </w:pPr>
        </w:p>
        <w:p>
          <w:pPr>
            <w:spacing w:line="480" w:lineRule="auto"/>
            <w:contextualSpacing/>
            <w:jc w:val="both"/>
            <w:rPr>
              <w:rFonts w:ascii="Times New Roman" w:hAnsi="Times New Roman" w:cs="Times New Roman"/>
              <w:szCs w:val="24"/>
            </w:rPr>
          </w:pPr>
        </w:p>
        <w:p>
          <w:pPr>
            <w:spacing w:line="480" w:lineRule="auto"/>
            <w:contextualSpacing/>
            <w:jc w:val="both"/>
            <w:rPr>
              <w:rFonts w:ascii="Times New Roman" w:hAnsi="Times New Roman" w:cs="Times New Roman"/>
              <w:b/>
              <w:sz w:val="24"/>
              <w:szCs w:val="24"/>
            </w:rPr>
          </w:pPr>
        </w:p>
      </w:sdtContent>
    </w:sdt>
    <w:p>
      <w:pPr>
        <w:pStyle w:val="2"/>
        <w:bidi w:val="0"/>
        <w:rPr>
          <w:rFonts w:hint="default" w:ascii="Times New Roman" w:hAnsi="Times New Roman" w:cs="Times New Roman"/>
          <w:sz w:val="36"/>
          <w:szCs w:val="36"/>
        </w:rPr>
      </w:pPr>
      <w:bookmarkStart w:id="0" w:name="_Toc19817"/>
      <w:r>
        <w:rPr>
          <w:rFonts w:hint="default" w:ascii="Times New Roman" w:hAnsi="Times New Roman" w:cs="Times New Roman"/>
          <w:sz w:val="36"/>
          <w:szCs w:val="36"/>
        </w:rPr>
        <w:t>Introduction</w:t>
      </w:r>
      <w:bookmarkEnd w:id="0"/>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Strategic company growth into new markets in the ever-changing global business environment necessitates careful preparation and a keen understanding of possible obstacles. This research provides our client, a reputable UK-based clothes retailer, with thorough guidance as it prepares to enter the lucrative Asian markets and begin a revolutionary journey. The complex interactions between cross-border business communication and cultural quirks will be examined to provide our client with the fundamental information and abilities needed for a successful endeavor.</w:t>
      </w:r>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The terms of reference outline the report's precise boundaries and goals. We will examine the nuances of international business communication via a narrow lens, highlighting the cultural factors crucial to developing fruitful cross-border contacts. Considering the particular circumstances of our client's foray into the varied marketplaces of Asia, the paper attempts to offer practical insights and suggestions. For our customers, comprehending the terms of reference provides a road map for overcoming the challenges of cross-cultural business communication (</w:t>
      </w:r>
      <w:r>
        <w:rPr>
          <w:rFonts w:ascii="Times New Roman" w:hAnsi="Times New Roman" w:cs="Times New Roman"/>
          <w:color w:val="222222"/>
          <w:sz w:val="24"/>
          <w:szCs w:val="24"/>
          <w:shd w:val="clear" w:color="auto" w:fill="FFFFFF"/>
        </w:rPr>
        <w:t>Patro, 2023)</w:t>
      </w:r>
      <w:r>
        <w:rPr>
          <w:rFonts w:ascii="Times New Roman" w:hAnsi="Times New Roman" w:cs="Times New Roman"/>
          <w:sz w:val="24"/>
          <w:szCs w:val="24"/>
        </w:rPr>
        <w:t>.</w:t>
      </w:r>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Our client is a well-known UK-based clothes retailer that has made a name for itself as a trailblazer in the fashion world. The company has prospered in the UK market thanks to its dedication to quality, innovation, and strong brand identification. The corporation sees itself leveraging the enormous potential of the Asian markets as the global economy beckons (</w:t>
      </w:r>
      <w:r>
        <w:rPr>
          <w:rFonts w:ascii="Times New Roman" w:hAnsi="Times New Roman" w:cs="Times New Roman"/>
          <w:color w:val="222222"/>
          <w:sz w:val="24"/>
          <w:szCs w:val="24"/>
          <w:shd w:val="clear" w:color="auto" w:fill="FFFFFF"/>
        </w:rPr>
        <w:t>Kao,  and Wang, 2023)</w:t>
      </w:r>
      <w:r>
        <w:rPr>
          <w:rFonts w:ascii="Times New Roman" w:hAnsi="Times New Roman" w:cs="Times New Roman"/>
          <w:sz w:val="24"/>
          <w:szCs w:val="24"/>
        </w:rPr>
        <w:t>. To better suit the varied tastes and cultural makeup of Asian customers, this growth is a calculated strategic move rather than just a geographic one. A detailed introduction to the clothes store and its sector sets the groundwork for comprehending the complexities of transnational commercial ventures.</w:t>
      </w:r>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This report's primary goal is to provide our customers with the information and strategic direction needed to launch a profitable business in Asia. We hope to offer useful insights that promote efficient international corporate communication and relationship-building by addressing the report's specific objectives. In addition to providing useful advice that aligns with the client's goals, the goal goes beyond simply spreading knowledge. This report intends to be an active instrument, giving our customers the knowledge and abilities to successfully negotiate cultural nuances and establish enduring relationships in Asia's varied environments.</w:t>
      </w:r>
    </w:p>
    <w:p>
      <w:pPr>
        <w:pStyle w:val="2"/>
        <w:bidi w:val="0"/>
        <w:rPr>
          <w:rFonts w:hint="default" w:ascii="Times New Roman" w:hAnsi="Times New Roman" w:cs="Times New Roman"/>
          <w:sz w:val="36"/>
          <w:szCs w:val="36"/>
        </w:rPr>
      </w:pPr>
      <w:bookmarkStart w:id="1" w:name="_Toc29756"/>
      <w:r>
        <w:rPr>
          <w:rFonts w:hint="default" w:ascii="Times New Roman" w:hAnsi="Times New Roman" w:cs="Times New Roman"/>
          <w:sz w:val="36"/>
          <w:szCs w:val="36"/>
        </w:rPr>
        <w:t>Key Findings</w:t>
      </w:r>
      <w:bookmarkEnd w:id="1"/>
    </w:p>
    <w:p>
      <w:pPr>
        <w:pStyle w:val="3"/>
        <w:bidi w:val="0"/>
        <w:outlineLvl w:val="0"/>
        <w:rPr>
          <w:rFonts w:hint="default" w:ascii="Times New Roman" w:hAnsi="Times New Roman" w:cs="Times New Roman"/>
          <w:sz w:val="24"/>
          <w:szCs w:val="24"/>
        </w:rPr>
      </w:pPr>
      <w:bookmarkStart w:id="2" w:name="_Toc27249"/>
      <w:r>
        <w:rPr>
          <w:rFonts w:hint="default" w:ascii="Times New Roman" w:hAnsi="Times New Roman" w:cs="Times New Roman"/>
          <w:sz w:val="24"/>
          <w:szCs w:val="24"/>
        </w:rPr>
        <w:t>International Business Communication</w:t>
      </w:r>
      <w:bookmarkEnd w:id="2"/>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They are working on geographically dispersed teams that are thrilling, satisfying, and challenging. The logistics of doing business across borders might take a lot of work. However, many emerge from the dynamics that occur when people of diverse cultural backgrounds work together, and these dynamics frequently have their roots in the complexity of intercultural communication.</w:t>
      </w:r>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Leaders are accountable for handling the complexities and difficulties of leading a global workforce. Therefore, leaders need to be adept at communicating across cultural boundaries. Eastern Washington University's online Master of Business Administration (MBA) with an International corporate Concentration can help students acquire this knowledge through international business, leadership, and corporate communication research courses. These multidisciplinary courses equip students with the cross-cultural communication skills to lead high-performing, globally distributed teams. Conventions for punctuality, cooperation, and formal discourse vary by workplace culture. These factors can affect how people in an international group work together, what they hear and understand, and how they respond to one another.</w:t>
      </w:r>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Cultures have different norms when making physical contact, such as shaking hands, making eye contact, or using other forms of body language. There may also be a cultural difference in how willing individuals are to share private information with their coworkers. A good work-life balance might mean different things in different parts of the world. While common in one culture, communicating informally may be considered disrespectful or unsuitable in another.</w:t>
      </w:r>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These are just a few examples of how cultural communication standards can differ substantially. Ignoring these distinctions and imposing a single culture's set of communication standards on a culturally varied, worldwide work team can have disastrous implications.</w:t>
      </w:r>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More practically, errors in basic communication between cultures can lead to inefficiencies, poorer productivity, and other negative outcomes, including expectations, timetables, and goals. Negative effects on team spirit, cooperation, and the creative output that results from cohesive member contributions can also stem from social and interpersonal misunderstandings (</w:t>
      </w:r>
      <w:r>
        <w:rPr>
          <w:rFonts w:ascii="Times New Roman" w:hAnsi="Times New Roman" w:cs="Times New Roman"/>
          <w:color w:val="222222"/>
          <w:sz w:val="24"/>
          <w:szCs w:val="24"/>
          <w:shd w:val="clear" w:color="auto" w:fill="FFFFFF"/>
        </w:rPr>
        <w:t>Umar and Ko, 2022)</w:t>
      </w:r>
      <w:r>
        <w:rPr>
          <w:rFonts w:ascii="Times New Roman" w:hAnsi="Times New Roman" w:cs="Times New Roman"/>
          <w:sz w:val="24"/>
          <w:szCs w:val="24"/>
        </w:rPr>
        <w:t>.</w:t>
      </w:r>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When leading a group, it's crucial to keep the team's ability to communicate in mind. Disparities in team members' native languages might impede clear communication when dealing with the complexities of intercultural communication in international business. Therefore, leaders must aim to improve intercultural communication within geographically dispersed teams(</w:t>
      </w:r>
      <w:r>
        <w:rPr>
          <w:rFonts w:ascii="Times New Roman" w:hAnsi="Times New Roman" w:cs="Times New Roman"/>
          <w:color w:val="222222"/>
          <w:sz w:val="24"/>
          <w:szCs w:val="24"/>
          <w:shd w:val="clear" w:color="auto" w:fill="FFFFFF"/>
        </w:rPr>
        <w:t>Lu et al., 2022)</w:t>
      </w:r>
      <w:r>
        <w:rPr>
          <w:rFonts w:ascii="Times New Roman" w:hAnsi="Times New Roman" w:cs="Times New Roman"/>
          <w:sz w:val="24"/>
          <w:szCs w:val="24"/>
        </w:rPr>
        <w:t>.</w:t>
      </w:r>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Establishing effective intercultural communication within multinational teams requires first fostering cultural competence. Leaders and team members need a comprehensive awareness of one another's cultures and customs to adapt to varied communication conventions (</w:t>
      </w:r>
      <w:r>
        <w:rPr>
          <w:rFonts w:ascii="Times New Roman" w:hAnsi="Times New Roman" w:cs="Times New Roman"/>
          <w:color w:val="222222"/>
          <w:sz w:val="24"/>
          <w:szCs w:val="24"/>
          <w:shd w:val="clear" w:color="auto" w:fill="FFFFFF"/>
        </w:rPr>
        <w:t>Aririguzoh, 2022)</w:t>
      </w:r>
      <w:r>
        <w:rPr>
          <w:rFonts w:ascii="Times New Roman" w:hAnsi="Times New Roman" w:cs="Times New Roman"/>
          <w:sz w:val="24"/>
          <w:szCs w:val="24"/>
        </w:rPr>
        <w:t>.</w:t>
      </w:r>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The ability to recognize and dismantle barriers to good intercultural communication is an essential part of acquiring this awareness. When projected onto others, culturally particular conceptions, such as ethnocentrism, stereotypes, and assumptions about certain actions, can stifle intercultural communication.</w:t>
      </w:r>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Recognizing and respecting cultural differences is the first step. As Anastasia Dzenowagis puts it in her article on intercultural communication in international business, "We need to use our cultural differences to create a competitive advantage for our projects and companies." Acknowledging and appreciating cultural differences can open doors to increased understanding, knowledge, and creativity. Team members can create the shared meanings that underpin productive intercultural communication by contributing their unique perspectives to the total.</w:t>
      </w:r>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In a very basic and individual sense, cultures and languages can have vastly different approaches to comedy and tone. Sarcastic humor, for instance, is often distinctive to a society. It might be misunderstood as hostile, especially in written conversations where body language is absent (</w:t>
      </w:r>
      <w:r>
        <w:rPr>
          <w:rFonts w:ascii="Times New Roman" w:hAnsi="Times New Roman" w:cs="Times New Roman"/>
          <w:color w:val="222222"/>
          <w:sz w:val="24"/>
          <w:szCs w:val="24"/>
          <w:shd w:val="clear" w:color="auto" w:fill="FFFFFF"/>
        </w:rPr>
        <w:t>Hamerdinger and Crump, 2022)</w:t>
      </w:r>
      <w:r>
        <w:rPr>
          <w:rFonts w:ascii="Times New Roman" w:hAnsi="Times New Roman" w:cs="Times New Roman"/>
          <w:sz w:val="24"/>
          <w:szCs w:val="24"/>
        </w:rPr>
        <w:t>. Maintaining constructive intercultural contact can be aided by focusing on positive, clear, and direct communication and rejecting culture-specific humor and colloquialisms.</w:t>
      </w:r>
    </w:p>
    <w:p>
      <w:pPr>
        <w:pStyle w:val="3"/>
        <w:bidi w:val="0"/>
        <w:outlineLvl w:val="0"/>
        <w:rPr>
          <w:rFonts w:hint="default" w:ascii="Times New Roman" w:hAnsi="Times New Roman" w:cs="Times New Roman"/>
          <w:sz w:val="24"/>
          <w:szCs w:val="24"/>
        </w:rPr>
      </w:pPr>
      <w:bookmarkStart w:id="3" w:name="_Toc15348"/>
      <w:r>
        <w:rPr>
          <w:rFonts w:hint="default" w:ascii="Times New Roman" w:hAnsi="Times New Roman" w:cs="Times New Roman"/>
          <w:sz w:val="24"/>
          <w:szCs w:val="24"/>
        </w:rPr>
        <w:t>Skills Requirements</w:t>
      </w:r>
      <w:bookmarkEnd w:id="3"/>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Beyond language proficiency, effective cross-cultural communication requires a diverse skill set. Language ability is essential because it is the foundation for precise and unambiguous communication. However, genuine effectiveness in cross-cultural settings necessitates a higher degree of cultural intelligence (CQ). People must be thoroughly aware of the subtle cultural differences, customs, and values of those with whom they interact.</w:t>
      </w:r>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Equally important, emotional intelligence allows people to negotiate cultural differences tactfully and sensitively. In a cross-cultural context, the capacity to decipher and react to nonverbal clues becomes imperative, highlighting the significance of observational abilities.</w:t>
      </w:r>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It is essential to be flexible and have an open mind. Mutual understanding is facilitated by adapting communication approaches and being open to different points of view. Strong negotiating abilities are another trait of effective cross-cultural communicators; they recognize and use the impact of cultural differences in negotiations (</w:t>
      </w:r>
      <w:r>
        <w:rPr>
          <w:rFonts w:ascii="Times New Roman" w:hAnsi="Times New Roman" w:cs="Times New Roman"/>
          <w:color w:val="222222"/>
          <w:sz w:val="24"/>
          <w:szCs w:val="24"/>
          <w:shd w:val="clear" w:color="auto" w:fill="FFFFFF"/>
        </w:rPr>
        <w:t>Isaacs, 2023)</w:t>
      </w:r>
      <w:r>
        <w:rPr>
          <w:rFonts w:ascii="Times New Roman" w:hAnsi="Times New Roman" w:cs="Times New Roman"/>
          <w:sz w:val="24"/>
          <w:szCs w:val="24"/>
        </w:rPr>
        <w:t>.</w:t>
      </w:r>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In global commerce, the ability to establish cross-cultural trust is critical. This calls for an appreciation of the underlying cultural circumstances that influence business relationships and a grasp of various communication styles. Effective cross-cultural communication requires a broad skill set that includes language competency, cultural intelligence, emotional intelligence, flexibility, observational skills, negotiation power, and the capacity to establish trust.</w:t>
      </w:r>
    </w:p>
    <w:p>
      <w:pPr>
        <w:pStyle w:val="3"/>
        <w:bidi w:val="0"/>
        <w:outlineLvl w:val="0"/>
        <w:rPr>
          <w:rFonts w:hint="default" w:ascii="Times New Roman" w:hAnsi="Times New Roman" w:cs="Times New Roman"/>
          <w:sz w:val="24"/>
          <w:szCs w:val="24"/>
        </w:rPr>
      </w:pPr>
      <w:bookmarkStart w:id="4" w:name="_Toc3701"/>
      <w:r>
        <w:rPr>
          <w:rFonts w:hint="default" w:ascii="Times New Roman" w:hAnsi="Times New Roman" w:cs="Times New Roman"/>
          <w:sz w:val="24"/>
          <w:szCs w:val="24"/>
        </w:rPr>
        <w:t>Methods of Communication</w:t>
      </w:r>
      <w:bookmarkEnd w:id="4"/>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Understanding and skillfully using various communication strategies is essential for successful worldwide contacts in the vast field of international business. Edward T. Hall's theory of High-Context and Low-Context cultures is a well-known framework for understanding communication techniques. High-context cultures, like those in many Asian nations, highly value non-verbal communication, shared experiences, and contextual clues (</w:t>
      </w:r>
      <w:r>
        <w:rPr>
          <w:rFonts w:ascii="Times New Roman" w:hAnsi="Times New Roman" w:cs="Times New Roman"/>
          <w:color w:val="222222"/>
          <w:sz w:val="24"/>
          <w:szCs w:val="24"/>
          <w:shd w:val="clear" w:color="auto" w:fill="FFFFFF"/>
        </w:rPr>
        <w:t>Kamran and Abid, 2023)</w:t>
      </w:r>
      <w:r>
        <w:rPr>
          <w:rFonts w:ascii="Times New Roman" w:hAnsi="Times New Roman" w:cs="Times New Roman"/>
          <w:sz w:val="24"/>
          <w:szCs w:val="24"/>
        </w:rPr>
        <w:t>. Implicit transmission is given special weight in these cultures. Conversely, verbal communication that is explicitly stated and less dependent on context is valued in Low-Context cultures, which are frequently seen in Western countries. Crafting effective cross-cultural messages requires an understanding of these variances and adjustments.</w:t>
      </w:r>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The decision between synchronous and asynchronous communication techniques is also very important. Emails and written documentation are examples of asynchronous communication that permits deliberate reflection but may not have the immediacy needed in some cultural contexts. Instantaneous contact is facilitated via synchronous communication, such as video conferencing and real-time messaging, but it necessitates time zone adaptation (</w:t>
      </w:r>
      <w:r>
        <w:rPr>
          <w:rFonts w:ascii="Times New Roman" w:hAnsi="Times New Roman" w:cs="Times New Roman"/>
          <w:color w:val="222222"/>
          <w:sz w:val="24"/>
          <w:szCs w:val="24"/>
          <w:shd w:val="clear" w:color="auto" w:fill="FFFFFF"/>
        </w:rPr>
        <w:t>Vaz-Serra et al., 2022)</w:t>
      </w:r>
      <w:r>
        <w:rPr>
          <w:rFonts w:ascii="Times New Roman" w:hAnsi="Times New Roman" w:cs="Times New Roman"/>
          <w:sz w:val="24"/>
          <w:szCs w:val="24"/>
        </w:rPr>
        <w:t>. Maintaining efficient communication within multinational teams requires finding a balance between these approaches.</w:t>
      </w:r>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The widespread use of technology brings forth a new dimension to cross-cultural communication. Although they improve connectivity, virtual communication tools can sometimes make it difficult to communicate emotion and subtlety. It's critical to comprehend how cultural norms around technology adoption vary and to modify communication tactics accordingly. Furthermore, linguistic barriers can be filled, and messages made more accessible in a global setting by utilizing graphics, multimedia, and visuals (</w:t>
      </w:r>
      <w:r>
        <w:rPr>
          <w:rFonts w:ascii="Times New Roman" w:hAnsi="Times New Roman" w:cs="Times New Roman"/>
          <w:color w:val="222222"/>
          <w:sz w:val="24"/>
          <w:szCs w:val="24"/>
          <w:shd w:val="clear" w:color="auto" w:fill="FFFFFF"/>
        </w:rPr>
        <w:t>Doush et al., 2022)</w:t>
      </w:r>
      <w:r>
        <w:rPr>
          <w:rFonts w:ascii="Times New Roman" w:hAnsi="Times New Roman" w:cs="Times New Roman"/>
          <w:sz w:val="24"/>
          <w:szCs w:val="24"/>
        </w:rPr>
        <w:t>.</w:t>
      </w:r>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A strategic approach to communication approaches is fundamental to successful cross-cultural communication. Asynchronous and synchronous communication must be balanced, cultural preferences must be acknowledged, and technology must be used sparingly. By carefully using these techniques, companies may create a communication atmosphere that breaks down cultural barriers and encourages international cooperation.</w:t>
      </w:r>
    </w:p>
    <w:p>
      <w:pPr>
        <w:pStyle w:val="3"/>
        <w:bidi w:val="0"/>
        <w:outlineLvl w:val="0"/>
        <w:rPr>
          <w:rFonts w:hint="default" w:ascii="Times New Roman" w:hAnsi="Times New Roman" w:cs="Times New Roman"/>
          <w:sz w:val="24"/>
          <w:szCs w:val="24"/>
        </w:rPr>
      </w:pPr>
      <w:bookmarkStart w:id="5" w:name="_Toc22406"/>
      <w:r>
        <w:rPr>
          <w:rFonts w:hint="default" w:ascii="Times New Roman" w:hAnsi="Times New Roman" w:cs="Times New Roman"/>
          <w:sz w:val="24"/>
          <w:szCs w:val="24"/>
        </w:rPr>
        <w:t>Halls High Low Context</w:t>
      </w:r>
      <w:bookmarkEnd w:id="5"/>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The High-Low Context Communication theory developed by Edward T. Hall provides a comprehensive framework for comprehending the complexities of cross-cultural communication. High-context cultures, like those found in Asia, mostly rely on shared experiences, contextual knowledge, and implicit, non-verbal clues for communication. People are supposed to infer meanings from the context in which the communication is embedded by using their cultural knowledge (</w:t>
      </w:r>
      <w:r>
        <w:rPr>
          <w:rFonts w:ascii="Times New Roman" w:hAnsi="Times New Roman" w:cs="Times New Roman"/>
          <w:color w:val="222222"/>
          <w:sz w:val="24"/>
          <w:szCs w:val="24"/>
          <w:shd w:val="clear" w:color="auto" w:fill="FFFFFF"/>
        </w:rPr>
        <w:t>Aririguzoh, 2022)</w:t>
      </w:r>
      <w:r>
        <w:rPr>
          <w:rFonts w:ascii="Times New Roman" w:hAnsi="Times New Roman" w:cs="Times New Roman"/>
          <w:sz w:val="24"/>
          <w:szCs w:val="24"/>
        </w:rPr>
        <w:t>. On the other hand, low-context cultures, which are prevalent in Western countries, value vocal communication that is clear, unambiguous, and less reliant on background details.</w:t>
      </w:r>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A detailed examination of Hall's theory shows that interactions between people with varying context orientations can lead to misunderstandings. Low-context communicators may misunderstand in high-context circumstances because they cannot recognize subtle cues (</w:t>
      </w:r>
      <w:r>
        <w:rPr>
          <w:rFonts w:ascii="Times New Roman" w:hAnsi="Times New Roman" w:cs="Times New Roman"/>
          <w:color w:val="222222"/>
          <w:sz w:val="24"/>
          <w:szCs w:val="24"/>
          <w:shd w:val="clear" w:color="auto" w:fill="FFFFFF"/>
        </w:rPr>
        <w:t>Zakaria and Ab Rahman ,2022)</w:t>
      </w:r>
      <w:r>
        <w:rPr>
          <w:rFonts w:ascii="Times New Roman" w:hAnsi="Times New Roman" w:cs="Times New Roman"/>
          <w:sz w:val="24"/>
          <w:szCs w:val="24"/>
        </w:rPr>
        <w:t>. Low-context communication could seem excessively straightforward or shallow to high-context communicators.</w:t>
      </w:r>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Understanding a culture's context orientation is essential to communicating effectively. This knowledge enables communication styles to be adjusted in international commercial engagements to accommodate various cultural settings' preferences. Hall's framework is a beneficial tool for navigating the intricacies of cross-cultural communication to encourage mutual understanding and avoid any pitfalls that may result from context-related misinterpretations.</w:t>
      </w:r>
    </w:p>
    <w:p>
      <w:pPr>
        <w:pStyle w:val="3"/>
        <w:bidi w:val="0"/>
        <w:outlineLvl w:val="0"/>
        <w:rPr>
          <w:rFonts w:hint="default" w:ascii="Times New Roman" w:hAnsi="Times New Roman" w:cs="Times New Roman"/>
          <w:sz w:val="24"/>
          <w:szCs w:val="24"/>
        </w:rPr>
      </w:pPr>
      <w:bookmarkStart w:id="6" w:name="_Toc14730"/>
      <w:r>
        <w:rPr>
          <w:rFonts w:hint="default" w:ascii="Times New Roman" w:hAnsi="Times New Roman" w:cs="Times New Roman"/>
          <w:sz w:val="24"/>
          <w:szCs w:val="24"/>
        </w:rPr>
        <w:t>Effective Communication</w:t>
      </w:r>
      <w:bookmarkEnd w:id="6"/>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To guarantee clarity, accuracy, and cultural sensitivity in cross-cultural communication, a deliberate strategy is required. Effective communication demands communicators to express ideas in a clear, concise, and unambiguous way (Bivol, 2022). To prevent misunderstandings, steer clear of jargon, unclear terminology, and culturally particular references.</w:t>
      </w:r>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Effective communication requires delivering information succinctly without compromising its comprehensiveness. Maintaining an equilibrium between conciseness and comprehensiveness ensures effective communication of essential points while taking into consideration cultural quirks that could call for extra explanation (</w:t>
      </w:r>
      <w:r>
        <w:rPr>
          <w:rFonts w:ascii="Times New Roman" w:hAnsi="Times New Roman" w:cs="Times New Roman"/>
          <w:color w:val="222222"/>
          <w:sz w:val="24"/>
          <w:szCs w:val="24"/>
          <w:shd w:val="clear" w:color="auto" w:fill="FFFFFF"/>
        </w:rPr>
        <w:t>Berlian and Huda, 2022)</w:t>
      </w:r>
      <w:r>
        <w:rPr>
          <w:rFonts w:ascii="Times New Roman" w:hAnsi="Times New Roman" w:cs="Times New Roman"/>
          <w:sz w:val="24"/>
          <w:szCs w:val="24"/>
        </w:rPr>
        <w:t>.</w:t>
      </w:r>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It all starts with cultural sensitivity. To promote understanding, it is essential to acknowledge and honor cultural variations in communication practices, customs, and preferences. To comply with the audience's cultural expectations, one must modify vocabulary, tone, and nonverbal indications (</w:t>
      </w:r>
      <w:r>
        <w:rPr>
          <w:rFonts w:ascii="Times New Roman" w:hAnsi="Times New Roman" w:cs="Times New Roman"/>
          <w:color w:val="222222"/>
          <w:sz w:val="24"/>
          <w:szCs w:val="24"/>
          <w:shd w:val="clear" w:color="auto" w:fill="FFFFFF"/>
        </w:rPr>
        <w:t>Walker, 2023)</w:t>
      </w:r>
      <w:r>
        <w:rPr>
          <w:rFonts w:ascii="Times New Roman" w:hAnsi="Times New Roman" w:cs="Times New Roman"/>
          <w:sz w:val="24"/>
          <w:szCs w:val="24"/>
        </w:rPr>
        <w:t>. More inclusive and culturally sensitive communication is also made possible by avoiding ethnocentrism, which is the propensity to see other people's actions through the prism of one's own culture.</w:t>
      </w:r>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For cross-cultural communication to be effective, active listening is essential. Communicators can identify underlying signals and respond properly by paying attention to both verbal and nonverbal cues (</w:t>
      </w:r>
      <w:r>
        <w:rPr>
          <w:rFonts w:ascii="Times New Roman" w:hAnsi="Times New Roman" w:cs="Times New Roman"/>
          <w:color w:val="222222"/>
          <w:sz w:val="24"/>
          <w:szCs w:val="24"/>
          <w:shd w:val="clear" w:color="auto" w:fill="FFFFFF"/>
        </w:rPr>
        <w:t>Helmold, Dathe and Hummel, 2022)</w:t>
      </w:r>
      <w:r>
        <w:rPr>
          <w:rFonts w:ascii="Times New Roman" w:hAnsi="Times New Roman" w:cs="Times New Roman"/>
          <w:sz w:val="24"/>
          <w:szCs w:val="24"/>
        </w:rPr>
        <w:t>. This calls for endurance and an openness to comprehend viewpoints that are outside of one's cultural context.</w:t>
      </w:r>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Effective cross-cultural communication combines accuracy, precision, and cultural sensitivity. By adhering to these guidelines, communicators can reduce miscommunication, create connections based on respect and understanding, and overcome cultural differences.</w:t>
      </w:r>
    </w:p>
    <w:p>
      <w:pPr>
        <w:pStyle w:val="2"/>
        <w:bidi w:val="0"/>
        <w:rPr>
          <w:rFonts w:hint="default" w:ascii="Times New Roman" w:hAnsi="Times New Roman" w:cs="Times New Roman"/>
          <w:sz w:val="36"/>
          <w:szCs w:val="36"/>
        </w:rPr>
      </w:pPr>
      <w:bookmarkStart w:id="7" w:name="_Toc7944"/>
      <w:r>
        <w:rPr>
          <w:rFonts w:hint="default" w:ascii="Times New Roman" w:hAnsi="Times New Roman" w:cs="Times New Roman"/>
          <w:sz w:val="36"/>
          <w:szCs w:val="36"/>
        </w:rPr>
        <w:t>International Culture</w:t>
      </w:r>
      <w:bookmarkEnd w:id="7"/>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Societies are shaped by common values, beliefs, customs, and behaviors, all of which are viewed through the complex prism of culture. In the world of global commerce, it is critical to comprehend the tremendous influence that culture has on commerce. Organizational procedures, modes of communication, and approaches to fostering relationships are all based on culture (</w:t>
      </w:r>
      <w:r>
        <w:rPr>
          <w:rFonts w:ascii="Times New Roman" w:hAnsi="Times New Roman" w:cs="Times New Roman"/>
          <w:color w:val="222222"/>
          <w:sz w:val="24"/>
          <w:szCs w:val="24"/>
          <w:shd w:val="clear" w:color="auto" w:fill="FFFFFF"/>
        </w:rPr>
        <w:t>Ketprapakorn and Kantabutra, 2022)</w:t>
      </w:r>
      <w:r>
        <w:rPr>
          <w:rFonts w:ascii="Times New Roman" w:hAnsi="Times New Roman" w:cs="Times New Roman"/>
          <w:sz w:val="24"/>
          <w:szCs w:val="24"/>
        </w:rPr>
        <w:t>. Decision-making, negotiation strategies, and general business conduct are influenced by cultural nuances, which can stem from individualistic tendencies in Western civilizations or hierarchical systems in Asian cultures.</w:t>
      </w:r>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For analyzing cultural variations, Trompenaar's Seven Dimensions of Culture offers a thorough framework. Ascription versus Achievement, Individualism versus Communitarianism, and Universalism versus Particularism are some of the important dimensions identified by this concept (</w:t>
      </w:r>
      <w:r>
        <w:rPr>
          <w:rFonts w:ascii="Times New Roman" w:hAnsi="Times New Roman" w:cs="Times New Roman"/>
          <w:color w:val="222222"/>
          <w:sz w:val="24"/>
          <w:szCs w:val="24"/>
          <w:shd w:val="clear" w:color="auto" w:fill="FFFFFF"/>
        </w:rPr>
        <w:t>KIZRAK, 2023)</w:t>
      </w:r>
      <w:r>
        <w:rPr>
          <w:rFonts w:ascii="Times New Roman" w:hAnsi="Times New Roman" w:cs="Times New Roman"/>
          <w:sz w:val="24"/>
          <w:szCs w:val="24"/>
        </w:rPr>
        <w:t>. Through examination of these aspects, organizations can acquire insights into the ways in which other cultures view authority, relationships, and achievement. Making decisions, for example, is influenced by one's awareness of whether a culture favors contextual factors (Particularism) or explicit laws (Universalism).</w:t>
      </w:r>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Through adaptation and inclusivity, Trompenaar's approach helps businesses to operate in a variety of cultural contexts. Understanding how these factors capture cultural differences allows firms to customize their approaches so that they align with the values of particular cultures, which improves cross-cultural effectiveness in global business ventures.</w:t>
      </w:r>
    </w:p>
    <w:p>
      <w:pPr>
        <w:pStyle w:val="2"/>
        <w:bidi w:val="0"/>
        <w:rPr>
          <w:rFonts w:hint="default" w:ascii="Times New Roman" w:hAnsi="Times New Roman" w:cs="Times New Roman"/>
          <w:sz w:val="36"/>
          <w:szCs w:val="36"/>
        </w:rPr>
      </w:pPr>
      <w:bookmarkStart w:id="8" w:name="_Toc16990"/>
      <w:r>
        <w:rPr>
          <w:rFonts w:hint="default" w:ascii="Times New Roman" w:hAnsi="Times New Roman" w:cs="Times New Roman"/>
          <w:sz w:val="36"/>
          <w:szCs w:val="36"/>
        </w:rPr>
        <w:t>Importance of Building Relationship</w:t>
      </w:r>
      <w:bookmarkEnd w:id="8"/>
    </w:p>
    <w:p>
      <w:pPr>
        <w:spacing w:after="0" w:line="480" w:lineRule="auto"/>
        <w:contextualSpacing/>
        <w:jc w:val="both"/>
        <w:rPr>
          <w:rFonts w:ascii="Times New Roman" w:hAnsi="Times New Roman" w:eastAsia="Times New Roman" w:cs="Times New Roman"/>
          <w:color w:val="0E101A"/>
          <w:sz w:val="24"/>
          <w:szCs w:val="24"/>
        </w:rPr>
      </w:pPr>
      <w:r>
        <w:rPr>
          <w:rFonts w:ascii="Times New Roman" w:hAnsi="Times New Roman" w:eastAsia="Times New Roman" w:cs="Times New Roman"/>
          <w:color w:val="0E101A"/>
          <w:sz w:val="24"/>
          <w:szCs w:val="24"/>
        </w:rPr>
        <w:t>Establishing and maintaining relationships is crucial in the complex web of international commerce. Building solid, trust-based connections is essential for international business success. Beyond transactional exchanges, building deep relationships with stakeholders, clients, and business partners helps lay the groundwork for successful teamwork. These connections provide:</w:t>
      </w:r>
    </w:p>
    <w:p>
      <w:pPr>
        <w:numPr>
          <w:ilvl w:val="0"/>
          <w:numId w:val="1"/>
        </w:numPr>
        <w:spacing w:after="0" w:line="480" w:lineRule="auto"/>
        <w:contextualSpacing/>
        <w:jc w:val="both"/>
        <w:rPr>
          <w:rFonts w:ascii="Times New Roman" w:hAnsi="Times New Roman" w:eastAsia="Times New Roman" w:cs="Times New Roman"/>
          <w:color w:val="0E101A"/>
          <w:sz w:val="24"/>
          <w:szCs w:val="24"/>
        </w:rPr>
      </w:pPr>
      <w:r>
        <w:rPr>
          <w:rFonts w:ascii="Times New Roman" w:hAnsi="Times New Roman" w:eastAsia="Times New Roman" w:cs="Times New Roman"/>
          <w:color w:val="0E101A"/>
          <w:sz w:val="24"/>
          <w:szCs w:val="24"/>
        </w:rPr>
        <w:t>A platform for productive dialogue.</w:t>
      </w:r>
    </w:p>
    <w:p>
      <w:pPr>
        <w:numPr>
          <w:ilvl w:val="0"/>
          <w:numId w:val="1"/>
        </w:numPr>
        <w:spacing w:after="0" w:line="480" w:lineRule="auto"/>
        <w:contextualSpacing/>
        <w:jc w:val="both"/>
        <w:rPr>
          <w:rFonts w:ascii="Times New Roman" w:hAnsi="Times New Roman" w:eastAsia="Times New Roman" w:cs="Times New Roman"/>
          <w:color w:val="0E101A"/>
          <w:sz w:val="24"/>
          <w:szCs w:val="24"/>
        </w:rPr>
      </w:pPr>
      <w:r>
        <w:rPr>
          <w:rFonts w:ascii="Times New Roman" w:hAnsi="Times New Roman" w:eastAsia="Times New Roman" w:cs="Times New Roman"/>
          <w:color w:val="0E101A"/>
          <w:sz w:val="24"/>
          <w:szCs w:val="24"/>
        </w:rPr>
        <w:t>The settlement of disputes.</w:t>
      </w:r>
    </w:p>
    <w:p>
      <w:pPr>
        <w:numPr>
          <w:ilvl w:val="0"/>
          <w:numId w:val="1"/>
        </w:numPr>
        <w:spacing w:after="0" w:line="480" w:lineRule="auto"/>
        <w:contextualSpacing/>
        <w:jc w:val="both"/>
        <w:rPr>
          <w:rFonts w:ascii="Times New Roman" w:hAnsi="Times New Roman" w:eastAsia="Times New Roman" w:cs="Times New Roman"/>
          <w:color w:val="0E101A"/>
          <w:sz w:val="24"/>
          <w:szCs w:val="24"/>
        </w:rPr>
      </w:pPr>
      <w:r>
        <w:rPr>
          <w:rFonts w:ascii="Times New Roman" w:hAnsi="Times New Roman" w:eastAsia="Times New Roman" w:cs="Times New Roman"/>
          <w:color w:val="0E101A"/>
          <w:sz w:val="24"/>
          <w:szCs w:val="24"/>
        </w:rPr>
        <w:t>The growth of cross-cultural understanding.</w:t>
      </w:r>
    </w:p>
    <w:p>
      <w:pPr>
        <w:spacing w:after="0" w:line="480" w:lineRule="auto"/>
        <w:contextualSpacing/>
        <w:jc w:val="both"/>
        <w:rPr>
          <w:rFonts w:ascii="Times New Roman" w:hAnsi="Times New Roman" w:eastAsia="Times New Roman" w:cs="Times New Roman"/>
          <w:color w:val="0E101A"/>
          <w:sz w:val="24"/>
          <w:szCs w:val="24"/>
        </w:rPr>
      </w:pPr>
      <w:r>
        <w:rPr>
          <w:rFonts w:ascii="Times New Roman" w:hAnsi="Times New Roman" w:eastAsia="Times New Roman" w:cs="Times New Roman"/>
          <w:color w:val="0E101A"/>
          <w:sz w:val="24"/>
          <w:szCs w:val="24"/>
        </w:rPr>
        <w:t>Building trust in cross-cultural business connections is a complex process that calls for a systematic and considerate approach. Building credibility requires keeping promises and commitments; consistency in behavior and communication is essential (</w:t>
      </w:r>
      <w:r>
        <w:rPr>
          <w:rFonts w:ascii="Times New Roman" w:hAnsi="Times New Roman" w:cs="Times New Roman"/>
          <w:color w:val="222222"/>
          <w:sz w:val="24"/>
          <w:szCs w:val="24"/>
          <w:shd w:val="clear" w:color="auto" w:fill="FFFFFF"/>
        </w:rPr>
        <w:t>Mandagie and Rana, 2023)</w:t>
      </w:r>
      <w:r>
        <w:rPr>
          <w:rFonts w:ascii="Times New Roman" w:hAnsi="Times New Roman" w:eastAsia="Times New Roman" w:cs="Times New Roman"/>
          <w:color w:val="0E101A"/>
          <w:sz w:val="24"/>
          <w:szCs w:val="24"/>
        </w:rPr>
        <w:t>. A key component is transparency, which calls for open and honest communication regarding goals, capacities, and potential obstacles.</w:t>
      </w:r>
    </w:p>
    <w:p>
      <w:pPr>
        <w:spacing w:after="0" w:line="480" w:lineRule="auto"/>
        <w:contextualSpacing/>
        <w:jc w:val="both"/>
        <w:rPr>
          <w:rFonts w:ascii="Times New Roman" w:hAnsi="Times New Roman" w:eastAsia="Times New Roman" w:cs="Times New Roman"/>
          <w:color w:val="0E101A"/>
          <w:sz w:val="24"/>
          <w:szCs w:val="24"/>
        </w:rPr>
      </w:pPr>
      <w:r>
        <w:rPr>
          <w:rFonts w:ascii="Times New Roman" w:hAnsi="Times New Roman" w:eastAsia="Times New Roman" w:cs="Times New Roman"/>
          <w:color w:val="0E101A"/>
          <w:sz w:val="24"/>
          <w:szCs w:val="24"/>
        </w:rPr>
        <w:t>Demonstrating a sincere desire to comprehend the viewpoints of others through active listening is a means of fostering trust. Respecting customs, communication methods, and cultural conventions is equally important (</w:t>
      </w:r>
      <w:r>
        <w:rPr>
          <w:rFonts w:ascii="Times New Roman" w:hAnsi="Times New Roman" w:cs="Times New Roman"/>
          <w:color w:val="222222"/>
          <w:sz w:val="24"/>
          <w:szCs w:val="24"/>
          <w:shd w:val="clear" w:color="auto" w:fill="FFFFFF"/>
        </w:rPr>
        <w:t>Andrienko and Pisarenko, 2022)</w:t>
      </w:r>
      <w:r>
        <w:rPr>
          <w:rFonts w:ascii="Times New Roman" w:hAnsi="Times New Roman" w:eastAsia="Times New Roman" w:cs="Times New Roman"/>
          <w:color w:val="0E101A"/>
          <w:sz w:val="24"/>
          <w:szCs w:val="24"/>
        </w:rPr>
        <w:t>. An atmosphere of tolerance and respect for one another is fostered by acknowledging and celebrating diversity.</w:t>
      </w:r>
    </w:p>
    <w:p>
      <w:pPr>
        <w:spacing w:after="0" w:line="480" w:lineRule="auto"/>
        <w:contextualSpacing/>
        <w:jc w:val="both"/>
        <w:rPr>
          <w:rFonts w:ascii="Times New Roman" w:hAnsi="Times New Roman" w:eastAsia="Times New Roman" w:cs="Times New Roman"/>
          <w:color w:val="0E101A"/>
          <w:sz w:val="24"/>
          <w:szCs w:val="24"/>
        </w:rPr>
      </w:pPr>
      <w:r>
        <w:rPr>
          <w:rFonts w:ascii="Times New Roman" w:hAnsi="Times New Roman" w:eastAsia="Times New Roman" w:cs="Times New Roman"/>
          <w:color w:val="0E101A"/>
          <w:sz w:val="24"/>
          <w:szCs w:val="24"/>
        </w:rPr>
        <w:t>Cultural intelligence is a crucial component, as was previously mentioned. It is possible to alter techniques to meet the expectations of various cultural contexts by having an understanding of the cultural nuances that impact trust dynamics (</w:t>
      </w:r>
      <w:r>
        <w:rPr>
          <w:rFonts w:ascii="Times New Roman" w:hAnsi="Times New Roman" w:cs="Times New Roman"/>
          <w:color w:val="222222"/>
          <w:sz w:val="24"/>
          <w:szCs w:val="24"/>
          <w:shd w:val="clear" w:color="auto" w:fill="FFFFFF"/>
        </w:rPr>
        <w:t>Zolfaghari and Madjdi, 2022)</w:t>
      </w:r>
      <w:r>
        <w:rPr>
          <w:rFonts w:ascii="Times New Roman" w:hAnsi="Times New Roman" w:eastAsia="Times New Roman" w:cs="Times New Roman"/>
          <w:color w:val="0E101A"/>
          <w:sz w:val="24"/>
          <w:szCs w:val="24"/>
        </w:rPr>
        <w:t>.</w:t>
      </w:r>
    </w:p>
    <w:p>
      <w:pPr>
        <w:spacing w:after="0" w:line="480" w:lineRule="auto"/>
        <w:contextualSpacing/>
        <w:jc w:val="both"/>
        <w:rPr>
          <w:rFonts w:ascii="Times New Roman" w:hAnsi="Times New Roman" w:eastAsia="Times New Roman" w:cs="Times New Roman"/>
          <w:color w:val="0E101A"/>
          <w:sz w:val="24"/>
          <w:szCs w:val="24"/>
        </w:rPr>
      </w:pPr>
      <w:r>
        <w:rPr>
          <w:rFonts w:ascii="Times New Roman" w:hAnsi="Times New Roman" w:eastAsia="Times New Roman" w:cs="Times New Roman"/>
          <w:color w:val="0E101A"/>
          <w:sz w:val="24"/>
          <w:szCs w:val="24"/>
        </w:rPr>
        <w:t>Authenticity, dependability, cultural sensitivity, and a dedication to honest and open communication are ultimately necessary for developing trust in cross-cultural commercial partnerships (</w:t>
      </w:r>
      <w:r>
        <w:rPr>
          <w:rFonts w:ascii="Times New Roman" w:hAnsi="Times New Roman" w:cs="Times New Roman"/>
          <w:color w:val="222222"/>
          <w:sz w:val="24"/>
          <w:szCs w:val="24"/>
          <w:shd w:val="clear" w:color="auto" w:fill="FFFFFF"/>
        </w:rPr>
        <w:t>Jatobá, Franco and Rodrigues, 2023)</w:t>
      </w:r>
      <w:r>
        <w:rPr>
          <w:rFonts w:ascii="Times New Roman" w:hAnsi="Times New Roman" w:eastAsia="Times New Roman" w:cs="Times New Roman"/>
          <w:color w:val="0E101A"/>
          <w:sz w:val="24"/>
          <w:szCs w:val="24"/>
        </w:rPr>
        <w:t>. Companies may create the foundation for long-lasting and mutually profitable international partnerships by giving priority to these components.</w:t>
      </w:r>
    </w:p>
    <w:p>
      <w:pPr>
        <w:pStyle w:val="2"/>
        <w:bidi w:val="0"/>
        <w:rPr>
          <w:rFonts w:hint="default" w:ascii="Times New Roman" w:hAnsi="Times New Roman" w:cs="Times New Roman"/>
          <w:sz w:val="36"/>
          <w:szCs w:val="36"/>
        </w:rPr>
      </w:pPr>
      <w:bookmarkStart w:id="9" w:name="_Toc14751"/>
      <w:r>
        <w:rPr>
          <w:rFonts w:hint="default" w:ascii="Times New Roman" w:hAnsi="Times New Roman" w:cs="Times New Roman"/>
          <w:sz w:val="36"/>
          <w:szCs w:val="36"/>
        </w:rPr>
        <w:t>Conclusions and Recommendations</w:t>
      </w:r>
      <w:bookmarkEnd w:id="9"/>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Diversified strategy is needed for effective international corporate communication. The results highlight the difficulty of cross-cultural interactions, from comprehending cultural quirks and communication styles to the importance of trust and relationship-building. Successful international endeavors are built on the interaction of abilities, cultural sensitivity, and strategic communication techniques (</w:t>
      </w:r>
      <w:r>
        <w:rPr>
          <w:rFonts w:ascii="Times New Roman" w:hAnsi="Times New Roman" w:cs="Times New Roman"/>
          <w:color w:val="222222"/>
          <w:sz w:val="24"/>
          <w:szCs w:val="24"/>
          <w:shd w:val="clear" w:color="auto" w:fill="FFFFFF"/>
        </w:rPr>
        <w:t>Drame et al., 2022)</w:t>
      </w:r>
      <w:r>
        <w:rPr>
          <w:rFonts w:ascii="Times New Roman" w:hAnsi="Times New Roman" w:cs="Times New Roman"/>
          <w:sz w:val="24"/>
          <w:szCs w:val="24"/>
        </w:rPr>
        <w:t>.</w:t>
      </w:r>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These conclusions have far-reaching effects on the clothes retailer's plans to enter Asian markets. The pursuit of successful worldwide growth necessitates understanding cultural nuances, modifying communication tactics, and placing a high value on developing relationships (</w:t>
      </w:r>
      <w:r>
        <w:rPr>
          <w:rFonts w:ascii="Times New Roman" w:hAnsi="Times New Roman" w:cs="Times New Roman"/>
          <w:color w:val="222222"/>
          <w:sz w:val="24"/>
          <w:szCs w:val="24"/>
          <w:shd w:val="clear" w:color="auto" w:fill="FFFFFF"/>
        </w:rPr>
        <w:t>Aririguzoh, 2022)</w:t>
      </w:r>
      <w:r>
        <w:rPr>
          <w:rFonts w:ascii="Times New Roman" w:hAnsi="Times New Roman" w:cs="Times New Roman"/>
          <w:sz w:val="24"/>
          <w:szCs w:val="24"/>
        </w:rPr>
        <w:t>. The intricacies revealed in this analysis shed light on the apparel retailer's future course and assist them in skillfully navigating the varied environments of Asian marketplaces. The clothes store should invest in thorough risk assessment procedures to reduce any possible dangers related to cross-cultural communication (</w:t>
      </w:r>
      <w:r>
        <w:rPr>
          <w:rFonts w:ascii="Times New Roman" w:hAnsi="Times New Roman" w:cs="Times New Roman"/>
          <w:color w:val="222222"/>
          <w:sz w:val="24"/>
          <w:szCs w:val="24"/>
          <w:shd w:val="clear" w:color="auto" w:fill="FFFFFF"/>
        </w:rPr>
        <w:t>Mortimer et al., 2022)</w:t>
      </w:r>
      <w:r>
        <w:rPr>
          <w:rFonts w:ascii="Times New Roman" w:hAnsi="Times New Roman" w:cs="Times New Roman"/>
          <w:sz w:val="24"/>
          <w:szCs w:val="24"/>
        </w:rPr>
        <w:t>. This entails assessing any obstacles posed by cultural differences and creating backup strategies to handle any misconceptions. Furthermore, establishing transparent channels of communication and supportive feedback systems can help recognize problems early on and address them effectively.</w:t>
      </w:r>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It will take focused efforts to increase the clothes retailer's cross-cultural competency. This includes putting together cross-cultural teams to benefit from different viewpoints, training staff members in different cultures, and forming alliances with regional authorities. Putting a strong emphasis on cultural intelligence at every organizational level creates a climate that is conducive to flexibility and cultural sensitivity (</w:t>
      </w:r>
      <w:r>
        <w:rPr>
          <w:rFonts w:ascii="Times New Roman" w:hAnsi="Times New Roman" w:cs="Times New Roman"/>
          <w:color w:val="222222"/>
          <w:sz w:val="24"/>
          <w:szCs w:val="24"/>
          <w:shd w:val="clear" w:color="auto" w:fill="FFFFFF"/>
        </w:rPr>
        <w:t>Hamid et al., 2022)</w:t>
      </w:r>
      <w:r>
        <w:rPr>
          <w:rFonts w:ascii="Times New Roman" w:hAnsi="Times New Roman" w:cs="Times New Roman"/>
          <w:sz w:val="24"/>
          <w:szCs w:val="24"/>
        </w:rPr>
        <w:t>.</w:t>
      </w:r>
    </w:p>
    <w:p>
      <w:pPr>
        <w:spacing w:line="480" w:lineRule="auto"/>
        <w:contextualSpacing/>
        <w:jc w:val="both"/>
        <w:rPr>
          <w:rFonts w:ascii="Times New Roman" w:hAnsi="Times New Roman" w:cs="Times New Roman"/>
          <w:sz w:val="24"/>
          <w:szCs w:val="24"/>
        </w:rPr>
      </w:pPr>
      <w:r>
        <w:rPr>
          <w:rFonts w:ascii="Times New Roman" w:hAnsi="Times New Roman" w:cs="Times New Roman"/>
          <w:sz w:val="24"/>
          <w:szCs w:val="24"/>
        </w:rPr>
        <w:t>Given that cultural dynamics are dynamic, it is important to implement ongoing training programs. In addition to teaching basic cultural awareness, these programs offer continuing insights into changing cultural trends and preferences (</w:t>
      </w:r>
      <w:r>
        <w:rPr>
          <w:rFonts w:ascii="Times New Roman" w:hAnsi="Times New Roman" w:cs="Times New Roman"/>
          <w:color w:val="222222"/>
          <w:sz w:val="24"/>
          <w:szCs w:val="24"/>
          <w:shd w:val="clear" w:color="auto" w:fill="FFFFFF"/>
        </w:rPr>
        <w:t>Papadopoulou ,Palaiologou and Karanikola, 2022)</w:t>
      </w:r>
      <w:r>
        <w:rPr>
          <w:rFonts w:ascii="Times New Roman" w:hAnsi="Times New Roman" w:cs="Times New Roman"/>
          <w:sz w:val="24"/>
          <w:szCs w:val="24"/>
        </w:rPr>
        <w:t>. Adopting a culture of adaptability guarantees that the apparel store maintains its agility in reacting to the constantly shifting global market environment.</w:t>
      </w:r>
    </w:p>
    <w:p>
      <w:pPr>
        <w:spacing w:line="480" w:lineRule="auto"/>
        <w:contextualSpacing/>
        <w:jc w:val="both"/>
        <w:rPr>
          <w:rFonts w:ascii="Times New Roman" w:hAnsi="Times New Roman" w:cs="Times New Roman"/>
          <w:sz w:val="24"/>
          <w:szCs w:val="24"/>
        </w:rPr>
      </w:pPr>
    </w:p>
    <w:p>
      <w:pPr>
        <w:spacing w:line="480" w:lineRule="auto"/>
        <w:contextualSpacing/>
        <w:jc w:val="both"/>
        <w:rPr>
          <w:rFonts w:ascii="Times New Roman" w:hAnsi="Times New Roman" w:cs="Times New Roman"/>
          <w:sz w:val="24"/>
          <w:szCs w:val="24"/>
        </w:rPr>
      </w:pPr>
    </w:p>
    <w:p>
      <w:pPr>
        <w:spacing w:line="480" w:lineRule="auto"/>
        <w:contextualSpacing/>
        <w:jc w:val="both"/>
        <w:rPr>
          <w:rFonts w:ascii="Times New Roman" w:hAnsi="Times New Roman" w:cs="Times New Roman"/>
          <w:sz w:val="24"/>
          <w:szCs w:val="24"/>
        </w:rPr>
      </w:pPr>
    </w:p>
    <w:p>
      <w:pPr>
        <w:spacing w:line="480" w:lineRule="auto"/>
        <w:contextualSpacing/>
        <w:jc w:val="both"/>
        <w:rPr>
          <w:rFonts w:ascii="Times New Roman" w:hAnsi="Times New Roman" w:cs="Times New Roman"/>
          <w:sz w:val="24"/>
          <w:szCs w:val="24"/>
        </w:rPr>
      </w:pPr>
    </w:p>
    <w:p>
      <w:pPr>
        <w:spacing w:line="480" w:lineRule="auto"/>
        <w:contextualSpacing/>
        <w:jc w:val="both"/>
        <w:rPr>
          <w:rFonts w:ascii="Times New Roman" w:hAnsi="Times New Roman" w:cs="Times New Roman"/>
          <w:sz w:val="24"/>
          <w:szCs w:val="24"/>
        </w:rPr>
      </w:pPr>
    </w:p>
    <w:p>
      <w:pPr>
        <w:spacing w:line="480" w:lineRule="auto"/>
        <w:contextualSpacing/>
        <w:jc w:val="both"/>
        <w:rPr>
          <w:rFonts w:ascii="Times New Roman" w:hAnsi="Times New Roman" w:cs="Times New Roman"/>
          <w:sz w:val="24"/>
          <w:szCs w:val="24"/>
        </w:rPr>
      </w:pPr>
    </w:p>
    <w:p>
      <w:pPr>
        <w:spacing w:line="480" w:lineRule="auto"/>
        <w:contextualSpacing/>
        <w:jc w:val="both"/>
        <w:rPr>
          <w:rFonts w:ascii="Times New Roman" w:hAnsi="Times New Roman" w:cs="Times New Roman"/>
          <w:sz w:val="24"/>
          <w:szCs w:val="24"/>
        </w:rPr>
      </w:pPr>
    </w:p>
    <w:p>
      <w:pPr>
        <w:spacing w:line="480" w:lineRule="auto"/>
        <w:contextualSpacing/>
        <w:jc w:val="both"/>
        <w:rPr>
          <w:rFonts w:ascii="Times New Roman" w:hAnsi="Times New Roman" w:cs="Times New Roman"/>
          <w:sz w:val="24"/>
          <w:szCs w:val="24"/>
        </w:rPr>
      </w:pPr>
    </w:p>
    <w:p>
      <w:pPr>
        <w:spacing w:line="480" w:lineRule="auto"/>
        <w:contextualSpacing/>
        <w:jc w:val="both"/>
        <w:rPr>
          <w:rFonts w:ascii="Times New Roman" w:hAnsi="Times New Roman" w:cs="Times New Roman"/>
          <w:sz w:val="24"/>
          <w:szCs w:val="24"/>
        </w:rPr>
      </w:pPr>
    </w:p>
    <w:p>
      <w:pPr>
        <w:spacing w:line="480" w:lineRule="auto"/>
        <w:contextualSpacing/>
        <w:jc w:val="both"/>
        <w:rPr>
          <w:rFonts w:ascii="Times New Roman" w:hAnsi="Times New Roman" w:cs="Times New Roman"/>
          <w:sz w:val="24"/>
          <w:szCs w:val="24"/>
        </w:rPr>
      </w:pPr>
    </w:p>
    <w:p>
      <w:pPr>
        <w:spacing w:line="480" w:lineRule="auto"/>
        <w:contextualSpacing/>
        <w:jc w:val="both"/>
        <w:rPr>
          <w:rFonts w:ascii="Times New Roman" w:hAnsi="Times New Roman" w:cs="Times New Roman"/>
          <w:b/>
          <w:sz w:val="24"/>
          <w:szCs w:val="24"/>
        </w:rPr>
      </w:pPr>
    </w:p>
    <w:p>
      <w:pPr>
        <w:spacing w:line="480" w:lineRule="auto"/>
        <w:contextualSpacing/>
        <w:jc w:val="both"/>
        <w:rPr>
          <w:rFonts w:ascii="Times New Roman" w:hAnsi="Times New Roman" w:cs="Times New Roman"/>
          <w:b/>
          <w:sz w:val="24"/>
          <w:szCs w:val="24"/>
        </w:rPr>
      </w:pPr>
    </w:p>
    <w:p>
      <w:pPr>
        <w:spacing w:line="480" w:lineRule="auto"/>
        <w:contextualSpacing/>
        <w:jc w:val="both"/>
        <w:rPr>
          <w:rFonts w:ascii="Times New Roman" w:hAnsi="Times New Roman" w:cs="Times New Roman"/>
          <w:b/>
          <w:sz w:val="24"/>
          <w:szCs w:val="24"/>
        </w:rPr>
      </w:pPr>
    </w:p>
    <w:p>
      <w:pPr>
        <w:spacing w:line="480" w:lineRule="auto"/>
        <w:contextualSpacing/>
        <w:jc w:val="both"/>
        <w:outlineLvl w:val="0"/>
        <w:rPr>
          <w:rFonts w:ascii="Times New Roman" w:hAnsi="Times New Roman" w:cs="Times New Roman"/>
          <w:b/>
          <w:sz w:val="24"/>
          <w:szCs w:val="24"/>
        </w:rPr>
      </w:pPr>
      <w:bookmarkStart w:id="10" w:name="_Toc23046"/>
      <w:r>
        <w:rPr>
          <w:rFonts w:ascii="Times New Roman" w:hAnsi="Times New Roman" w:cs="Times New Roman"/>
          <w:b/>
          <w:sz w:val="24"/>
          <w:szCs w:val="24"/>
        </w:rPr>
        <w:t>References</w:t>
      </w:r>
      <w:bookmarkEnd w:id="10"/>
    </w:p>
    <w:p>
      <w:pPr>
        <w:spacing w:line="480" w:lineRule="auto"/>
        <w:contextualSpacing/>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[1]Andrienko, A. and Pisarenko, V. (2022). CROSS-CULTURAL COMMUNICATION DEVELOPMENT OF UNIVERSITY STUDENTS IN ONLINE CLASSROOM. In </w:t>
      </w:r>
      <w:r>
        <w:rPr>
          <w:rFonts w:ascii="Times New Roman" w:hAnsi="Times New Roman" w:cs="Times New Roman"/>
          <w:i/>
          <w:iCs/>
          <w:color w:val="222222"/>
          <w:sz w:val="24"/>
          <w:szCs w:val="24"/>
          <w:shd w:val="clear" w:color="auto" w:fill="FFFFFF"/>
        </w:rPr>
        <w:t>INTED2022 Proceedings</w:t>
      </w:r>
      <w:r>
        <w:rPr>
          <w:rFonts w:ascii="Times New Roman" w:hAnsi="Times New Roman" w:cs="Times New Roman"/>
          <w:color w:val="222222"/>
          <w:sz w:val="24"/>
          <w:szCs w:val="24"/>
          <w:shd w:val="clear" w:color="auto" w:fill="FFFFFF"/>
        </w:rPr>
        <w:t> (pp. 4430-4437). IATED.</w:t>
      </w:r>
      <w:r>
        <w:t xml:space="preserve"> </w:t>
      </w:r>
      <w:r>
        <w:fldChar w:fldCharType="begin"/>
      </w:r>
      <w:r>
        <w:instrText xml:space="preserve"> HYPERLINK "https://www.semanticscholar.org/paper/CROSS-CULTURAL-COMMUNICATION-DEVELOPMENT-OF-IN-Andrienko-Pisarenko/198e46c199e01be631fea9b05f94a7d2336e204c" </w:instrText>
      </w:r>
      <w:r>
        <w:fldChar w:fldCharType="separate"/>
      </w:r>
      <w:r>
        <w:rPr>
          <w:rStyle w:val="7"/>
          <w:rFonts w:ascii="Times New Roman" w:hAnsi="Times New Roman" w:cs="Times New Roman"/>
          <w:sz w:val="24"/>
          <w:szCs w:val="24"/>
          <w:shd w:val="clear" w:color="auto" w:fill="FFFFFF"/>
        </w:rPr>
        <w:t>https://www.semanticscholar.org/paper/CROSS-CULTURAL-COMMUNICATION-DEVELOPMENT-OF-IN-Andrienko-Pisarenko/198e46c199e01be631fea9b05f94a7d2336e204c</w:t>
      </w:r>
      <w:r>
        <w:rPr>
          <w:rStyle w:val="7"/>
          <w:rFonts w:ascii="Times New Roman" w:hAnsi="Times New Roman" w:cs="Times New Roman"/>
          <w:sz w:val="24"/>
          <w:szCs w:val="24"/>
          <w:shd w:val="clear" w:color="auto" w:fill="FFFFFF"/>
        </w:rPr>
        <w:fldChar w:fldCharType="end"/>
      </w:r>
    </w:p>
    <w:p>
      <w:pPr>
        <w:spacing w:line="480" w:lineRule="auto"/>
        <w:contextualSpacing/>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[2]Aririguzoh, S. (2022). Communication competencies, culture and SDGs: effective processes to cross-cultural communication. </w:t>
      </w:r>
      <w:r>
        <w:rPr>
          <w:rFonts w:ascii="Times New Roman" w:hAnsi="Times New Roman" w:cs="Times New Roman"/>
          <w:i/>
          <w:iCs/>
          <w:color w:val="222222"/>
          <w:sz w:val="24"/>
          <w:szCs w:val="24"/>
          <w:shd w:val="clear" w:color="auto" w:fill="FFFFFF"/>
        </w:rPr>
        <w:t>Humanities and Social Sciences Communications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9</w:t>
      </w:r>
      <w:r>
        <w:rPr>
          <w:rFonts w:ascii="Times New Roman" w:hAnsi="Times New Roman" w:cs="Times New Roman"/>
          <w:color w:val="222222"/>
          <w:sz w:val="24"/>
          <w:szCs w:val="24"/>
          <w:shd w:val="clear" w:color="auto" w:fill="FFFFFF"/>
        </w:rPr>
        <w:t>(1), pp.1-11.</w:t>
      </w:r>
      <w:r>
        <w:t xml:space="preserve"> </w:t>
      </w:r>
      <w:r>
        <w:fldChar w:fldCharType="begin"/>
      </w:r>
      <w:r>
        <w:instrText xml:space="preserve"> HYPERLINK "https://www.nature.com/articles/s41599-022-01109-4" </w:instrText>
      </w:r>
      <w:r>
        <w:fldChar w:fldCharType="separate"/>
      </w:r>
      <w:r>
        <w:rPr>
          <w:rStyle w:val="7"/>
          <w:rFonts w:ascii="Times New Roman" w:hAnsi="Times New Roman" w:cs="Times New Roman"/>
          <w:sz w:val="24"/>
          <w:szCs w:val="24"/>
          <w:shd w:val="clear" w:color="auto" w:fill="FFFFFF"/>
        </w:rPr>
        <w:t>https://www.nature.com/articles/s41599-022-01109-4</w:t>
      </w:r>
      <w:r>
        <w:rPr>
          <w:rStyle w:val="7"/>
          <w:rFonts w:ascii="Times New Roman" w:hAnsi="Times New Roman" w:cs="Times New Roman"/>
          <w:sz w:val="24"/>
          <w:szCs w:val="24"/>
          <w:shd w:val="clear" w:color="auto" w:fill="FFFFFF"/>
        </w:rPr>
        <w:fldChar w:fldCharType="end"/>
      </w:r>
    </w:p>
    <w:p>
      <w:pPr>
        <w:spacing w:line="480" w:lineRule="auto"/>
        <w:contextualSpacing/>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[3]Berlian, Z. and Huda, M. (2022). Reflecting culturally responsive and communicative teaching (CRCT) through partnership commitment. </w:t>
      </w:r>
      <w:r>
        <w:rPr>
          <w:rFonts w:ascii="Times New Roman" w:hAnsi="Times New Roman" w:cs="Times New Roman"/>
          <w:i/>
          <w:iCs/>
          <w:color w:val="222222"/>
          <w:sz w:val="24"/>
          <w:szCs w:val="24"/>
          <w:shd w:val="clear" w:color="auto" w:fill="FFFFFF"/>
        </w:rPr>
        <w:t>Education Sciences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12</w:t>
      </w:r>
      <w:r>
        <w:rPr>
          <w:rFonts w:ascii="Times New Roman" w:hAnsi="Times New Roman" w:cs="Times New Roman"/>
          <w:color w:val="222222"/>
          <w:sz w:val="24"/>
          <w:szCs w:val="24"/>
          <w:shd w:val="clear" w:color="auto" w:fill="FFFFFF"/>
        </w:rPr>
        <w:t>(5), p.295.</w:t>
      </w:r>
      <w:r>
        <w:rPr>
          <w:rFonts w:ascii="Arial" w:hAnsi="Arial" w:cs="Arial"/>
          <w:color w:val="555555"/>
          <w:sz w:val="21"/>
          <w:szCs w:val="21"/>
          <w:shd w:val="clear" w:color="auto" w:fill="FFFFFF"/>
        </w:rPr>
        <w:t xml:space="preserve"> DOI:</w:t>
      </w:r>
      <w:r>
        <w:fldChar w:fldCharType="begin"/>
      </w:r>
      <w:r>
        <w:instrText xml:space="preserve"> HYPERLINK "http://dx.doi.org/10.3390/educsci12050295" \t "_blank" </w:instrText>
      </w:r>
      <w:r>
        <w:fldChar w:fldCharType="separate"/>
      </w:r>
      <w:r>
        <w:rPr>
          <w:rStyle w:val="7"/>
          <w:rFonts w:ascii="Arial" w:hAnsi="Arial" w:cs="Arial"/>
          <w:sz w:val="21"/>
          <w:szCs w:val="21"/>
          <w:shd w:val="clear" w:color="auto" w:fill="FFFFFF"/>
        </w:rPr>
        <w:t>10.3390/educsci12050295</w:t>
      </w:r>
      <w:r>
        <w:fldChar w:fldCharType="end"/>
      </w:r>
    </w:p>
    <w:p>
      <w:pPr>
        <w:spacing w:line="480" w:lineRule="auto"/>
        <w:contextualSpacing/>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[4]Bivol, T. (2022). Studies on Auditing Communication in Organizations. </w:t>
      </w:r>
      <w:r>
        <w:rPr>
          <w:rFonts w:ascii="Times New Roman" w:hAnsi="Times New Roman" w:cs="Times New Roman"/>
          <w:i/>
          <w:iCs/>
          <w:color w:val="222222"/>
          <w:sz w:val="24"/>
          <w:szCs w:val="24"/>
          <w:shd w:val="clear" w:color="auto" w:fill="FFFFFF"/>
        </w:rPr>
        <w:t>Acta Universitatis Danubius. Relationes Internationales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15</w:t>
      </w:r>
      <w:r>
        <w:rPr>
          <w:rFonts w:ascii="Times New Roman" w:hAnsi="Times New Roman" w:cs="Times New Roman"/>
          <w:color w:val="222222"/>
          <w:sz w:val="24"/>
          <w:szCs w:val="24"/>
          <w:shd w:val="clear" w:color="auto" w:fill="FFFFFF"/>
        </w:rPr>
        <w:t>(2).</w:t>
      </w:r>
      <w:r>
        <w:t xml:space="preserve"> </w:t>
      </w:r>
      <w:r>
        <w:fldChar w:fldCharType="begin"/>
      </w:r>
      <w:r>
        <w:instrText xml:space="preserve"> HYPERLINK "https://doaj.org/article/44f75b22216645718b59c31b28df5fb9" </w:instrText>
      </w:r>
      <w:r>
        <w:fldChar w:fldCharType="separate"/>
      </w:r>
      <w:r>
        <w:rPr>
          <w:rStyle w:val="7"/>
          <w:rFonts w:ascii="Times New Roman" w:hAnsi="Times New Roman" w:cs="Times New Roman"/>
          <w:sz w:val="24"/>
          <w:szCs w:val="24"/>
          <w:shd w:val="clear" w:color="auto" w:fill="FFFFFF"/>
        </w:rPr>
        <w:t>https://doaj.org/article/44f75b22216645718b59c31b28df5fb9</w:t>
      </w:r>
      <w:r>
        <w:rPr>
          <w:rStyle w:val="7"/>
          <w:rFonts w:ascii="Times New Roman" w:hAnsi="Times New Roman" w:cs="Times New Roman"/>
          <w:sz w:val="24"/>
          <w:szCs w:val="24"/>
          <w:shd w:val="clear" w:color="auto" w:fill="FFFFFF"/>
        </w:rPr>
        <w:fldChar w:fldCharType="end"/>
      </w:r>
    </w:p>
    <w:p>
      <w:pPr>
        <w:spacing w:line="480" w:lineRule="auto"/>
        <w:contextualSpacing/>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[5]Drame, I., Gibson, C.M., Nonyel, N.P., Addo-Atuah, J., Butler, L., Riley, A., Kebodeaux, C., Henson, B. and Borja-Hart, N. (2022). Strategies for incorporating health disparities and cultural competency training into the pharmacy curriculum and co-curriculum. </w:t>
      </w:r>
      <w:r>
        <w:rPr>
          <w:rFonts w:ascii="Times New Roman" w:hAnsi="Times New Roman" w:cs="Times New Roman"/>
          <w:i/>
          <w:iCs/>
          <w:color w:val="222222"/>
          <w:sz w:val="24"/>
          <w:szCs w:val="24"/>
          <w:shd w:val="clear" w:color="auto" w:fill="FFFFFF"/>
        </w:rPr>
        <w:t>American Journal of Pharmaceutical Education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86</w:t>
      </w:r>
      <w:r>
        <w:rPr>
          <w:rFonts w:ascii="Times New Roman" w:hAnsi="Times New Roman" w:cs="Times New Roman"/>
          <w:color w:val="222222"/>
          <w:sz w:val="24"/>
          <w:szCs w:val="24"/>
          <w:shd w:val="clear" w:color="auto" w:fill="FFFFFF"/>
        </w:rPr>
        <w:t>(3).</w:t>
      </w:r>
      <w:r>
        <w:t xml:space="preserve"> </w:t>
      </w:r>
      <w:r>
        <w:fldChar w:fldCharType="begin"/>
      </w:r>
      <w:r>
        <w:instrText xml:space="preserve"> HYPERLINK "https://www.sciencedirect.com/science/article/pii/S0002945923014328" </w:instrText>
      </w:r>
      <w:r>
        <w:fldChar w:fldCharType="separate"/>
      </w:r>
      <w:r>
        <w:rPr>
          <w:rStyle w:val="7"/>
          <w:rFonts w:ascii="Times New Roman" w:hAnsi="Times New Roman" w:cs="Times New Roman"/>
          <w:sz w:val="24"/>
          <w:szCs w:val="24"/>
          <w:shd w:val="clear" w:color="auto" w:fill="FFFFFF"/>
        </w:rPr>
        <w:t>https://www.sciencedirect.com/science/article/pii/S0002945923014328</w:t>
      </w:r>
      <w:r>
        <w:rPr>
          <w:rStyle w:val="7"/>
          <w:rFonts w:ascii="Times New Roman" w:hAnsi="Times New Roman" w:cs="Times New Roman"/>
          <w:sz w:val="24"/>
          <w:szCs w:val="24"/>
          <w:shd w:val="clear" w:color="auto" w:fill="FFFFFF"/>
        </w:rPr>
        <w:fldChar w:fldCharType="end"/>
      </w:r>
    </w:p>
    <w:p>
      <w:pPr>
        <w:spacing w:line="480" w:lineRule="auto"/>
        <w:contextualSpacing/>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[6]Doush, I.A., Al-Jarrah, A., Alajarmeh, N. and Alnfiai, M. (2022). Learning features and accessibility limitations of video conferencing applications: are people with visual impairment left behind. </w:t>
      </w:r>
      <w:r>
        <w:rPr>
          <w:rFonts w:ascii="Times New Roman" w:hAnsi="Times New Roman" w:cs="Times New Roman"/>
          <w:i/>
          <w:iCs/>
          <w:color w:val="222222"/>
          <w:sz w:val="24"/>
          <w:szCs w:val="24"/>
          <w:shd w:val="clear" w:color="auto" w:fill="FFFFFF"/>
        </w:rPr>
        <w:t>Universal Access in the Information Society</w:t>
      </w:r>
      <w:r>
        <w:rPr>
          <w:rFonts w:ascii="Times New Roman" w:hAnsi="Times New Roman" w:cs="Times New Roman"/>
          <w:color w:val="222222"/>
          <w:sz w:val="24"/>
          <w:szCs w:val="24"/>
          <w:shd w:val="clear" w:color="auto" w:fill="FFFFFF"/>
        </w:rPr>
        <w:t>, pp.1-16.</w:t>
      </w:r>
      <w:r>
        <w:t xml:space="preserve"> </w:t>
      </w:r>
      <w:r>
        <w:fldChar w:fldCharType="begin"/>
      </w:r>
      <w:r>
        <w:instrText xml:space="preserve"> HYPERLINK "https://www.semanticscholar.org/paper/Learning-features-and-accessibility-limitations-of-Doush-Al-Jarrah/75cbe6faac3d9294118427f3b3de01722098f741" </w:instrText>
      </w:r>
      <w:r>
        <w:fldChar w:fldCharType="separate"/>
      </w:r>
      <w:r>
        <w:rPr>
          <w:rStyle w:val="7"/>
          <w:rFonts w:ascii="Times New Roman" w:hAnsi="Times New Roman" w:cs="Times New Roman"/>
          <w:sz w:val="24"/>
          <w:szCs w:val="24"/>
          <w:shd w:val="clear" w:color="auto" w:fill="FFFFFF"/>
        </w:rPr>
        <w:t>https://www.semanticscholar.org/paper/Learning-features-and-accessibility-limitations-of-Doush-Al-Jarrah/75cbe6faac3d9294118427f3b3de01722098f741</w:t>
      </w:r>
      <w:r>
        <w:rPr>
          <w:rStyle w:val="7"/>
          <w:rFonts w:ascii="Times New Roman" w:hAnsi="Times New Roman" w:cs="Times New Roman"/>
          <w:sz w:val="24"/>
          <w:szCs w:val="24"/>
          <w:shd w:val="clear" w:color="auto" w:fill="FFFFFF"/>
        </w:rPr>
        <w:fldChar w:fldCharType="end"/>
      </w:r>
    </w:p>
    <w:p>
      <w:pPr>
        <w:spacing w:line="480" w:lineRule="auto"/>
        <w:contextualSpacing/>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[7]Isaacs, C.C. (2023). </w:t>
      </w:r>
      <w:r>
        <w:rPr>
          <w:rFonts w:ascii="Times New Roman" w:hAnsi="Times New Roman" w:cs="Times New Roman"/>
          <w:i/>
          <w:iCs/>
          <w:color w:val="222222"/>
          <w:sz w:val="24"/>
          <w:szCs w:val="24"/>
          <w:shd w:val="clear" w:color="auto" w:fill="FFFFFF"/>
        </w:rPr>
        <w:t>Culture, Conflict Styles, and Understanding: Cultural Impacts on the Use of Conflict Styles in Cross-Cultural Communication</w:t>
      </w:r>
      <w:r>
        <w:rPr>
          <w:rFonts w:ascii="Times New Roman" w:hAnsi="Times New Roman" w:cs="Times New Roman"/>
          <w:color w:val="222222"/>
          <w:sz w:val="24"/>
          <w:szCs w:val="24"/>
          <w:shd w:val="clear" w:color="auto" w:fill="FFFFFF"/>
        </w:rPr>
        <w:t> (Doctoral dissertation, Indiana University).</w:t>
      </w:r>
      <w:r>
        <w:t xml:space="preserve"> </w:t>
      </w:r>
      <w:r>
        <w:fldChar w:fldCharType="begin"/>
      </w:r>
      <w:r>
        <w:instrText xml:space="preserve"> HYPERLINK "https://scholarworks.iu.edu/dspace/bitstream/handle/2022/29248/ISAACS_CHARLES_2023.pdf?sequence=1" </w:instrText>
      </w:r>
      <w:r>
        <w:fldChar w:fldCharType="separate"/>
      </w:r>
      <w:r>
        <w:rPr>
          <w:rStyle w:val="7"/>
          <w:rFonts w:ascii="Times New Roman" w:hAnsi="Times New Roman" w:cs="Times New Roman"/>
          <w:sz w:val="24"/>
          <w:szCs w:val="24"/>
          <w:shd w:val="clear" w:color="auto" w:fill="FFFFFF"/>
        </w:rPr>
        <w:t>https://scholarworks.iu.edu/dspace/bitstream/handle/2022/29248/ISAACS_CHARLES_2023.pdf?sequence=1</w:t>
      </w:r>
      <w:r>
        <w:rPr>
          <w:rStyle w:val="7"/>
          <w:rFonts w:ascii="Times New Roman" w:hAnsi="Times New Roman" w:cs="Times New Roman"/>
          <w:sz w:val="24"/>
          <w:szCs w:val="24"/>
          <w:shd w:val="clear" w:color="auto" w:fill="FFFFFF"/>
        </w:rPr>
        <w:fldChar w:fldCharType="end"/>
      </w:r>
    </w:p>
    <w:p>
      <w:pPr>
        <w:spacing w:line="480" w:lineRule="auto"/>
        <w:contextualSpacing/>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[8]Patro, C.S. (2023). Implications of Cross-Cultural Business Communication in the Digital Environment. </w:t>
      </w:r>
      <w:r>
        <w:rPr>
          <w:rFonts w:ascii="Times New Roman" w:hAnsi="Times New Roman" w:cs="Times New Roman"/>
          <w:i/>
          <w:iCs/>
          <w:color w:val="222222"/>
          <w:sz w:val="24"/>
          <w:szCs w:val="24"/>
          <w:shd w:val="clear" w:color="auto" w:fill="FFFFFF"/>
        </w:rPr>
        <w:t>Handbook of Research on Cross-culture Business and Management</w:t>
      </w:r>
      <w:r>
        <w:rPr>
          <w:rFonts w:ascii="Times New Roman" w:hAnsi="Times New Roman" w:cs="Times New Roman"/>
          <w:color w:val="222222"/>
          <w:sz w:val="24"/>
          <w:szCs w:val="24"/>
          <w:shd w:val="clear" w:color="auto" w:fill="FFFFFF"/>
        </w:rPr>
        <w:t>, p.209.</w:t>
      </w:r>
      <w:r>
        <w:t xml:space="preserve"> </w:t>
      </w:r>
      <w:r>
        <w:fldChar w:fldCharType="begin"/>
      </w:r>
      <w:r>
        <w:instrText xml:space="preserve"> HYPERLINK "https://vernonpress.com/file/20317/81fb1cc1b18db4449f5012d626f0a0d6/1681476295.pdf" </w:instrText>
      </w:r>
      <w:r>
        <w:fldChar w:fldCharType="separate"/>
      </w:r>
      <w:r>
        <w:rPr>
          <w:rStyle w:val="7"/>
          <w:rFonts w:ascii="Times New Roman" w:hAnsi="Times New Roman" w:cs="Times New Roman"/>
          <w:sz w:val="24"/>
          <w:szCs w:val="24"/>
          <w:shd w:val="clear" w:color="auto" w:fill="FFFFFF"/>
        </w:rPr>
        <w:t>https://vernonpress.com/file/20317/81fb1cc1b18db4449f5012d626f0a0d6/1681476295.pdf</w:t>
      </w:r>
      <w:r>
        <w:rPr>
          <w:rStyle w:val="7"/>
          <w:rFonts w:ascii="Times New Roman" w:hAnsi="Times New Roman" w:cs="Times New Roman"/>
          <w:sz w:val="24"/>
          <w:szCs w:val="24"/>
          <w:shd w:val="clear" w:color="auto" w:fill="FFFFFF"/>
        </w:rPr>
        <w:fldChar w:fldCharType="end"/>
      </w:r>
    </w:p>
    <w:p>
      <w:pPr>
        <w:spacing w:line="480" w:lineRule="auto"/>
        <w:contextualSpacing/>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[9]Papadopoulou, K., Palaiologou, N. and Karanikola, Z.(2022). Insights into Teachers’ Intercultural and Global Competence within Multicultural Educational Settings. </w:t>
      </w:r>
      <w:r>
        <w:rPr>
          <w:rFonts w:ascii="Times New Roman" w:hAnsi="Times New Roman" w:cs="Times New Roman"/>
          <w:i/>
          <w:iCs/>
          <w:color w:val="222222"/>
          <w:sz w:val="24"/>
          <w:szCs w:val="24"/>
          <w:shd w:val="clear" w:color="auto" w:fill="FFFFFF"/>
        </w:rPr>
        <w:t>Education Sciences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12</w:t>
      </w:r>
      <w:r>
        <w:rPr>
          <w:rFonts w:ascii="Times New Roman" w:hAnsi="Times New Roman" w:cs="Times New Roman"/>
          <w:color w:val="222222"/>
          <w:sz w:val="24"/>
          <w:szCs w:val="24"/>
          <w:shd w:val="clear" w:color="auto" w:fill="FFFFFF"/>
        </w:rPr>
        <w:t>(8), p.502.</w:t>
      </w:r>
      <w:r>
        <w:t xml:space="preserve"> </w:t>
      </w:r>
      <w:r>
        <w:fldChar w:fldCharType="begin"/>
      </w:r>
      <w:r>
        <w:instrText xml:space="preserve"> HYPERLINK "https://www.mdpi.com/2227-7102/12/8/502" </w:instrText>
      </w:r>
      <w:r>
        <w:fldChar w:fldCharType="separate"/>
      </w:r>
      <w:r>
        <w:rPr>
          <w:rStyle w:val="7"/>
          <w:rFonts w:ascii="Times New Roman" w:hAnsi="Times New Roman" w:cs="Times New Roman"/>
          <w:sz w:val="24"/>
          <w:szCs w:val="24"/>
          <w:shd w:val="clear" w:color="auto" w:fill="FFFFFF"/>
        </w:rPr>
        <w:t>https://www.mdpi.com/2227-7102/12/8/502</w:t>
      </w:r>
      <w:r>
        <w:rPr>
          <w:rStyle w:val="7"/>
          <w:rFonts w:ascii="Times New Roman" w:hAnsi="Times New Roman" w:cs="Times New Roman"/>
          <w:sz w:val="24"/>
          <w:szCs w:val="24"/>
          <w:shd w:val="clear" w:color="auto" w:fill="FFFFFF"/>
        </w:rPr>
        <w:fldChar w:fldCharType="end"/>
      </w:r>
    </w:p>
    <w:p>
      <w:pPr>
        <w:spacing w:line="480" w:lineRule="auto"/>
        <w:contextualSpacing/>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[10]Jatobá, M.N., Franco, M. and Rodrigues, M. (2023). The role of communication between partners in the process of strategic alliances: a systematic literature review. </w:t>
      </w:r>
      <w:r>
        <w:rPr>
          <w:rFonts w:ascii="Times New Roman" w:hAnsi="Times New Roman" w:cs="Times New Roman"/>
          <w:i/>
          <w:iCs/>
          <w:color w:val="222222"/>
          <w:sz w:val="24"/>
          <w:szCs w:val="24"/>
          <w:shd w:val="clear" w:color="auto" w:fill="FFFFFF"/>
        </w:rPr>
        <w:t>Journal of Business &amp; Industrial Marketing</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38</w:t>
      </w:r>
      <w:r>
        <w:rPr>
          <w:rFonts w:ascii="Times New Roman" w:hAnsi="Times New Roman" w:cs="Times New Roman"/>
          <w:color w:val="222222"/>
          <w:sz w:val="24"/>
          <w:szCs w:val="24"/>
          <w:shd w:val="clear" w:color="auto" w:fill="FFFFFF"/>
        </w:rPr>
        <w:t>(7), pp.1511-1531.</w:t>
      </w:r>
      <w:r>
        <w:t xml:space="preserve"> </w:t>
      </w:r>
      <w:r>
        <w:fldChar w:fldCharType="begin"/>
      </w:r>
      <w:r>
        <w:instrText xml:space="preserve"> HYPERLINK "https://www.semanticscholar.org/paper/The-role-of-communication-between-partners-in-the-a-Jatob%C3%A1-Franco/fc99695e2c5516ec3bf72a8bdf1fd5f4139392c8" </w:instrText>
      </w:r>
      <w:r>
        <w:fldChar w:fldCharType="separate"/>
      </w:r>
      <w:r>
        <w:rPr>
          <w:rStyle w:val="7"/>
          <w:rFonts w:ascii="Times New Roman" w:hAnsi="Times New Roman" w:cs="Times New Roman"/>
          <w:sz w:val="24"/>
          <w:szCs w:val="24"/>
          <w:shd w:val="clear" w:color="auto" w:fill="FFFFFF"/>
        </w:rPr>
        <w:t>https://www.semanticscholar.org/paper/The-role-of-communication-between-partners-in-the-a-Jatob%C3%A1-Franco/fc99695e2c5516ec3bf72a8bdf1fd5f4139392c8</w:t>
      </w:r>
      <w:r>
        <w:rPr>
          <w:rStyle w:val="7"/>
          <w:rFonts w:ascii="Times New Roman" w:hAnsi="Times New Roman" w:cs="Times New Roman"/>
          <w:sz w:val="24"/>
          <w:szCs w:val="24"/>
          <w:shd w:val="clear" w:color="auto" w:fill="FFFFFF"/>
        </w:rPr>
        <w:fldChar w:fldCharType="end"/>
      </w:r>
    </w:p>
    <w:p>
      <w:pPr>
        <w:spacing w:line="480" w:lineRule="auto"/>
        <w:contextualSpacing/>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[11]Lu, J.G., Swaab, R.I. and Galinsky, A.D.(2022). Global leaders for global teams: Leaders with multicultural experiences communicate and lead more effectively, especially in multinational teams. </w:t>
      </w:r>
      <w:r>
        <w:rPr>
          <w:rFonts w:ascii="Times New Roman" w:hAnsi="Times New Roman" w:cs="Times New Roman"/>
          <w:i/>
          <w:iCs/>
          <w:color w:val="222222"/>
          <w:sz w:val="24"/>
          <w:szCs w:val="24"/>
          <w:shd w:val="clear" w:color="auto" w:fill="FFFFFF"/>
        </w:rPr>
        <w:t>Organization Science</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33</w:t>
      </w:r>
      <w:r>
        <w:rPr>
          <w:rFonts w:ascii="Times New Roman" w:hAnsi="Times New Roman" w:cs="Times New Roman"/>
          <w:color w:val="222222"/>
          <w:sz w:val="24"/>
          <w:szCs w:val="24"/>
          <w:shd w:val="clear" w:color="auto" w:fill="FFFFFF"/>
        </w:rPr>
        <w:t>(4), pp.1554-1573.</w:t>
      </w:r>
      <w:r>
        <w:t xml:space="preserve"> </w:t>
      </w:r>
      <w:r>
        <w:fldChar w:fldCharType="begin"/>
      </w:r>
      <w:r>
        <w:instrText xml:space="preserve"> HYPERLINK "https://pubsonline.informs.org/doi/10.1287/orsc.2021.1480" </w:instrText>
      </w:r>
      <w:r>
        <w:fldChar w:fldCharType="separate"/>
      </w:r>
      <w:r>
        <w:rPr>
          <w:rStyle w:val="7"/>
          <w:rFonts w:ascii="Times New Roman" w:hAnsi="Times New Roman" w:cs="Times New Roman"/>
          <w:sz w:val="24"/>
          <w:szCs w:val="24"/>
          <w:shd w:val="clear" w:color="auto" w:fill="FFFFFF"/>
        </w:rPr>
        <w:t>https://pubsonline.informs.org/doi/10.1287/orsc.2021.1480</w:t>
      </w:r>
      <w:r>
        <w:rPr>
          <w:rStyle w:val="7"/>
          <w:rFonts w:ascii="Times New Roman" w:hAnsi="Times New Roman" w:cs="Times New Roman"/>
          <w:sz w:val="24"/>
          <w:szCs w:val="24"/>
          <w:shd w:val="clear" w:color="auto" w:fill="FFFFFF"/>
        </w:rPr>
        <w:fldChar w:fldCharType="end"/>
      </w:r>
    </w:p>
    <w:p>
      <w:pPr>
        <w:spacing w:line="480" w:lineRule="auto"/>
        <w:contextualSpacing/>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[12]Hamid, F.A., Widodo, S.E. and Buchdadi, A.D.(2022). The influence of transformational leadership, emotional intelligence, organizational climate, and teamwork, towards organizational citizenship behavior of civil servants. </w:t>
      </w:r>
      <w:r>
        <w:rPr>
          <w:rFonts w:ascii="Times New Roman" w:hAnsi="Times New Roman" w:cs="Times New Roman"/>
          <w:i/>
          <w:iCs/>
          <w:color w:val="222222"/>
          <w:sz w:val="24"/>
          <w:szCs w:val="24"/>
          <w:shd w:val="clear" w:color="auto" w:fill="FFFFFF"/>
        </w:rPr>
        <w:t>International Journal for Applied Information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w:t>
      </w:r>
      <w:r>
        <w:rPr>
          <w:rFonts w:ascii="Times New Roman" w:hAnsi="Times New Roman" w:cs="Times New Roman"/>
          <w:color w:val="222222"/>
          <w:sz w:val="24"/>
          <w:szCs w:val="24"/>
          <w:shd w:val="clear" w:color="auto" w:fill="FFFFFF"/>
        </w:rPr>
        <w:t>(3), pp.26-39.</w:t>
      </w:r>
      <w:r>
        <w:t xml:space="preserve"> </w:t>
      </w:r>
      <w:r>
        <w:fldChar w:fldCharType="begin"/>
      </w:r>
      <w:r>
        <w:instrText xml:space="preserve"> HYPERLINK "https://www.semanticscholar.org/paper/The-Influence-of-Transformational-Leadership%2C-and-Hamid-Widodo/0c318f709b43e1db1a8e3130b48d9473829ceafc" </w:instrText>
      </w:r>
      <w:r>
        <w:fldChar w:fldCharType="separate"/>
      </w:r>
      <w:r>
        <w:rPr>
          <w:rStyle w:val="7"/>
          <w:rFonts w:ascii="Times New Roman" w:hAnsi="Times New Roman" w:cs="Times New Roman"/>
          <w:sz w:val="24"/>
          <w:szCs w:val="24"/>
          <w:shd w:val="clear" w:color="auto" w:fill="FFFFFF"/>
        </w:rPr>
        <w:t>https://www.semanticscholar.org/paper/The-Influence-of-Transformational-Leadership%2C-and-Hamid-Widodo/0c318f709b43e1db1a8e3130b48d9473829ceafc</w:t>
      </w:r>
      <w:r>
        <w:rPr>
          <w:rStyle w:val="7"/>
          <w:rFonts w:ascii="Times New Roman" w:hAnsi="Times New Roman" w:cs="Times New Roman"/>
          <w:sz w:val="24"/>
          <w:szCs w:val="24"/>
          <w:shd w:val="clear" w:color="auto" w:fill="FFFFFF"/>
        </w:rPr>
        <w:fldChar w:fldCharType="end"/>
      </w:r>
    </w:p>
    <w:p>
      <w:pPr>
        <w:spacing w:line="480" w:lineRule="auto"/>
        <w:contextualSpacing/>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[13]Hamerdinger, S.H. and Crump, C.J. (2022). Sign language interpreters and clinicians working together in mental health settings. </w:t>
      </w:r>
      <w:r>
        <w:rPr>
          <w:rFonts w:ascii="Times New Roman" w:hAnsi="Times New Roman" w:cs="Times New Roman"/>
          <w:i/>
          <w:iCs/>
          <w:color w:val="222222"/>
          <w:sz w:val="24"/>
          <w:szCs w:val="24"/>
          <w:shd w:val="clear" w:color="auto" w:fill="FFFFFF"/>
        </w:rPr>
        <w:t>The Routledge Handbook of Sign Language Translation and Interpreting</w:t>
      </w:r>
      <w:r>
        <w:rPr>
          <w:rFonts w:ascii="Times New Roman" w:hAnsi="Times New Roman" w:cs="Times New Roman"/>
          <w:color w:val="222222"/>
          <w:sz w:val="24"/>
          <w:szCs w:val="24"/>
          <w:shd w:val="clear" w:color="auto" w:fill="FFFFFF"/>
        </w:rPr>
        <w:t>.</w:t>
      </w:r>
      <w:r>
        <w:t xml:space="preserve"> </w:t>
      </w:r>
      <w:r>
        <w:fldChar w:fldCharType="begin"/>
      </w:r>
      <w:r>
        <w:instrText xml:space="preserve"> HYPERLINK "https://www.taylorfrancis.com/chapters/edit/10.4324/9781003019664-28/collaboration-stephen-hamerdinger-charlene-crump" </w:instrText>
      </w:r>
      <w:r>
        <w:fldChar w:fldCharType="separate"/>
      </w:r>
      <w:r>
        <w:rPr>
          <w:rStyle w:val="7"/>
          <w:rFonts w:ascii="Times New Roman" w:hAnsi="Times New Roman" w:cs="Times New Roman"/>
          <w:sz w:val="24"/>
          <w:szCs w:val="24"/>
          <w:shd w:val="clear" w:color="auto" w:fill="FFFFFF"/>
        </w:rPr>
        <w:t>https://www.taylorfrancis.com/chapters/edit/10.4324/9781003019664-28/collaboration-stephen-hamerdinger-charlene-crump</w:t>
      </w:r>
      <w:r>
        <w:rPr>
          <w:rStyle w:val="7"/>
          <w:rFonts w:ascii="Times New Roman" w:hAnsi="Times New Roman" w:cs="Times New Roman"/>
          <w:sz w:val="24"/>
          <w:szCs w:val="24"/>
          <w:shd w:val="clear" w:color="auto" w:fill="FFFFFF"/>
        </w:rPr>
        <w:fldChar w:fldCharType="end"/>
      </w:r>
    </w:p>
    <w:p>
      <w:pPr>
        <w:spacing w:line="480" w:lineRule="auto"/>
        <w:contextualSpacing/>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[14]Helmold, M., Dathe, T. and Hummel, F. (2022). Nonverbal communication in negotiations. In </w:t>
      </w:r>
      <w:r>
        <w:rPr>
          <w:rFonts w:ascii="Times New Roman" w:hAnsi="Times New Roman" w:cs="Times New Roman"/>
          <w:i/>
          <w:iCs/>
          <w:color w:val="222222"/>
          <w:sz w:val="24"/>
          <w:szCs w:val="24"/>
          <w:shd w:val="clear" w:color="auto" w:fill="FFFFFF"/>
        </w:rPr>
        <w:t>Successful Negotiations: Best-in-Class Recommendations for Breakthrough Negotiations</w:t>
      </w:r>
      <w:r>
        <w:rPr>
          <w:rFonts w:ascii="Times New Roman" w:hAnsi="Times New Roman" w:cs="Times New Roman"/>
          <w:color w:val="222222"/>
          <w:sz w:val="24"/>
          <w:szCs w:val="24"/>
          <w:shd w:val="clear" w:color="auto" w:fill="FFFFFF"/>
        </w:rPr>
        <w:t> (pp. 123-144). Wiesbaden: Springer Fachmedien Wiesbaden.</w:t>
      </w:r>
      <w:r>
        <w:t xml:space="preserve"> </w:t>
      </w:r>
      <w:r>
        <w:fldChar w:fldCharType="begin"/>
      </w:r>
      <w:r>
        <w:instrText xml:space="preserve"> HYPERLINK "https://link.springer.com/chapter/10.1007/978-3-658-35701-6_6" </w:instrText>
      </w:r>
      <w:r>
        <w:fldChar w:fldCharType="separate"/>
      </w:r>
      <w:r>
        <w:rPr>
          <w:rStyle w:val="7"/>
          <w:rFonts w:ascii="Times New Roman" w:hAnsi="Times New Roman" w:cs="Times New Roman"/>
          <w:sz w:val="24"/>
          <w:szCs w:val="24"/>
          <w:shd w:val="clear" w:color="auto" w:fill="FFFFFF"/>
        </w:rPr>
        <w:t>https://link.springer.com/chapter/10.1007/978-3-658-35701-6_6</w:t>
      </w:r>
      <w:r>
        <w:rPr>
          <w:rStyle w:val="7"/>
          <w:rFonts w:ascii="Times New Roman" w:hAnsi="Times New Roman" w:cs="Times New Roman"/>
          <w:sz w:val="24"/>
          <w:szCs w:val="24"/>
          <w:shd w:val="clear" w:color="auto" w:fill="FFFFFF"/>
        </w:rPr>
        <w:fldChar w:fldCharType="end"/>
      </w:r>
    </w:p>
    <w:p>
      <w:pPr>
        <w:spacing w:line="480" w:lineRule="auto"/>
        <w:contextualSpacing/>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[15]Kao, Y.T. and Wang, C.H. (2023). Heritage as city vision leverage: the suspended transformation of the railway landscape in Changhua City. </w:t>
      </w:r>
      <w:r>
        <w:rPr>
          <w:rFonts w:ascii="Times New Roman" w:hAnsi="Times New Roman" w:cs="Times New Roman"/>
          <w:i/>
          <w:iCs/>
          <w:color w:val="222222"/>
          <w:sz w:val="24"/>
          <w:szCs w:val="24"/>
          <w:shd w:val="clear" w:color="auto" w:fill="FFFFFF"/>
        </w:rPr>
        <w:t>International Journal of Heritage Studies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29</w:t>
      </w:r>
      <w:r>
        <w:rPr>
          <w:rFonts w:ascii="Times New Roman" w:hAnsi="Times New Roman" w:cs="Times New Roman"/>
          <w:color w:val="222222"/>
          <w:sz w:val="24"/>
          <w:szCs w:val="24"/>
          <w:shd w:val="clear" w:color="auto" w:fill="FFFFFF"/>
        </w:rPr>
        <w:t>(9), pp.1004-1017.</w:t>
      </w:r>
      <w:r>
        <w:t xml:space="preserve"> </w:t>
      </w:r>
      <w:r>
        <w:fldChar w:fldCharType="begin"/>
      </w:r>
      <w:r>
        <w:instrText xml:space="preserve"> HYPERLINK "https://www.tandfonline.com/doi/abs/10.1080/13527258.2023.2231901" </w:instrText>
      </w:r>
      <w:r>
        <w:fldChar w:fldCharType="separate"/>
      </w:r>
      <w:r>
        <w:rPr>
          <w:rStyle w:val="7"/>
          <w:rFonts w:ascii="Times New Roman" w:hAnsi="Times New Roman" w:cs="Times New Roman"/>
          <w:sz w:val="24"/>
          <w:szCs w:val="24"/>
          <w:shd w:val="clear" w:color="auto" w:fill="FFFFFF"/>
        </w:rPr>
        <w:t>https://www.tandfonline.com/doi/abs/10.1080/13527258.2023.2231901</w:t>
      </w:r>
      <w:r>
        <w:rPr>
          <w:rStyle w:val="7"/>
          <w:rFonts w:ascii="Times New Roman" w:hAnsi="Times New Roman" w:cs="Times New Roman"/>
          <w:sz w:val="24"/>
          <w:szCs w:val="24"/>
          <w:shd w:val="clear" w:color="auto" w:fill="FFFFFF"/>
        </w:rPr>
        <w:fldChar w:fldCharType="end"/>
      </w:r>
    </w:p>
    <w:p>
      <w:pPr>
        <w:spacing w:line="480" w:lineRule="auto"/>
        <w:contextualSpacing/>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[16]KIZRAK, M. (2023). A Theoretical Exploration of the Nexus Between Performance Appraisal, Culture, and Impression Management. </w:t>
      </w:r>
      <w:r>
        <w:rPr>
          <w:rFonts w:ascii="Times New Roman" w:hAnsi="Times New Roman" w:cs="Times New Roman"/>
          <w:i/>
          <w:iCs/>
          <w:color w:val="222222"/>
          <w:sz w:val="24"/>
          <w:szCs w:val="24"/>
          <w:shd w:val="clear" w:color="auto" w:fill="FFFFFF"/>
        </w:rPr>
        <w:t>İş ve İnsan Dergisi</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10</w:t>
      </w:r>
      <w:r>
        <w:rPr>
          <w:rFonts w:ascii="Times New Roman" w:hAnsi="Times New Roman" w:cs="Times New Roman"/>
          <w:color w:val="222222"/>
          <w:sz w:val="24"/>
          <w:szCs w:val="24"/>
          <w:shd w:val="clear" w:color="auto" w:fill="FFFFFF"/>
        </w:rPr>
        <w:t>(2), pp.51-66.</w:t>
      </w:r>
      <w:r>
        <w:rPr>
          <w:rFonts w:ascii="Arial" w:hAnsi="Arial" w:cs="Arial"/>
          <w:color w:val="555555"/>
          <w:sz w:val="21"/>
          <w:szCs w:val="21"/>
          <w:shd w:val="clear" w:color="auto" w:fill="FFFFFF"/>
        </w:rPr>
        <w:t xml:space="preserve"> DOI:</w:t>
      </w:r>
      <w:r>
        <w:fldChar w:fldCharType="begin"/>
      </w:r>
      <w:r>
        <w:instrText xml:space="preserve"> HYPERLINK "http://dx.doi.org/10.18394/iid.1327431" \t "_blank" </w:instrText>
      </w:r>
      <w:r>
        <w:fldChar w:fldCharType="separate"/>
      </w:r>
      <w:r>
        <w:rPr>
          <w:rStyle w:val="7"/>
          <w:rFonts w:ascii="Arial" w:hAnsi="Arial" w:cs="Arial"/>
          <w:sz w:val="21"/>
          <w:szCs w:val="21"/>
          <w:shd w:val="clear" w:color="auto" w:fill="FFFFFF"/>
        </w:rPr>
        <w:t>10.18394/iid.1327431</w:t>
      </w:r>
      <w:r>
        <w:fldChar w:fldCharType="end"/>
      </w:r>
    </w:p>
    <w:p>
      <w:pPr>
        <w:spacing w:line="480" w:lineRule="auto"/>
        <w:contextualSpacing/>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[17]Kamran, U. and Abid, S. (2023). Cross-Cultural Conversational Strategies Used by Chinese Students in Pakistan. </w:t>
      </w:r>
      <w:r>
        <w:rPr>
          <w:rFonts w:ascii="Times New Roman" w:hAnsi="Times New Roman" w:cs="Times New Roman"/>
          <w:i/>
          <w:iCs/>
          <w:color w:val="222222"/>
          <w:sz w:val="24"/>
          <w:szCs w:val="24"/>
          <w:shd w:val="clear" w:color="auto" w:fill="FFFFFF"/>
        </w:rPr>
        <w:t>International Journal of Linguistics and Culture</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w:t>
      </w:r>
      <w:r>
        <w:rPr>
          <w:rFonts w:ascii="Times New Roman" w:hAnsi="Times New Roman" w:cs="Times New Roman"/>
          <w:color w:val="222222"/>
          <w:sz w:val="24"/>
          <w:szCs w:val="24"/>
          <w:shd w:val="clear" w:color="auto" w:fill="FFFFFF"/>
        </w:rPr>
        <w:t>(1), pp.137-150.</w:t>
      </w:r>
    </w:p>
    <w:p>
      <w:pPr>
        <w:spacing w:line="480" w:lineRule="auto"/>
        <w:contextualSpacing/>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[18]Ketprapakorn, N. and Kantabutra, S. (2022). Toward an organizational theory of sustainability culture. </w:t>
      </w:r>
      <w:r>
        <w:rPr>
          <w:rFonts w:ascii="Times New Roman" w:hAnsi="Times New Roman" w:cs="Times New Roman"/>
          <w:i/>
          <w:iCs/>
          <w:color w:val="222222"/>
          <w:sz w:val="24"/>
          <w:szCs w:val="24"/>
          <w:shd w:val="clear" w:color="auto" w:fill="FFFFFF"/>
        </w:rPr>
        <w:t>Sustainable production and consumption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32</w:t>
      </w:r>
      <w:r>
        <w:rPr>
          <w:rFonts w:ascii="Times New Roman" w:hAnsi="Times New Roman" w:cs="Times New Roman"/>
          <w:color w:val="222222"/>
          <w:sz w:val="24"/>
          <w:szCs w:val="24"/>
          <w:shd w:val="clear" w:color="auto" w:fill="FFFFFF"/>
        </w:rPr>
        <w:t>, pp.638-654.</w:t>
      </w:r>
      <w:r>
        <w:t xml:space="preserve"> </w:t>
      </w:r>
      <w:r>
        <w:fldChar w:fldCharType="begin"/>
      </w:r>
      <w:r>
        <w:instrText xml:space="preserve"> HYPERLINK "https://www.sciencedirect.com/science/article/pii/S2352550922001403" </w:instrText>
      </w:r>
      <w:r>
        <w:fldChar w:fldCharType="separate"/>
      </w:r>
      <w:r>
        <w:rPr>
          <w:rStyle w:val="7"/>
          <w:rFonts w:ascii="Times New Roman" w:hAnsi="Times New Roman" w:cs="Times New Roman"/>
          <w:sz w:val="24"/>
          <w:szCs w:val="24"/>
          <w:shd w:val="clear" w:color="auto" w:fill="FFFFFF"/>
        </w:rPr>
        <w:t>https://www.sciencedirect.com/science/article/pii/S2352550922001403</w:t>
      </w:r>
      <w:r>
        <w:rPr>
          <w:rStyle w:val="7"/>
          <w:rFonts w:ascii="Times New Roman" w:hAnsi="Times New Roman" w:cs="Times New Roman"/>
          <w:sz w:val="24"/>
          <w:szCs w:val="24"/>
          <w:shd w:val="clear" w:color="auto" w:fill="FFFFFF"/>
        </w:rPr>
        <w:fldChar w:fldCharType="end"/>
      </w:r>
    </w:p>
    <w:p>
      <w:pPr>
        <w:spacing w:line="480" w:lineRule="auto"/>
        <w:contextualSpacing/>
        <w:jc w:val="both"/>
      </w:pPr>
      <w:r>
        <w:t xml:space="preserve">[19]  </w:t>
      </w:r>
      <w:r>
        <w:fldChar w:fldCharType="begin"/>
      </w:r>
      <w:r>
        <w:instrText xml:space="preserve"> HYPERLINK "https://doi.org/10.1016/j.spc.2022.05.020" \t "_blank" \o "Persistent link using digital object identifier" </w:instrText>
      </w:r>
      <w:r>
        <w:fldChar w:fldCharType="separate"/>
      </w:r>
      <w:r>
        <w:fldChar w:fldCharType="end"/>
      </w:r>
      <w:r>
        <w:rPr>
          <w:rFonts w:ascii="Times New Roman" w:hAnsi="Times New Roman" w:cs="Times New Roman"/>
          <w:color w:val="222222"/>
          <w:sz w:val="24"/>
          <w:szCs w:val="24"/>
          <w:shd w:val="clear" w:color="auto" w:fill="FFFFFF"/>
        </w:rPr>
        <w:t>Mandagie, W. and Rana, J. (2023). Creating employee-based brand equity through integrated marketing communication and social media adoption: Indonesian private universities. </w:t>
      </w:r>
      <w:r>
        <w:rPr>
          <w:rFonts w:ascii="Times New Roman" w:hAnsi="Times New Roman" w:cs="Times New Roman"/>
          <w:i/>
          <w:iCs/>
          <w:color w:val="222222"/>
          <w:sz w:val="24"/>
          <w:szCs w:val="24"/>
          <w:shd w:val="clear" w:color="auto" w:fill="FFFFFF"/>
        </w:rPr>
        <w:t>International Journal of Data and Network Science</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7</w:t>
      </w:r>
      <w:r>
        <w:rPr>
          <w:rFonts w:ascii="Times New Roman" w:hAnsi="Times New Roman" w:cs="Times New Roman"/>
          <w:color w:val="222222"/>
          <w:sz w:val="24"/>
          <w:szCs w:val="24"/>
          <w:shd w:val="clear" w:color="auto" w:fill="FFFFFF"/>
        </w:rPr>
        <w:t>(2), pp.707-716.</w:t>
      </w:r>
      <w:r>
        <w:t xml:space="preserve">  </w:t>
      </w:r>
      <w:r>
        <w:fldChar w:fldCharType="begin"/>
      </w:r>
      <w:r>
        <w:instrText xml:space="preserve"> HYPERLINK "https://doaj.org/article/892110b9c28d416393d9ceb61a63ca19" </w:instrText>
      </w:r>
      <w:r>
        <w:fldChar w:fldCharType="separate"/>
      </w:r>
      <w:r>
        <w:rPr>
          <w:rStyle w:val="7"/>
        </w:rPr>
        <w:t>https://doaj.org/article/892110b9c28d416393d9ceb61a63ca19</w:t>
      </w:r>
      <w:r>
        <w:rPr>
          <w:rStyle w:val="7"/>
        </w:rPr>
        <w:fldChar w:fldCharType="end"/>
      </w:r>
    </w:p>
    <w:p>
      <w:pPr>
        <w:spacing w:line="480" w:lineRule="auto"/>
        <w:contextualSpacing/>
        <w:jc w:val="both"/>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pPr>
      <w:r>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t>[20]</w:t>
      </w:r>
      <w:r>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fldChar w:fldCharType="begin"/>
      </w:r>
      <w:r>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instrText xml:space="preserve"> HYPERLINK "https://doi.org/10.5267/j.ijdns.2023.3.001" \t "_blank" </w:instrText>
      </w:r>
      <w:r>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fldChar w:fldCharType="separate"/>
      </w:r>
      <w:r>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fldChar w:fldCharType="end"/>
      </w:r>
      <w:r>
        <w:rPr>
          <w:rFonts w:ascii="Times New Roman" w:hAnsi="Times New Roman" w:cs="Times New Roman"/>
          <w:color w:val="222222"/>
          <w:sz w:val="24"/>
          <w:szCs w:val="24"/>
          <w:shd w:val="clear" w:color="auto" w:fill="FFFFFF"/>
        </w:rPr>
        <w:t>Mortimer, G., Grimmer, M., Grimmer, L., Wang, S. and Su, J.(2022). A cross cultural examination of “off-price” fashion shopping. </w:t>
      </w:r>
      <w:r>
        <w:rPr>
          <w:rFonts w:ascii="Times New Roman" w:hAnsi="Times New Roman" w:cs="Times New Roman"/>
          <w:i/>
          <w:iCs/>
          <w:color w:val="222222"/>
          <w:sz w:val="24"/>
          <w:szCs w:val="24"/>
          <w:shd w:val="clear" w:color="auto" w:fill="FFFFFF"/>
        </w:rPr>
        <w:t>International Journal of Retail &amp; Distribution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50</w:t>
      </w:r>
      <w:r>
        <w:rPr>
          <w:rFonts w:ascii="Times New Roman" w:hAnsi="Times New Roman" w:cs="Times New Roman"/>
          <w:color w:val="222222"/>
          <w:sz w:val="24"/>
          <w:szCs w:val="24"/>
          <w:shd w:val="clear" w:color="auto" w:fill="FFFFFF"/>
        </w:rPr>
        <w:t>(12), pp.1494-1517.</w:t>
      </w:r>
      <w:r>
        <w:t xml:space="preserve"> </w:t>
      </w:r>
      <w:r>
        <w:fldChar w:fldCharType="begin"/>
      </w:r>
      <w:r>
        <w:instrText xml:space="preserve"> HYPERLINK "https://www.emerald.com/insight/content/doi/10.1108/IJRDM-09-2021-0457/full/html" </w:instrText>
      </w:r>
      <w:r>
        <w:fldChar w:fldCharType="separate"/>
      </w:r>
      <w:r>
        <w:rPr>
          <w:rStyle w:val="7"/>
        </w:rPr>
        <w:t>https://www.emerald.com/insight/content/doi/10.1108/IJRDM-09-2021-0457/full/html</w:t>
      </w:r>
      <w:r>
        <w:rPr>
          <w:rStyle w:val="7"/>
        </w:rPr>
        <w:fldChar w:fldCharType="end"/>
      </w:r>
    </w:p>
    <w:p>
      <w:pPr>
        <w:spacing w:line="480" w:lineRule="auto"/>
        <w:contextualSpacing/>
        <w:jc w:val="both"/>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pPr>
      <w:r>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t>[</w:t>
      </w:r>
      <w:r>
        <w:fldChar w:fldCharType="begin"/>
      </w:r>
      <w:r>
        <w:instrText xml:space="preserve"> HYPERLINK "https://doi.org/10.1108/IJRDM-09-2021-0457" \o "DOI: https://doi.org/10.1108/IJRDM-09-2021-0457" </w:instrText>
      </w:r>
      <w:r>
        <w:fldChar w:fldCharType="separate"/>
      </w:r>
      <w:r>
        <w:fldChar w:fldCharType="end"/>
      </w:r>
      <w:r>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t>21]</w:t>
      </w:r>
      <w:r>
        <w:rPr>
          <w:rFonts w:ascii="Times New Roman" w:hAnsi="Times New Roman" w:cs="Times New Roman"/>
          <w:color w:val="222222"/>
          <w:sz w:val="24"/>
          <w:szCs w:val="24"/>
          <w:shd w:val="clear" w:color="auto" w:fill="FFFFFF"/>
        </w:rPr>
        <w:t>Umar, M. and Ko, I.(2022). E-learning: Direct effect of student learning effectiveness and engagement through project-based learning, team cohesion, and flipped learning during the COVID-19 pandemic. </w:t>
      </w:r>
      <w:r>
        <w:rPr>
          <w:rFonts w:ascii="Times New Roman" w:hAnsi="Times New Roman" w:cs="Times New Roman"/>
          <w:i/>
          <w:iCs/>
          <w:color w:val="222222"/>
          <w:sz w:val="24"/>
          <w:szCs w:val="24"/>
          <w:shd w:val="clear" w:color="auto" w:fill="FFFFFF"/>
        </w:rPr>
        <w:t>Sustainability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14</w:t>
      </w:r>
      <w:r>
        <w:rPr>
          <w:rFonts w:ascii="Times New Roman" w:hAnsi="Times New Roman" w:cs="Times New Roman"/>
          <w:color w:val="222222"/>
          <w:sz w:val="24"/>
          <w:szCs w:val="24"/>
          <w:shd w:val="clear" w:color="auto" w:fill="FFFFFF"/>
        </w:rPr>
        <w:t>(3), p.1724.</w:t>
      </w:r>
      <w:r>
        <w:rPr>
          <w:color w:val="0D0D0D" w:themeColor="text1" w:themeTint="F2"/>
          <w14:textFill>
            <w14:solidFill>
              <w14:schemeClr w14:val="tx1">
                <w14:lumMod w14:val="95000"/>
                <w14:lumOff w14:val="5000"/>
              </w14:schemeClr>
            </w14:solidFill>
          </w14:textFill>
        </w:rPr>
        <w:t>https://www.mdpi.com/2071-1050/14/3/1724</w:t>
      </w:r>
    </w:p>
    <w:p>
      <w:pPr>
        <w:spacing w:line="480" w:lineRule="auto"/>
        <w:contextualSpacing/>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[22]Walker, J., 2023. Nonverbal communication. </w:t>
      </w:r>
      <w:r>
        <w:rPr>
          <w:rFonts w:ascii="Times New Roman" w:hAnsi="Times New Roman" w:cs="Times New Roman"/>
          <w:i/>
          <w:iCs/>
          <w:color w:val="222222"/>
          <w:sz w:val="24"/>
          <w:szCs w:val="24"/>
          <w:shd w:val="clear" w:color="auto" w:fill="FFFFFF"/>
        </w:rPr>
        <w:t>Keys to Communication: An Essential Guide to Communication in the Real World</w:t>
      </w:r>
      <w:r>
        <w:rPr>
          <w:rFonts w:ascii="Times New Roman" w:hAnsi="Times New Roman" w:cs="Times New Roman"/>
          <w:color w:val="222222"/>
          <w:sz w:val="24"/>
          <w:szCs w:val="24"/>
          <w:shd w:val="clear" w:color="auto" w:fill="FFFFFF"/>
        </w:rPr>
        <w:t>.</w:t>
      </w:r>
      <w:r>
        <w:t xml:space="preserve"> </w:t>
      </w:r>
      <w:r>
        <w:fldChar w:fldCharType="begin"/>
      </w:r>
      <w:r>
        <w:instrText xml:space="preserve"> HYPERLINK "https://pressbooks.pub/umcoms101/front-matter/publisher-information/" </w:instrText>
      </w:r>
      <w:r>
        <w:fldChar w:fldCharType="separate"/>
      </w:r>
      <w:r>
        <w:rPr>
          <w:rStyle w:val="7"/>
          <w:rFonts w:ascii="Times New Roman" w:hAnsi="Times New Roman" w:cs="Times New Roman"/>
          <w:sz w:val="24"/>
          <w:szCs w:val="24"/>
          <w:shd w:val="clear" w:color="auto" w:fill="FFFFFF"/>
        </w:rPr>
        <w:t>https://pressbooks.pub/umcoms101/front-matter/publisher-information/</w:t>
      </w:r>
      <w:r>
        <w:rPr>
          <w:rStyle w:val="7"/>
          <w:rFonts w:ascii="Times New Roman" w:hAnsi="Times New Roman" w:cs="Times New Roman"/>
          <w:sz w:val="24"/>
          <w:szCs w:val="24"/>
          <w:shd w:val="clear" w:color="auto" w:fill="FFFFFF"/>
        </w:rPr>
        <w:fldChar w:fldCharType="end"/>
      </w:r>
    </w:p>
    <w:p>
      <w:pPr>
        <w:spacing w:line="480" w:lineRule="auto"/>
        <w:contextualSpacing/>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[23]Vaz-Serra, P., Hui, F., Duffield, C., Mendis, P. and Aye, L. (2022), September. New Normal Remote Communication for Collaboration. In </w:t>
      </w:r>
      <w:r>
        <w:rPr>
          <w:rFonts w:ascii="Times New Roman" w:hAnsi="Times New Roman" w:cs="Times New Roman"/>
          <w:i/>
          <w:iCs/>
          <w:color w:val="222222"/>
          <w:sz w:val="24"/>
          <w:szCs w:val="24"/>
          <w:shd w:val="clear" w:color="auto" w:fill="FFFFFF"/>
        </w:rPr>
        <w:t>12th International Conference on Structural Engineering and Construction Management: Proceedings of the ICSECM 2021</w:t>
      </w:r>
      <w:r>
        <w:rPr>
          <w:rFonts w:ascii="Times New Roman" w:hAnsi="Times New Roman" w:cs="Times New Roman"/>
          <w:color w:val="222222"/>
          <w:sz w:val="24"/>
          <w:szCs w:val="24"/>
          <w:shd w:val="clear" w:color="auto" w:fill="FFFFFF"/>
        </w:rPr>
        <w:t> (pp. 461-473). Singapore: Springer Nature Singapore.</w:t>
      </w:r>
      <w:r>
        <w:t xml:space="preserve"> </w:t>
      </w:r>
      <w:r>
        <w:fldChar w:fldCharType="begin"/>
      </w:r>
      <w:r>
        <w:instrText xml:space="preserve"> HYPERLINK "https://pesquisa.bvsalud.org/global-literature-on-novel-coronavirus-2019-ncov/resource/pt/covidwho-2246018" </w:instrText>
      </w:r>
      <w:r>
        <w:fldChar w:fldCharType="separate"/>
      </w:r>
      <w:r>
        <w:rPr>
          <w:rStyle w:val="7"/>
          <w:rFonts w:ascii="Times New Roman" w:hAnsi="Times New Roman" w:cs="Times New Roman"/>
          <w:sz w:val="24"/>
          <w:szCs w:val="24"/>
          <w:shd w:val="clear" w:color="auto" w:fill="FFFFFF"/>
        </w:rPr>
        <w:t>https://pesquisa.bvsalud.org/global-literature-on-novel-coronavirus-2019-ncov/resource/pt/covidwho-2246018</w:t>
      </w:r>
      <w:r>
        <w:rPr>
          <w:rStyle w:val="7"/>
          <w:rFonts w:ascii="Times New Roman" w:hAnsi="Times New Roman" w:cs="Times New Roman"/>
          <w:sz w:val="24"/>
          <w:szCs w:val="24"/>
          <w:shd w:val="clear" w:color="auto" w:fill="FFFFFF"/>
        </w:rPr>
        <w:fldChar w:fldCharType="end"/>
      </w:r>
    </w:p>
    <w:p>
      <w:pPr>
        <w:spacing w:line="480" w:lineRule="auto"/>
        <w:contextualSpacing/>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[24]Zolfaghari, B. and Madjdi, F.(2022). Building trusting multicultural organizations: Rethinking the influence of culture on interpersonal trust development in the workplace. </w:t>
      </w:r>
      <w:r>
        <w:rPr>
          <w:rFonts w:ascii="Times New Roman" w:hAnsi="Times New Roman" w:cs="Times New Roman"/>
          <w:i/>
          <w:iCs/>
          <w:color w:val="222222"/>
          <w:sz w:val="24"/>
          <w:szCs w:val="24"/>
          <w:shd w:val="clear" w:color="auto" w:fill="FFFFFF"/>
        </w:rPr>
        <w:t>Journal of International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28</w:t>
      </w:r>
      <w:r>
        <w:rPr>
          <w:rFonts w:ascii="Times New Roman" w:hAnsi="Times New Roman" w:cs="Times New Roman"/>
          <w:color w:val="222222"/>
          <w:sz w:val="24"/>
          <w:szCs w:val="24"/>
          <w:shd w:val="clear" w:color="auto" w:fill="FFFFFF"/>
        </w:rPr>
        <w:t>(4), p.100944.</w:t>
      </w:r>
      <w:r>
        <w:rPr>
          <w:rFonts w:ascii="Arial" w:hAnsi="Arial" w:cs="Arial"/>
          <w:color w:val="555555"/>
          <w:sz w:val="21"/>
          <w:szCs w:val="21"/>
          <w:shd w:val="clear" w:color="auto" w:fill="FFFFFF"/>
        </w:rPr>
        <w:t>DOI:</w:t>
      </w:r>
      <w:r>
        <w:fldChar w:fldCharType="begin"/>
      </w:r>
      <w:r>
        <w:instrText xml:space="preserve"> HYPERLINK "http://dx.doi.org/10.1016/j.intman.2022.100944" \t "_blank" </w:instrText>
      </w:r>
      <w:r>
        <w:fldChar w:fldCharType="separate"/>
      </w:r>
      <w:r>
        <w:rPr>
          <w:rStyle w:val="7"/>
          <w:rFonts w:ascii="Arial" w:hAnsi="Arial" w:cs="Arial"/>
          <w:sz w:val="21"/>
          <w:szCs w:val="21"/>
          <w:shd w:val="clear" w:color="auto" w:fill="FFFFFF"/>
        </w:rPr>
        <w:t>10.1016/j.intman.2022.100944</w:t>
      </w:r>
      <w:r>
        <w:rPr>
          <w:rStyle w:val="7"/>
          <w:rFonts w:ascii="Arial" w:hAnsi="Arial" w:cs="Arial"/>
          <w:sz w:val="21"/>
          <w:szCs w:val="21"/>
          <w:shd w:val="clear" w:color="auto" w:fill="FFFFFF"/>
        </w:rPr>
        <w:fldChar w:fldCharType="end"/>
      </w:r>
      <w:r>
        <w:fldChar w:fldCharType="begin"/>
      </w:r>
      <w:r>
        <w:instrText xml:space="preserve"> HYPERLINK "http://dx.doi.org/10.1016/j.intman.2022.100944" \t "_blank" </w:instrText>
      </w:r>
      <w:r>
        <w:fldChar w:fldCharType="separate"/>
      </w:r>
      <w:r>
        <w:fldChar w:fldCharType="end"/>
      </w:r>
    </w:p>
    <w:p>
      <w:pPr>
        <w:spacing w:line="480" w:lineRule="auto"/>
        <w:contextualSpacing/>
        <w:jc w:val="both"/>
      </w:pPr>
      <w:r>
        <w:rPr>
          <w:rFonts w:ascii="Times New Roman" w:hAnsi="Times New Roman" w:cs="Times New Roman"/>
          <w:color w:val="222222"/>
          <w:sz w:val="24"/>
          <w:szCs w:val="24"/>
          <w:shd w:val="clear" w:color="auto" w:fill="FFFFFF"/>
        </w:rPr>
        <w:t>[25]Zakaria, N. and Ab Rahman Muton, N.(2022). Cultural code-switching in high context global virtual team members: A qualitative study. </w:t>
      </w:r>
      <w:r>
        <w:rPr>
          <w:rFonts w:ascii="Times New Roman" w:hAnsi="Times New Roman" w:cs="Times New Roman"/>
          <w:i/>
          <w:iCs/>
          <w:color w:val="222222"/>
          <w:sz w:val="24"/>
          <w:szCs w:val="24"/>
          <w:shd w:val="clear" w:color="auto" w:fill="FFFFFF"/>
        </w:rPr>
        <w:t>International Journal of Cross Cultural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22</w:t>
      </w:r>
      <w:r>
        <w:rPr>
          <w:rFonts w:ascii="Times New Roman" w:hAnsi="Times New Roman" w:cs="Times New Roman"/>
          <w:color w:val="222222"/>
          <w:sz w:val="24"/>
          <w:szCs w:val="24"/>
          <w:shd w:val="clear" w:color="auto" w:fill="FFFFFF"/>
        </w:rPr>
        <w:t>(3), pp.487-515.</w:t>
      </w:r>
      <w:r>
        <w:t xml:space="preserve"> </w:t>
      </w:r>
      <w:r>
        <w:fldChar w:fldCharType="begin"/>
      </w:r>
      <w:r>
        <w:instrText xml:space="preserve"> HYPERLINK "http://dx.doi.org/10.1177/14705958221137256" \t "_blank" </w:instrText>
      </w:r>
      <w:r>
        <w:fldChar w:fldCharType="separate"/>
      </w:r>
      <w:r>
        <w:rPr>
          <w:rStyle w:val="7"/>
          <w:rFonts w:ascii="Arial" w:hAnsi="Arial" w:cs="Arial"/>
          <w:sz w:val="21"/>
          <w:szCs w:val="21"/>
          <w:shd w:val="clear" w:color="auto" w:fill="FFFFFF"/>
        </w:rPr>
        <w:t>10.1177/14705958221137256</w:t>
      </w:r>
      <w:r>
        <w:rPr>
          <w:rStyle w:val="7"/>
          <w:rFonts w:ascii="Arial" w:hAnsi="Arial" w:cs="Arial"/>
          <w:sz w:val="21"/>
          <w:szCs w:val="21"/>
          <w:shd w:val="clear" w:color="auto" w:fill="FFFFFF"/>
        </w:rPr>
        <w:fldChar w:fldCharType="end"/>
      </w:r>
    </w:p>
    <w:p>
      <w:pPr>
        <w:spacing w:line="480" w:lineRule="auto"/>
        <w:ind w:left="720" w:hanging="720"/>
        <w:contextualSpacing/>
        <w:jc w:val="both"/>
        <w:rPr>
          <w:rFonts w:ascii="Times New Roman" w:hAnsi="Times New Roman" w:cs="Times New Roman"/>
          <w:color w:val="222222"/>
          <w:sz w:val="24"/>
          <w:szCs w:val="24"/>
          <w:shd w:val="clear" w:color="auto" w:fill="FFFFFF"/>
        </w:rPr>
      </w:pPr>
    </w:p>
    <w:p>
      <w:pPr>
        <w:spacing w:line="480" w:lineRule="auto"/>
        <w:contextualSpacing/>
        <w:jc w:val="both"/>
        <w:rPr>
          <w:rFonts w:ascii="Times New Roman" w:hAnsi="Times New Roman" w:cs="Times New Roman"/>
          <w:color w:val="222222"/>
          <w:sz w:val="24"/>
          <w:szCs w:val="24"/>
          <w:shd w:val="clear" w:color="auto" w:fill="FFFFFF"/>
        </w:rPr>
      </w:pPr>
    </w:p>
    <w:p>
      <w:pPr>
        <w:spacing w:line="480" w:lineRule="auto"/>
        <w:ind w:left="720" w:hanging="720"/>
        <w:contextualSpacing/>
        <w:jc w:val="both"/>
        <w:rPr>
          <w:rFonts w:ascii="Times New Roman" w:hAnsi="Times New Roman" w:cs="Times New Roman"/>
          <w:b/>
          <w:sz w:val="24"/>
          <w:szCs w:val="24"/>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EF1EFF"/>
    <w:multiLevelType w:val="multilevel"/>
    <w:tmpl w:val="2FEF1EF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VlMjdiZDIzOGZlMzNmNWI4ZDU5MDg0NjZhNzBlNWMifQ=="/>
  </w:docVars>
  <w:rsids>
    <w:rsidRoot w:val="0062602F"/>
    <w:rsid w:val="00054904"/>
    <w:rsid w:val="000A2A10"/>
    <w:rsid w:val="001138D7"/>
    <w:rsid w:val="002F4D25"/>
    <w:rsid w:val="003213D2"/>
    <w:rsid w:val="00324D53"/>
    <w:rsid w:val="003329ED"/>
    <w:rsid w:val="00376F91"/>
    <w:rsid w:val="004D7D5C"/>
    <w:rsid w:val="00550FD1"/>
    <w:rsid w:val="00591384"/>
    <w:rsid w:val="0062602F"/>
    <w:rsid w:val="00636C0F"/>
    <w:rsid w:val="00646AED"/>
    <w:rsid w:val="006537DA"/>
    <w:rsid w:val="006B409C"/>
    <w:rsid w:val="00703DD6"/>
    <w:rsid w:val="007104E1"/>
    <w:rsid w:val="00760177"/>
    <w:rsid w:val="00770C68"/>
    <w:rsid w:val="00772EF1"/>
    <w:rsid w:val="00780B94"/>
    <w:rsid w:val="007C2A42"/>
    <w:rsid w:val="007E59B3"/>
    <w:rsid w:val="00890393"/>
    <w:rsid w:val="008C137F"/>
    <w:rsid w:val="008D0A77"/>
    <w:rsid w:val="00923C0D"/>
    <w:rsid w:val="009A30FE"/>
    <w:rsid w:val="009C0B26"/>
    <w:rsid w:val="00A16C0A"/>
    <w:rsid w:val="00A263F4"/>
    <w:rsid w:val="00BB6514"/>
    <w:rsid w:val="00BC0EC2"/>
    <w:rsid w:val="00BF679B"/>
    <w:rsid w:val="00C9173E"/>
    <w:rsid w:val="00CC5000"/>
    <w:rsid w:val="00CE7176"/>
    <w:rsid w:val="00D30257"/>
    <w:rsid w:val="00D90FC3"/>
    <w:rsid w:val="00E555B3"/>
    <w:rsid w:val="00EA1A95"/>
    <w:rsid w:val="00F77945"/>
    <w:rsid w:val="0D673A70"/>
    <w:rsid w:val="69662D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qFormat/>
    <w:uiPriority w:val="9"/>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4">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7">
    <w:name w:val="Hyperlink"/>
    <w:basedOn w:val="6"/>
    <w:unhideWhenUsed/>
    <w:qFormat/>
    <w:uiPriority w:val="99"/>
    <w:rPr>
      <w:color w:val="0000FF"/>
      <w:u w:val="single"/>
    </w:rPr>
  </w:style>
  <w:style w:type="character" w:customStyle="1" w:styleId="8">
    <w:name w:val="anchor-text"/>
    <w:basedOn w:val="6"/>
    <w:uiPriority w:val="0"/>
  </w:style>
  <w:style w:type="paragraph" w:customStyle="1" w:styleId="9">
    <w:name w:val="WPSOffice手动目录 1"/>
    <w:uiPriority w:val="0"/>
    <w:pPr>
      <w:ind w:leftChars="0"/>
    </w:pPr>
    <w:rPr>
      <w:rFonts w:asciiTheme="minorHAnsi" w:hAnsiTheme="minorHAnsi" w:eastAsiaTheme="minorHAnsi" w:cstheme="minorBidi"/>
      <w:sz w:val="20"/>
      <w:szCs w:val="20"/>
    </w:rPr>
  </w:style>
  <w:style w:type="paragraph" w:customStyle="1" w:styleId="10">
    <w:name w:val="WPSOffice手动目录 2"/>
    <w:uiPriority w:val="0"/>
    <w:pPr>
      <w:ind w:leftChars="200"/>
    </w:pPr>
    <w:rPr>
      <w:rFonts w:asciiTheme="minorHAnsi" w:hAnsiTheme="minorHAnsi" w:eastAsiaTheme="minorHAnsi" w:cstheme="minorBidi"/>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17</Pages>
  <Words>4480</Words>
  <Characters>25539</Characters>
  <Lines>212</Lines>
  <Paragraphs>59</Paragraphs>
  <TotalTime>4</TotalTime>
  <ScaleCrop>false</ScaleCrop>
  <LinksUpToDate>false</LinksUpToDate>
  <CharactersWithSpaces>29960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2023-11-15T06:09:00Z</dcterms:created>
  <dc:creator>Microsoft account</dc:creator>
  <cp:lastModifiedBy>可口可乐</cp:lastModifiedBy>
  <dcterms:modified xsi:type="dcterms:W3CDTF">2023-11-20T06:50:33Z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57C5393CFC97437EB931A07C6D1D689A_12</vt:lpwstr>
  </property>
</Properties>
</file>