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71C15D3" wp14:paraId="76B0AA69" wp14:textId="4764D06F">
      <w:pPr>
        <w:keepNext w:val="1"/>
        <w:keepLines w:val="1"/>
        <w:spacing w:before="240" w:after="240"/>
        <w:jc w:val="center"/>
        <w:rPr>
          <w:rFonts w:ascii="Aptos" w:hAnsi="Aptos" w:eastAsia="Aptos" w:cs="Aptos"/>
          <w:b w:val="0"/>
          <w:bCs w:val="0"/>
          <w:i w:val="0"/>
          <w:iCs w:val="0"/>
          <w:caps w:val="0"/>
          <w:smallCaps w:val="0"/>
          <w:noProof w:val="0"/>
          <w:color w:val="000000" w:themeColor="text1" w:themeTint="FF" w:themeShade="FF"/>
          <w:sz w:val="40"/>
          <w:szCs w:val="40"/>
          <w:lang w:val="en-GB"/>
        </w:rPr>
      </w:pPr>
      <w:r w:rsidRPr="571C15D3" w:rsidR="06C331C5">
        <w:rPr>
          <w:rFonts w:ascii="Aptos" w:hAnsi="Aptos" w:eastAsia="Aptos" w:cs="Aptos"/>
          <w:b w:val="1"/>
          <w:bCs w:val="1"/>
          <w:i w:val="0"/>
          <w:iCs w:val="0"/>
          <w:caps w:val="0"/>
          <w:smallCaps w:val="0"/>
          <w:noProof w:val="0"/>
          <w:color w:val="000000" w:themeColor="text1" w:themeTint="FF" w:themeShade="FF"/>
          <w:sz w:val="40"/>
          <w:szCs w:val="40"/>
          <w:lang w:val="en-GB"/>
        </w:rPr>
        <w:t xml:space="preserve">Psychological Classifications and Provisions  </w:t>
      </w:r>
    </w:p>
    <w:p xmlns:wp14="http://schemas.microsoft.com/office/word/2010/wordml" w:rsidP="571C15D3" wp14:paraId="6B68F8A9" wp14:textId="6A8B4DA0">
      <w:pPr>
        <w:keepNext w:val="1"/>
        <w:keepLines w:val="1"/>
        <w:spacing w:before="240" w:after="240"/>
        <w:jc w:val="center"/>
        <w:rPr>
          <w:rFonts w:ascii="Aptos" w:hAnsi="Aptos" w:eastAsia="Aptos" w:cs="Aptos"/>
          <w:b w:val="0"/>
          <w:bCs w:val="0"/>
          <w:i w:val="0"/>
          <w:iCs w:val="0"/>
          <w:caps w:val="0"/>
          <w:smallCaps w:val="0"/>
          <w:noProof w:val="0"/>
          <w:color w:val="000000" w:themeColor="text1" w:themeTint="FF" w:themeShade="FF"/>
          <w:sz w:val="40"/>
          <w:szCs w:val="40"/>
          <w:lang w:val="en-GB"/>
        </w:rPr>
      </w:pPr>
      <w:r w:rsidRPr="571C15D3" w:rsidR="06C331C5">
        <w:rPr>
          <w:rFonts w:ascii="Aptos" w:hAnsi="Aptos" w:eastAsia="Aptos" w:cs="Aptos"/>
          <w:b w:val="1"/>
          <w:bCs w:val="1"/>
          <w:i w:val="0"/>
          <w:iCs w:val="0"/>
          <w:caps w:val="0"/>
          <w:smallCaps w:val="0"/>
          <w:noProof w:val="0"/>
          <w:color w:val="000000" w:themeColor="text1" w:themeTint="FF" w:themeShade="FF"/>
          <w:sz w:val="40"/>
          <w:szCs w:val="40"/>
          <w:lang w:val="en-GB"/>
        </w:rPr>
        <w:t>BMHP6029</w:t>
      </w:r>
    </w:p>
    <w:p xmlns:wp14="http://schemas.microsoft.com/office/word/2010/wordml" w:rsidP="571C15D3" wp14:paraId="31325878" wp14:textId="365BDB4F">
      <w:pPr>
        <w:pStyle w:val="Heading1"/>
        <w:keepNext w:val="1"/>
        <w:keepLines w:val="1"/>
        <w:spacing w:before="0" w:after="160" w:line="257" w:lineRule="auto"/>
        <w:jc w:val="center"/>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r w:rsidRPr="571C15D3" w:rsidR="06C331C5">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xml:space="preserve"> </w:t>
      </w:r>
      <w:r w:rsidR="06C331C5">
        <w:drawing>
          <wp:inline xmlns:wp14="http://schemas.microsoft.com/office/word/2010/wordprocessingDrawing" wp14:editId="5A4D662D" wp14:anchorId="71BD2DC5">
            <wp:extent cx="3086100" cy="1369079"/>
            <wp:effectExtent l="0" t="0" r="0" b="0"/>
            <wp:docPr id="2154252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5425205" name="Picture 215425205"/>
                    <pic:cNvPicPr/>
                  </pic:nvPicPr>
                  <pic:blipFill>
                    <a:blip xmlns:r="http://schemas.openxmlformats.org/officeDocument/2006/relationships" r:embed="rId775366460">
                      <a:extLst>
                        <a:ext uri="{28A0092B-C50C-407E-A947-70E740481C1C}">
                          <a14:useLocalDpi xmlns:a14="http://schemas.microsoft.com/office/drawing/2010/main"/>
                        </a:ext>
                      </a:extLst>
                    </a:blip>
                    <a:stretch>
                      <a:fillRect/>
                    </a:stretch>
                  </pic:blipFill>
                  <pic:spPr>
                    <a:xfrm rot="0">
                      <a:off x="0" y="0"/>
                      <a:ext cx="3086100" cy="1369079"/>
                    </a:xfrm>
                    <a:prstGeom prst="rect">
                      <a:avLst/>
                    </a:prstGeom>
                  </pic:spPr>
                </pic:pic>
              </a:graphicData>
            </a:graphic>
          </wp:inline>
        </w:drawing>
      </w:r>
    </w:p>
    <w:p xmlns:wp14="http://schemas.microsoft.com/office/word/2010/wordml" w:rsidP="571C15D3" wp14:paraId="51516E4E" wp14:textId="78660A93">
      <w:pPr>
        <w:keepNext w:val="1"/>
        <w:keepLines w:val="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xmlns:wp14="http://schemas.microsoft.com/office/word/2010/wordml" w:rsidP="571C15D3" wp14:paraId="772577A6" wp14:textId="7466854B">
      <w:pPr>
        <w:spacing w:before="0" w:beforeAutospacing="off" w:after="160" w:afterAutospacing="off" w:line="257" w:lineRule="auto"/>
        <w:ind w:left="0" w:right="0"/>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571C15D3" w:rsidR="06C331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Tutors Details:</w:t>
      </w:r>
      <w:r w:rsidRPr="571C15D3" w:rsidR="06C331C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 Neale Haddon    </w:t>
      </w:r>
    </w:p>
    <w:p xmlns:wp14="http://schemas.microsoft.com/office/word/2010/wordml" w:rsidP="571C15D3" wp14:paraId="076D4405" wp14:textId="67E17B13">
      <w:pPr>
        <w:spacing w:line="257" w:lineRule="auto"/>
        <w:jc w:val="center"/>
      </w:pPr>
      <w:r w:rsidRPr="571C15D3" w:rsidR="06C331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Internal Verifier:</w:t>
      </w:r>
      <w:r w:rsidRPr="571C15D3" w:rsidR="06C331C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 Dr Eleni Koutsogeorgou-Andreou</w:t>
      </w:r>
    </w:p>
    <w:p xmlns:wp14="http://schemas.microsoft.com/office/word/2010/wordml" w:rsidP="571C15D3" wp14:paraId="6A2B99D8" wp14:textId="56F7FFD5">
      <w:pPr>
        <w:spacing w:line="257" w:lineRule="auto"/>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pPr>
    </w:p>
    <w:p xmlns:wp14="http://schemas.microsoft.com/office/word/2010/wordml" w:rsidP="571C15D3" wp14:paraId="0231379A" wp14:textId="20CFD866">
      <w:pPr>
        <w:spacing w:line="257"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571C15D3" w:rsidR="06C331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Student name:</w:t>
      </w:r>
      <w:r w:rsidRPr="571C15D3" w:rsidR="06C331C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 Kamila Zikavska</w:t>
      </w:r>
    </w:p>
    <w:p xmlns:wp14="http://schemas.microsoft.com/office/word/2010/wordml" w:rsidP="571C15D3" wp14:paraId="4193D9B4" wp14:textId="0DBB78BC">
      <w:pPr>
        <w:spacing w:line="257"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571C15D3" w:rsidR="06C331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Student number:</w:t>
      </w:r>
      <w:r w:rsidRPr="571C15D3" w:rsidR="06C331C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 233 25 69</w:t>
      </w:r>
    </w:p>
    <w:p xmlns:wp14="http://schemas.microsoft.com/office/word/2010/wordml" w:rsidP="571C15D3" wp14:paraId="2B70C6AA" wp14:textId="18BFBB91">
      <w:pPr>
        <w:spacing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571C15D3" w:rsidR="06C331C5">
        <w:rPr>
          <w:rFonts w:ascii="Arial" w:hAnsi="Arial" w:eastAsia="Arial" w:cs="Arial"/>
          <w:b w:val="1"/>
          <w:bCs w:val="1"/>
          <w:i w:val="0"/>
          <w:iCs w:val="0"/>
          <w:caps w:val="0"/>
          <w:smallCaps w:val="0"/>
          <w:noProof w:val="0"/>
          <w:color w:val="000000" w:themeColor="text1" w:themeTint="FF" w:themeShade="FF"/>
          <w:sz w:val="40"/>
          <w:szCs w:val="40"/>
          <w:lang w:val="en-GB"/>
        </w:rPr>
        <w:t xml:space="preserve"> </w:t>
      </w:r>
    </w:p>
    <w:p xmlns:wp14="http://schemas.microsoft.com/office/word/2010/wordml" w:rsidP="571C15D3" wp14:paraId="5245CE23" wp14:textId="39E86005">
      <w:pPr>
        <w:spacing w:before="0" w:beforeAutospacing="off" w:after="0" w:afterAutospacing="off" w:line="360" w:lineRule="auto"/>
        <w:ind w:left="0" w:right="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7FED74DD" w:rsidR="0FE2FC45">
        <w:rPr>
          <w:rFonts w:ascii="Arial" w:hAnsi="Arial" w:eastAsia="Arial" w:cs="Arial"/>
          <w:b w:val="1"/>
          <w:bCs w:val="1"/>
          <w:i w:val="0"/>
          <w:iCs w:val="0"/>
          <w:caps w:val="0"/>
          <w:smallCaps w:val="0"/>
          <w:noProof w:val="0"/>
          <w:color w:val="000000" w:themeColor="text1" w:themeTint="FF" w:themeShade="FF"/>
          <w:sz w:val="36"/>
          <w:szCs w:val="36"/>
          <w:lang w:val="en-GB"/>
        </w:rPr>
        <w:t>Component</w:t>
      </w:r>
      <w:r w:rsidRPr="7FED74DD" w:rsidR="0FE2FC45">
        <w:rPr>
          <w:rFonts w:ascii="Arial" w:hAnsi="Arial" w:eastAsia="Arial" w:cs="Arial"/>
          <w:b w:val="1"/>
          <w:bCs w:val="1"/>
          <w:i w:val="0"/>
          <w:iCs w:val="0"/>
          <w:caps w:val="0"/>
          <w:smallCaps w:val="0"/>
          <w:noProof w:val="0"/>
          <w:color w:val="000000" w:themeColor="text1" w:themeTint="FF" w:themeShade="FF"/>
          <w:sz w:val="36"/>
          <w:szCs w:val="36"/>
          <w:lang w:val="en-GB"/>
        </w:rPr>
        <w:t xml:space="preserve"> 2: Written Assignment (Report)</w:t>
      </w:r>
    </w:p>
    <w:p w:rsidR="22AD6F55" w:rsidP="7FED74DD" w:rsidRDefault="22AD6F55" w14:paraId="68471782" w14:textId="262D2483">
      <w:pPr>
        <w:pStyle w:val="Normal"/>
        <w:suppressLineNumbers w:val="0"/>
        <w:bidi w:val="0"/>
        <w:spacing w:before="0" w:beforeAutospacing="off" w:after="160" w:afterAutospacing="off" w:line="257" w:lineRule="auto"/>
        <w:ind w:left="0" w:right="0"/>
        <w:jc w:val="center"/>
      </w:pPr>
      <w:r w:rsidRPr="7FED74DD" w:rsidR="22AD6F55">
        <w:rPr>
          <w:rFonts w:ascii="Arial" w:hAnsi="Arial" w:eastAsia="Arial" w:cs="Arial"/>
          <w:b w:val="0"/>
          <w:bCs w:val="0"/>
          <w:i w:val="0"/>
          <w:iCs w:val="0"/>
          <w:caps w:val="0"/>
          <w:smallCaps w:val="0"/>
          <w:noProof w:val="0"/>
          <w:color w:val="FF0000"/>
          <w:sz w:val="48"/>
          <w:szCs w:val="48"/>
          <w:lang w:val="en-GB"/>
        </w:rPr>
        <w:t>O</w:t>
      </w:r>
      <w:r w:rsidRPr="7FED74DD" w:rsidR="5056F220">
        <w:rPr>
          <w:rFonts w:ascii="Arial" w:hAnsi="Arial" w:eastAsia="Arial" w:cs="Arial"/>
          <w:b w:val="0"/>
          <w:bCs w:val="0"/>
          <w:i w:val="0"/>
          <w:iCs w:val="0"/>
          <w:caps w:val="0"/>
          <w:smallCaps w:val="0"/>
          <w:noProof w:val="0"/>
          <w:color w:val="FF0000"/>
          <w:sz w:val="48"/>
          <w:szCs w:val="48"/>
          <w:lang w:val="en-GB"/>
        </w:rPr>
        <w:t>C</w:t>
      </w:r>
      <w:r w:rsidRPr="7FED74DD" w:rsidR="22AD6F55">
        <w:rPr>
          <w:rFonts w:ascii="Arial" w:hAnsi="Arial" w:eastAsia="Arial" w:cs="Arial"/>
          <w:b w:val="0"/>
          <w:bCs w:val="0"/>
          <w:i w:val="0"/>
          <w:iCs w:val="0"/>
          <w:caps w:val="0"/>
          <w:smallCaps w:val="0"/>
          <w:noProof w:val="0"/>
          <w:color w:val="FF0000"/>
          <w:sz w:val="48"/>
          <w:szCs w:val="48"/>
          <w:lang w:val="en-GB"/>
        </w:rPr>
        <w:t>D</w:t>
      </w:r>
    </w:p>
    <w:p xmlns:wp14="http://schemas.microsoft.com/office/word/2010/wordml" w:rsidP="7FED74DD" wp14:paraId="3B645318" wp14:textId="2A7F7210">
      <w:pPr>
        <w:pStyle w:val="Normal"/>
        <w:suppressLineNumbers w:val="0"/>
        <w:bidi w:val="0"/>
        <w:spacing w:before="0" w:beforeAutospacing="off" w:after="160" w:afterAutospacing="off" w:line="257" w:lineRule="auto"/>
        <w:ind w:left="0" w:right="0"/>
        <w:jc w:val="center"/>
        <w:rPr>
          <w:rFonts w:ascii="Arial" w:hAnsi="Arial" w:eastAsia="Arial" w:cs="Arial"/>
          <w:b w:val="0"/>
          <w:bCs w:val="0"/>
          <w:i w:val="0"/>
          <w:iCs w:val="0"/>
          <w:caps w:val="0"/>
          <w:smallCaps w:val="0"/>
          <w:noProof w:val="0"/>
          <w:color w:val="FF0000"/>
          <w:sz w:val="48"/>
          <w:szCs w:val="48"/>
          <w:lang w:val="en-GB"/>
        </w:rPr>
      </w:pPr>
      <w:r w:rsidRPr="7FED74DD" w:rsidR="0FE2FC45">
        <w:rPr>
          <w:rFonts w:ascii="Arial" w:hAnsi="Arial" w:eastAsia="Arial" w:cs="Arial"/>
          <w:b w:val="0"/>
          <w:bCs w:val="0"/>
          <w:i w:val="0"/>
          <w:iCs w:val="0"/>
          <w:caps w:val="0"/>
          <w:smallCaps w:val="0"/>
          <w:noProof w:val="0"/>
          <w:color w:val="FF0000"/>
          <w:sz w:val="48"/>
          <w:szCs w:val="48"/>
          <w:lang w:val="en-GB"/>
        </w:rPr>
        <w:t>(</w:t>
      </w:r>
      <w:r w:rsidRPr="7FED74DD" w:rsidR="7FD3DBDD">
        <w:rPr>
          <w:rFonts w:ascii="Arial" w:hAnsi="Arial" w:eastAsia="Arial" w:cs="Arial"/>
          <w:b w:val="0"/>
          <w:bCs w:val="0"/>
          <w:i w:val="0"/>
          <w:iCs w:val="0"/>
          <w:caps w:val="0"/>
          <w:smallCaps w:val="0"/>
          <w:noProof w:val="0"/>
          <w:color w:val="FF0000"/>
          <w:sz w:val="48"/>
          <w:szCs w:val="48"/>
          <w:lang w:val="en-GB"/>
        </w:rPr>
        <w:t>Obsessive</w:t>
      </w:r>
      <w:r w:rsidRPr="7FED74DD" w:rsidR="0ECAA642">
        <w:rPr>
          <w:rFonts w:ascii="Arial" w:hAnsi="Arial" w:eastAsia="Arial" w:cs="Arial"/>
          <w:b w:val="0"/>
          <w:bCs w:val="0"/>
          <w:i w:val="0"/>
          <w:iCs w:val="0"/>
          <w:caps w:val="0"/>
          <w:smallCaps w:val="0"/>
          <w:noProof w:val="0"/>
          <w:color w:val="FF0000"/>
          <w:sz w:val="48"/>
          <w:szCs w:val="48"/>
          <w:lang w:val="en-GB"/>
        </w:rPr>
        <w:t xml:space="preserve"> Compulsive</w:t>
      </w:r>
      <w:r w:rsidRPr="7FED74DD" w:rsidR="0FE2FC45">
        <w:rPr>
          <w:rFonts w:ascii="Arial" w:hAnsi="Arial" w:eastAsia="Arial" w:cs="Arial"/>
          <w:b w:val="0"/>
          <w:bCs w:val="0"/>
          <w:i w:val="0"/>
          <w:iCs w:val="0"/>
          <w:caps w:val="0"/>
          <w:smallCaps w:val="0"/>
          <w:noProof w:val="0"/>
          <w:color w:val="FF0000"/>
          <w:sz w:val="48"/>
          <w:szCs w:val="48"/>
          <w:lang w:val="en-GB"/>
        </w:rPr>
        <w:t xml:space="preserve"> Disorder) </w:t>
      </w:r>
    </w:p>
    <w:p w:rsidR="657C9C28" w:rsidP="7FED74DD" w:rsidRDefault="657C9C28" w14:paraId="3B0416B8" w14:textId="1529217E">
      <w:pPr>
        <w:pStyle w:val="Normal"/>
        <w:suppressLineNumbers w:val="0"/>
        <w:bidi w:val="0"/>
        <w:spacing w:before="93" w:beforeAutospacing="off" w:after="0" w:afterAutospacing="off" w:line="257" w:lineRule="auto"/>
        <w:ind w:left="0" w:right="0"/>
        <w:jc w:val="center"/>
        <w:rPr>
          <w:rFonts w:ascii="Arial" w:hAnsi="Arial" w:eastAsia="Arial" w:cs="Arial"/>
          <w:b w:val="1"/>
          <w:bCs w:val="1"/>
          <w:i w:val="0"/>
          <w:iCs w:val="0"/>
          <w:caps w:val="0"/>
          <w:smallCaps w:val="0"/>
          <w:noProof w:val="0"/>
          <w:color w:val="C00000"/>
          <w:sz w:val="36"/>
          <w:szCs w:val="36"/>
          <w:lang w:val="en-GB"/>
        </w:rPr>
      </w:pPr>
      <w:r w:rsidRPr="7FED74DD" w:rsidR="657C9C28">
        <w:rPr>
          <w:rFonts w:ascii="Arial" w:hAnsi="Arial" w:eastAsia="Arial" w:cs="Arial"/>
          <w:b w:val="1"/>
          <w:bCs w:val="1"/>
          <w:i w:val="0"/>
          <w:iCs w:val="0"/>
          <w:caps w:val="0"/>
          <w:smallCaps w:val="0"/>
          <w:noProof w:val="0"/>
          <w:color w:val="C00000"/>
          <w:sz w:val="36"/>
          <w:szCs w:val="36"/>
          <w:lang w:val="en-GB"/>
        </w:rPr>
        <w:t>A Critical Examination of Obsessive-Compulsive Disorder: Diagnostic Frameworks, Clinical Pathways, and Service Provision within the UK</w:t>
      </w:r>
    </w:p>
    <w:p xmlns:wp14="http://schemas.microsoft.com/office/word/2010/wordml" w:rsidP="571C15D3" wp14:paraId="48C3088D" wp14:textId="41C7334E">
      <w:pPr>
        <w:spacing w:before="93" w:after="0" w:line="257"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571C15D3" wp14:paraId="023BDF57" wp14:textId="29B12E94">
      <w:pPr>
        <w:spacing w:before="93" w:after="0" w:line="257"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571C15D3" w:rsidR="06C331C5">
        <w:rPr>
          <w:rFonts w:ascii="Arial" w:hAnsi="Arial" w:eastAsia="Arial" w:cs="Arial"/>
          <w:b w:val="1"/>
          <w:bCs w:val="1"/>
          <w:i w:val="0"/>
          <w:iCs w:val="0"/>
          <w:caps w:val="0"/>
          <w:smallCaps w:val="0"/>
          <w:noProof w:val="0"/>
          <w:color w:val="000000" w:themeColor="text1" w:themeTint="FF" w:themeShade="FF"/>
          <w:sz w:val="32"/>
          <w:szCs w:val="32"/>
          <w:lang w:val="en-GB"/>
        </w:rPr>
        <w:t>Submission Deadline:</w:t>
      </w:r>
      <w:r w:rsidRPr="571C15D3" w:rsidR="06C331C5">
        <w:rPr>
          <w:rFonts w:ascii="Arial" w:hAnsi="Arial" w:eastAsia="Arial" w:cs="Arial"/>
          <w:b w:val="0"/>
          <w:bCs w:val="0"/>
          <w:i w:val="0"/>
          <w:iCs w:val="0"/>
          <w:caps w:val="0"/>
          <w:smallCaps w:val="0"/>
          <w:noProof w:val="0"/>
          <w:color w:val="000000" w:themeColor="text1" w:themeTint="FF" w:themeShade="FF"/>
          <w:sz w:val="32"/>
          <w:szCs w:val="32"/>
          <w:lang w:val="en-GB"/>
        </w:rPr>
        <w:t xml:space="preserve"> </w:t>
      </w:r>
    </w:p>
    <w:p w:rsidR="52F114B0" w:rsidP="7FED74DD" w:rsidRDefault="52F114B0" w14:paraId="503EF373" w14:textId="5827079C">
      <w:pPr>
        <w:spacing w:before="93" w:beforeAutospacing="off" w:after="0" w:afterAutospacing="off" w:line="257" w:lineRule="auto"/>
        <w:ind w:left="0" w:right="0"/>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7FED74DD" w:rsidR="0FE2FC45">
        <w:rPr>
          <w:rFonts w:ascii="Arial" w:hAnsi="Arial" w:eastAsia="Arial" w:cs="Arial"/>
          <w:b w:val="0"/>
          <w:bCs w:val="0"/>
          <w:i w:val="0"/>
          <w:iCs w:val="0"/>
          <w:caps w:val="0"/>
          <w:smallCaps w:val="0"/>
          <w:noProof w:val="0"/>
          <w:color w:val="000000" w:themeColor="text1" w:themeTint="FF" w:themeShade="FF"/>
          <w:sz w:val="32"/>
          <w:szCs w:val="32"/>
          <w:lang w:val="en-GB"/>
        </w:rPr>
        <w:t>Monday 20</w:t>
      </w:r>
      <w:r w:rsidRPr="7FED74DD" w:rsidR="30A282CC">
        <w:rPr>
          <w:rFonts w:ascii="Arial" w:hAnsi="Arial" w:eastAsia="Arial" w:cs="Arial"/>
          <w:b w:val="0"/>
          <w:bCs w:val="0"/>
          <w:i w:val="0"/>
          <w:iCs w:val="0"/>
          <w:caps w:val="0"/>
          <w:smallCaps w:val="0"/>
          <w:noProof w:val="0"/>
          <w:color w:val="000000" w:themeColor="text1" w:themeTint="FF" w:themeShade="FF"/>
          <w:sz w:val="32"/>
          <w:szCs w:val="32"/>
          <w:vertAlign w:val="superscript"/>
          <w:lang w:val="en-GB"/>
        </w:rPr>
        <w:t>th July</w:t>
      </w:r>
      <w:r w:rsidRPr="7FED74DD" w:rsidR="0FE2FC45">
        <w:rPr>
          <w:rFonts w:ascii="Arial" w:hAnsi="Arial" w:eastAsia="Arial" w:cs="Arial"/>
          <w:b w:val="0"/>
          <w:bCs w:val="0"/>
          <w:i w:val="0"/>
          <w:iCs w:val="0"/>
          <w:caps w:val="0"/>
          <w:smallCaps w:val="0"/>
          <w:noProof w:val="0"/>
          <w:color w:val="000000" w:themeColor="text1" w:themeTint="FF" w:themeShade="FF"/>
          <w:sz w:val="32"/>
          <w:szCs w:val="32"/>
          <w:lang w:val="en-GB"/>
        </w:rPr>
        <w:t xml:space="preserve"> 2026</w:t>
      </w:r>
      <w:r w:rsidRPr="7FED74DD" w:rsidR="20A86D82">
        <w:rPr>
          <w:rFonts w:ascii="Arial" w:hAnsi="Arial" w:eastAsia="Arial" w:cs="Arial"/>
          <w:b w:val="0"/>
          <w:bCs w:val="0"/>
          <w:i w:val="0"/>
          <w:iCs w:val="0"/>
          <w:caps w:val="0"/>
          <w:smallCaps w:val="0"/>
          <w:noProof w:val="0"/>
          <w:color w:val="000000" w:themeColor="text1" w:themeTint="FF" w:themeShade="FF"/>
          <w:sz w:val="32"/>
          <w:szCs w:val="32"/>
          <w:lang w:val="en-GB"/>
        </w:rPr>
        <w:t>, 2PM</w:t>
      </w:r>
    </w:p>
    <w:p w:rsidR="52F114B0" w:rsidP="7FED74DD" w:rsidRDefault="52F114B0" w14:paraId="021DCC39" w14:textId="47B16F0A">
      <w:pPr/>
      <w:r>
        <w:br w:type="page"/>
      </w:r>
    </w:p>
    <w:p w:rsidR="52F114B0" w:rsidP="7FED74DD" w:rsidRDefault="52F114B0" w14:paraId="37766000" w14:textId="334EA1C2">
      <w:pPr>
        <w:pStyle w:val="Normal"/>
        <w:jc w:val="center"/>
      </w:pPr>
      <w:r w:rsidRPr="7FED74DD" w:rsidR="088A6E7B">
        <w:rPr>
          <w:rFonts w:ascii="Arial" w:hAnsi="Arial" w:eastAsia="Arial" w:cs="Arial"/>
          <w:b w:val="1"/>
          <w:bCs w:val="1"/>
          <w:i w:val="0"/>
          <w:iCs w:val="0"/>
          <w:caps w:val="0"/>
          <w:smallCaps w:val="0"/>
          <w:noProof w:val="0"/>
          <w:color w:val="000000" w:themeColor="text1" w:themeTint="FF" w:themeShade="FF"/>
          <w:sz w:val="40"/>
          <w:szCs w:val="40"/>
          <w:lang w:val="en-GB"/>
        </w:rPr>
        <w:t xml:space="preserve">Table of Contents </w:t>
      </w:r>
      <w:r w:rsidRPr="7FED74DD" w:rsidR="088A6E7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FED74DD" w:rsidP="7FED74DD" w:rsidRDefault="7FED74DD" w14:paraId="67263D91" w14:textId="3D242FFA">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7FED74DD" w:rsidP="7FED74DD" w:rsidRDefault="7FED74DD" w14:paraId="0F5A28EA" w14:textId="6018D989">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8370"/>
        <w:gridCol w:w="630"/>
      </w:tblGrid>
      <w:tr w:rsidR="2AD1E4E8" w:rsidTr="7FED74DD" w14:paraId="68797DA5">
        <w:trPr>
          <w:trHeight w:val="285"/>
        </w:trPr>
        <w:tc>
          <w:tcPr>
            <w:tcW w:w="8370" w:type="dxa"/>
            <w:tcBorders>
              <w:top w:val="nil"/>
              <w:left w:val="nil"/>
              <w:bottom w:val="nil"/>
              <w:right w:val="nil"/>
            </w:tcBorders>
            <w:tcMar>
              <w:left w:w="105" w:type="dxa"/>
              <w:right w:w="105" w:type="dxa"/>
            </w:tcMar>
            <w:vAlign w:val="top"/>
          </w:tcPr>
          <w:p w:rsidR="2AD1E4E8" w:rsidP="7FED74DD" w:rsidRDefault="2AD1E4E8" w14:paraId="300F04A0" w14:textId="663E74BC">
            <w:pPr>
              <w:spacing w:line="480" w:lineRule="auto"/>
              <w:rPr>
                <w:rFonts w:ascii="Arial" w:hAnsi="Arial" w:eastAsia="Arial" w:cs="Arial"/>
                <w:b w:val="0"/>
                <w:bCs w:val="0"/>
                <w:i w:val="0"/>
                <w:iCs w:val="0"/>
                <w:sz w:val="22"/>
                <w:szCs w:val="22"/>
              </w:rPr>
            </w:pPr>
            <w:r w:rsidRPr="7FED74DD" w:rsidR="746C083B">
              <w:rPr>
                <w:rFonts w:ascii="Arial" w:hAnsi="Arial" w:eastAsia="Arial" w:cs="Arial"/>
                <w:b w:val="0"/>
                <w:bCs w:val="0"/>
                <w:i w:val="0"/>
                <w:iCs w:val="0"/>
                <w:sz w:val="22"/>
                <w:szCs w:val="22"/>
                <w:lang w:val="en-GB"/>
              </w:rPr>
              <w:t xml:space="preserve">Introduction  </w:t>
            </w:r>
          </w:p>
        </w:tc>
        <w:tc>
          <w:tcPr>
            <w:tcW w:w="630" w:type="dxa"/>
            <w:tcBorders>
              <w:top w:val="nil"/>
              <w:left w:val="nil"/>
              <w:bottom w:val="nil"/>
              <w:right w:val="nil"/>
            </w:tcBorders>
            <w:tcMar>
              <w:left w:w="105" w:type="dxa"/>
              <w:right w:w="105" w:type="dxa"/>
            </w:tcMar>
            <w:vAlign w:val="top"/>
          </w:tcPr>
          <w:p w:rsidR="2AD1E4E8" w:rsidP="7FED74DD" w:rsidRDefault="2AD1E4E8" w14:paraId="571D6E96" w14:textId="5FE886E4">
            <w:pPr>
              <w:spacing w:line="480" w:lineRule="auto"/>
            </w:pPr>
            <w:r w:rsidRPr="7FED74DD" w:rsidR="71006671">
              <w:rPr>
                <w:rFonts w:ascii="Arial" w:hAnsi="Arial" w:eastAsia="Arial" w:cs="Arial"/>
                <w:b w:val="0"/>
                <w:bCs w:val="0"/>
                <w:i w:val="0"/>
                <w:iCs w:val="0"/>
                <w:sz w:val="22"/>
                <w:szCs w:val="22"/>
              </w:rPr>
              <w:t>3</w:t>
            </w:r>
          </w:p>
        </w:tc>
      </w:tr>
      <w:tr w:rsidR="2AD1E4E8" w:rsidTr="7FED74DD" w14:paraId="3670926E">
        <w:trPr>
          <w:trHeight w:val="285"/>
        </w:trPr>
        <w:tc>
          <w:tcPr>
            <w:tcW w:w="8370" w:type="dxa"/>
            <w:tcBorders>
              <w:top w:val="nil"/>
              <w:left w:val="nil"/>
              <w:bottom w:val="nil"/>
              <w:right w:val="nil"/>
            </w:tcBorders>
            <w:tcMar>
              <w:left w:w="105" w:type="dxa"/>
              <w:right w:w="105" w:type="dxa"/>
            </w:tcMar>
            <w:vAlign w:val="top"/>
          </w:tcPr>
          <w:p w:rsidR="2AD1E4E8" w:rsidP="7FED74DD" w:rsidRDefault="2AD1E4E8" w14:paraId="37B30FD0" w14:textId="0513E282">
            <w:pPr>
              <w:spacing w:line="480" w:lineRule="auto"/>
            </w:pPr>
            <w:r w:rsidRPr="7FED74DD" w:rsidR="0CC5BFE1">
              <w:rPr>
                <w:rFonts w:ascii="Arial" w:hAnsi="Arial" w:eastAsia="Arial" w:cs="Arial"/>
                <w:b w:val="0"/>
                <w:bCs w:val="0"/>
                <w:i w:val="0"/>
                <w:iCs w:val="0"/>
                <w:sz w:val="22"/>
                <w:szCs w:val="22"/>
                <w:lang w:val="en-GB"/>
              </w:rPr>
              <w:t xml:space="preserve">Classification and Diagnosis   </w:t>
            </w:r>
          </w:p>
        </w:tc>
        <w:tc>
          <w:tcPr>
            <w:tcW w:w="630" w:type="dxa"/>
            <w:tcBorders>
              <w:top w:val="nil"/>
              <w:left w:val="nil"/>
              <w:bottom w:val="nil"/>
              <w:right w:val="nil"/>
            </w:tcBorders>
            <w:tcMar>
              <w:left w:w="105" w:type="dxa"/>
              <w:right w:w="105" w:type="dxa"/>
            </w:tcMar>
            <w:vAlign w:val="top"/>
          </w:tcPr>
          <w:p w:rsidR="2AD1E4E8" w:rsidP="7FED74DD" w:rsidRDefault="2AD1E4E8" w14:paraId="5314E639" w14:textId="66A78CBD">
            <w:pPr>
              <w:spacing w:line="480" w:lineRule="auto"/>
            </w:pPr>
            <w:r w:rsidRPr="7FED74DD" w:rsidR="76972084">
              <w:rPr>
                <w:rFonts w:ascii="Arial" w:hAnsi="Arial" w:eastAsia="Arial" w:cs="Arial"/>
                <w:b w:val="0"/>
                <w:bCs w:val="0"/>
                <w:i w:val="0"/>
                <w:iCs w:val="0"/>
                <w:sz w:val="22"/>
                <w:szCs w:val="22"/>
                <w:lang w:val="en-GB"/>
              </w:rPr>
              <w:t>4</w:t>
            </w:r>
          </w:p>
        </w:tc>
      </w:tr>
      <w:tr w:rsidR="2AD1E4E8" w:rsidTr="7FED74DD" w14:paraId="1FA04ADA">
        <w:trPr>
          <w:trHeight w:val="300"/>
        </w:trPr>
        <w:tc>
          <w:tcPr>
            <w:tcW w:w="8370" w:type="dxa"/>
            <w:tcBorders>
              <w:top w:val="nil"/>
              <w:left w:val="nil"/>
              <w:bottom w:val="nil"/>
              <w:right w:val="nil"/>
            </w:tcBorders>
            <w:tcMar>
              <w:left w:w="105" w:type="dxa"/>
              <w:right w:w="105" w:type="dxa"/>
            </w:tcMar>
            <w:vAlign w:val="top"/>
          </w:tcPr>
          <w:p w:rsidR="2AD1E4E8" w:rsidP="7FED74DD" w:rsidRDefault="2AD1E4E8" w14:paraId="62E277D7" w14:textId="16F93E0C">
            <w:pPr>
              <w:spacing w:line="480" w:lineRule="auto"/>
            </w:pPr>
            <w:r w:rsidRPr="7FED74DD" w:rsidR="25B50EEE">
              <w:rPr>
                <w:rFonts w:ascii="Arial" w:hAnsi="Arial" w:eastAsia="Arial" w:cs="Arial"/>
                <w:b w:val="0"/>
                <w:bCs w:val="0"/>
                <w:i w:val="0"/>
                <w:iCs w:val="0"/>
                <w:sz w:val="22"/>
                <w:szCs w:val="22"/>
                <w:lang w:val="en-GB"/>
              </w:rPr>
              <w:t xml:space="preserve">Treatment Approaches   </w:t>
            </w:r>
          </w:p>
        </w:tc>
        <w:tc>
          <w:tcPr>
            <w:tcW w:w="630" w:type="dxa"/>
            <w:tcBorders>
              <w:top w:val="nil"/>
              <w:left w:val="nil"/>
              <w:bottom w:val="nil"/>
              <w:right w:val="nil"/>
            </w:tcBorders>
            <w:tcMar>
              <w:left w:w="105" w:type="dxa"/>
              <w:right w:w="105" w:type="dxa"/>
            </w:tcMar>
            <w:vAlign w:val="top"/>
          </w:tcPr>
          <w:p w:rsidR="2AD1E4E8" w:rsidP="7FED74DD" w:rsidRDefault="2AD1E4E8" w14:paraId="73EE28C8" w14:textId="3874B880">
            <w:pPr>
              <w:spacing w:line="480" w:lineRule="auto"/>
            </w:pPr>
            <w:r w:rsidRPr="7FED74DD" w:rsidR="25B50EEE">
              <w:rPr>
                <w:rFonts w:ascii="Arial" w:hAnsi="Arial" w:eastAsia="Arial" w:cs="Arial"/>
                <w:b w:val="0"/>
                <w:bCs w:val="0"/>
                <w:i w:val="0"/>
                <w:iCs w:val="0"/>
                <w:sz w:val="22"/>
                <w:szCs w:val="22"/>
                <w:lang w:val="en-GB"/>
              </w:rPr>
              <w:t>6</w:t>
            </w:r>
          </w:p>
        </w:tc>
      </w:tr>
      <w:tr w:rsidR="2AD1E4E8" w:rsidTr="7FED74DD" w14:paraId="73060069">
        <w:trPr>
          <w:trHeight w:val="285"/>
        </w:trPr>
        <w:tc>
          <w:tcPr>
            <w:tcW w:w="8370" w:type="dxa"/>
            <w:tcBorders>
              <w:top w:val="nil"/>
              <w:left w:val="nil"/>
              <w:bottom w:val="nil"/>
              <w:right w:val="nil"/>
            </w:tcBorders>
            <w:tcMar>
              <w:left w:w="105" w:type="dxa"/>
              <w:right w:w="105" w:type="dxa"/>
            </w:tcMar>
            <w:vAlign w:val="top"/>
          </w:tcPr>
          <w:p w:rsidR="2AD1E4E8" w:rsidP="7FED74DD" w:rsidRDefault="2AD1E4E8" w14:paraId="45F558AB" w14:textId="379F23CB">
            <w:pPr>
              <w:spacing w:line="480" w:lineRule="auto"/>
            </w:pPr>
            <w:r w:rsidRPr="7FED74DD" w:rsidR="7F3F3F2A">
              <w:rPr>
                <w:rFonts w:ascii="Arial" w:hAnsi="Arial" w:eastAsia="Arial" w:cs="Arial"/>
                <w:b w:val="0"/>
                <w:bCs w:val="0"/>
                <w:i w:val="0"/>
                <w:iCs w:val="0"/>
                <w:sz w:val="22"/>
                <w:szCs w:val="22"/>
                <w:lang w:val="en-GB"/>
              </w:rPr>
              <w:t xml:space="preserve">Rehabilitation &amp; Long-Term Management  </w:t>
            </w:r>
          </w:p>
        </w:tc>
        <w:tc>
          <w:tcPr>
            <w:tcW w:w="630" w:type="dxa"/>
            <w:tcBorders>
              <w:top w:val="nil"/>
              <w:left w:val="nil"/>
              <w:bottom w:val="nil"/>
              <w:right w:val="nil"/>
            </w:tcBorders>
            <w:tcMar>
              <w:left w:w="105" w:type="dxa"/>
              <w:right w:w="105" w:type="dxa"/>
            </w:tcMar>
            <w:vAlign w:val="top"/>
          </w:tcPr>
          <w:p w:rsidR="2AD1E4E8" w:rsidP="7FED74DD" w:rsidRDefault="2AD1E4E8" w14:paraId="243C2580" w14:textId="55C349EE">
            <w:pPr>
              <w:spacing w:line="480" w:lineRule="auto"/>
            </w:pPr>
            <w:r w:rsidRPr="7FED74DD" w:rsidR="7F3F3F2A">
              <w:rPr>
                <w:rFonts w:ascii="Arial" w:hAnsi="Arial" w:eastAsia="Arial" w:cs="Arial"/>
                <w:b w:val="0"/>
                <w:bCs w:val="0"/>
                <w:i w:val="0"/>
                <w:iCs w:val="0"/>
                <w:sz w:val="22"/>
                <w:szCs w:val="22"/>
                <w:lang w:val="en-GB"/>
              </w:rPr>
              <w:t>8</w:t>
            </w:r>
          </w:p>
        </w:tc>
      </w:tr>
      <w:tr w:rsidR="2AD1E4E8" w:rsidTr="7FED74DD" w14:paraId="0081B1CF">
        <w:trPr>
          <w:trHeight w:val="285"/>
        </w:trPr>
        <w:tc>
          <w:tcPr>
            <w:tcW w:w="8370" w:type="dxa"/>
            <w:tcBorders>
              <w:top w:val="nil"/>
              <w:left w:val="nil"/>
              <w:bottom w:val="nil"/>
              <w:right w:val="nil"/>
            </w:tcBorders>
            <w:tcMar>
              <w:left w:w="105" w:type="dxa"/>
              <w:right w:w="105" w:type="dxa"/>
            </w:tcMar>
            <w:vAlign w:val="top"/>
          </w:tcPr>
          <w:p w:rsidR="2AD1E4E8" w:rsidP="7FED74DD" w:rsidRDefault="2AD1E4E8" w14:paraId="241589E9" w14:textId="782D166F">
            <w:pPr>
              <w:spacing w:line="480" w:lineRule="auto"/>
            </w:pPr>
            <w:r w:rsidRPr="7FED74DD" w:rsidR="7F3F3F2A">
              <w:rPr>
                <w:rFonts w:ascii="Arial" w:hAnsi="Arial" w:eastAsia="Arial" w:cs="Arial"/>
                <w:b w:val="0"/>
                <w:bCs w:val="0"/>
                <w:i w:val="0"/>
                <w:iCs w:val="0"/>
                <w:sz w:val="22"/>
                <w:szCs w:val="22"/>
                <w:lang w:val="en-GB"/>
              </w:rPr>
              <w:t xml:space="preserve">Current Debates, Policy &amp; Statistical Evidence  </w:t>
            </w:r>
          </w:p>
        </w:tc>
        <w:tc>
          <w:tcPr>
            <w:tcW w:w="630" w:type="dxa"/>
            <w:tcBorders>
              <w:top w:val="nil"/>
              <w:left w:val="nil"/>
              <w:bottom w:val="nil"/>
              <w:right w:val="nil"/>
            </w:tcBorders>
            <w:tcMar>
              <w:left w:w="105" w:type="dxa"/>
              <w:right w:w="105" w:type="dxa"/>
            </w:tcMar>
            <w:vAlign w:val="top"/>
          </w:tcPr>
          <w:p w:rsidR="2AD1E4E8" w:rsidP="7FED74DD" w:rsidRDefault="2AD1E4E8" w14:paraId="220BEB6E" w14:textId="211AA714">
            <w:pPr>
              <w:spacing w:line="480" w:lineRule="auto"/>
              <w:rPr>
                <w:rFonts w:ascii="Arial" w:hAnsi="Arial" w:eastAsia="Arial" w:cs="Arial"/>
                <w:b w:val="0"/>
                <w:bCs w:val="0"/>
                <w:i w:val="0"/>
                <w:iCs w:val="0"/>
                <w:sz w:val="22"/>
                <w:szCs w:val="22"/>
                <w:lang w:val="en-GB"/>
              </w:rPr>
            </w:pPr>
          </w:p>
        </w:tc>
      </w:tr>
      <w:tr w:rsidR="2AD1E4E8" w:rsidTr="7FED74DD" w14:paraId="57B3ED0A">
        <w:trPr>
          <w:trHeight w:val="285"/>
        </w:trPr>
        <w:tc>
          <w:tcPr>
            <w:tcW w:w="8370" w:type="dxa"/>
            <w:tcBorders>
              <w:top w:val="nil"/>
              <w:left w:val="nil"/>
              <w:bottom w:val="nil"/>
              <w:right w:val="nil"/>
            </w:tcBorders>
            <w:tcMar>
              <w:left w:w="105" w:type="dxa"/>
              <w:right w:w="105" w:type="dxa"/>
            </w:tcMar>
            <w:vAlign w:val="top"/>
          </w:tcPr>
          <w:p w:rsidR="2AD1E4E8" w:rsidP="7FED74DD" w:rsidRDefault="2AD1E4E8" w14:paraId="05140C8D" w14:textId="7AD89799">
            <w:pPr>
              <w:spacing w:line="480" w:lineRule="auto"/>
            </w:pPr>
            <w:r w:rsidRPr="7FED74DD" w:rsidR="7F3F3F2A">
              <w:rPr>
                <w:rFonts w:ascii="Arial" w:hAnsi="Arial" w:eastAsia="Arial" w:cs="Arial"/>
                <w:b w:val="0"/>
                <w:bCs w:val="0"/>
                <w:i w:val="0"/>
                <w:iCs w:val="0"/>
                <w:sz w:val="22"/>
                <w:szCs w:val="22"/>
                <w:lang w:val="en-GB"/>
              </w:rPr>
              <w:t xml:space="preserve">     Current Debates &amp; Emerging Issues  </w:t>
            </w:r>
          </w:p>
        </w:tc>
        <w:tc>
          <w:tcPr>
            <w:tcW w:w="630" w:type="dxa"/>
            <w:tcBorders>
              <w:top w:val="nil"/>
              <w:left w:val="nil"/>
              <w:bottom w:val="nil"/>
              <w:right w:val="nil"/>
            </w:tcBorders>
            <w:tcMar>
              <w:left w:w="105" w:type="dxa"/>
              <w:right w:w="105" w:type="dxa"/>
            </w:tcMar>
            <w:vAlign w:val="top"/>
          </w:tcPr>
          <w:p w:rsidR="2AD1E4E8" w:rsidP="7FED74DD" w:rsidRDefault="2AD1E4E8" w14:paraId="433611F7" w14:textId="5D8F6AC6">
            <w:pPr>
              <w:spacing w:line="480" w:lineRule="auto"/>
            </w:pPr>
            <w:r w:rsidRPr="7FED74DD" w:rsidR="7F3F3F2A">
              <w:rPr>
                <w:rFonts w:ascii="Arial" w:hAnsi="Arial" w:eastAsia="Arial" w:cs="Arial"/>
                <w:b w:val="0"/>
                <w:bCs w:val="0"/>
                <w:i w:val="0"/>
                <w:iCs w:val="0"/>
                <w:sz w:val="22"/>
                <w:szCs w:val="22"/>
                <w:lang w:val="en-GB"/>
              </w:rPr>
              <w:t>9</w:t>
            </w:r>
          </w:p>
        </w:tc>
      </w:tr>
      <w:tr w:rsidR="2AD1E4E8" w:rsidTr="7FED74DD" w14:paraId="707B8CE4">
        <w:trPr>
          <w:trHeight w:val="285"/>
        </w:trPr>
        <w:tc>
          <w:tcPr>
            <w:tcW w:w="8370" w:type="dxa"/>
            <w:tcBorders>
              <w:top w:val="nil"/>
              <w:left w:val="nil"/>
              <w:bottom w:val="nil"/>
              <w:right w:val="nil"/>
            </w:tcBorders>
            <w:tcMar>
              <w:left w:w="105" w:type="dxa"/>
              <w:right w:w="105" w:type="dxa"/>
            </w:tcMar>
            <w:vAlign w:val="top"/>
          </w:tcPr>
          <w:p w:rsidR="2AD1E4E8" w:rsidP="7FED74DD" w:rsidRDefault="2AD1E4E8" w14:paraId="0B55036E" w14:textId="45068E51">
            <w:pPr>
              <w:pStyle w:val="Normal"/>
              <w:suppressLineNumbers w:val="0"/>
              <w:bidi w:val="0"/>
              <w:spacing w:before="0" w:beforeAutospacing="off" w:after="0" w:afterAutospacing="off" w:line="480" w:lineRule="auto"/>
              <w:ind w:left="0" w:right="0"/>
              <w:jc w:val="left"/>
            </w:pPr>
            <w:r w:rsidRPr="7FED74DD" w:rsidR="746C083B">
              <w:rPr>
                <w:rFonts w:ascii="Arial" w:hAnsi="Arial" w:eastAsia="Arial" w:cs="Arial"/>
                <w:b w:val="0"/>
                <w:bCs w:val="0"/>
                <w:i w:val="0"/>
                <w:iCs w:val="0"/>
                <w:sz w:val="22"/>
                <w:szCs w:val="22"/>
                <w:lang w:val="en-GB"/>
              </w:rPr>
              <w:t xml:space="preserve">  </w:t>
            </w:r>
            <w:r w:rsidRPr="7FED74DD" w:rsidR="0E848312">
              <w:rPr>
                <w:rFonts w:ascii="Arial" w:hAnsi="Arial" w:eastAsia="Arial" w:cs="Arial"/>
                <w:b w:val="0"/>
                <w:bCs w:val="0"/>
                <w:i w:val="0"/>
                <w:iCs w:val="0"/>
                <w:sz w:val="22"/>
                <w:szCs w:val="22"/>
                <w:lang w:val="en-GB"/>
              </w:rPr>
              <w:t xml:space="preserve">  </w:t>
            </w:r>
            <w:r w:rsidRPr="7FED74DD" w:rsidR="06A70BFE">
              <w:rPr>
                <w:rFonts w:ascii="Arial" w:hAnsi="Arial" w:eastAsia="Arial" w:cs="Arial"/>
                <w:b w:val="0"/>
                <w:bCs w:val="0"/>
                <w:i w:val="0"/>
                <w:iCs w:val="0"/>
                <w:sz w:val="22"/>
                <w:szCs w:val="22"/>
                <w:lang w:val="en-GB"/>
              </w:rPr>
              <w:t xml:space="preserve"> </w:t>
            </w:r>
            <w:r w:rsidRPr="7FED74DD" w:rsidR="3E98875A">
              <w:rPr>
                <w:rFonts w:ascii="Arial" w:hAnsi="Arial" w:eastAsia="Arial" w:cs="Arial"/>
                <w:b w:val="0"/>
                <w:bCs w:val="0"/>
                <w:i w:val="0"/>
                <w:iCs w:val="0"/>
                <w:sz w:val="22"/>
                <w:szCs w:val="22"/>
                <w:lang w:val="en-GB"/>
              </w:rPr>
              <w:t>Policy a Legal Framework</w:t>
            </w:r>
          </w:p>
        </w:tc>
        <w:tc>
          <w:tcPr>
            <w:tcW w:w="630" w:type="dxa"/>
            <w:tcBorders>
              <w:top w:val="nil"/>
              <w:left w:val="nil"/>
              <w:bottom w:val="nil"/>
              <w:right w:val="nil"/>
            </w:tcBorders>
            <w:tcMar>
              <w:left w:w="105" w:type="dxa"/>
              <w:right w:w="105" w:type="dxa"/>
            </w:tcMar>
            <w:vAlign w:val="top"/>
          </w:tcPr>
          <w:p w:rsidR="2AD1E4E8" w:rsidP="7FED74DD" w:rsidRDefault="2AD1E4E8" w14:paraId="5DF4A880" w14:textId="4D2A17B2">
            <w:pPr>
              <w:spacing w:line="480" w:lineRule="auto"/>
            </w:pPr>
            <w:r w:rsidRPr="7FED74DD" w:rsidR="3E98875A">
              <w:rPr>
                <w:rFonts w:ascii="Arial" w:hAnsi="Arial" w:eastAsia="Arial" w:cs="Arial"/>
                <w:b w:val="0"/>
                <w:bCs w:val="0"/>
                <w:i w:val="0"/>
                <w:iCs w:val="0"/>
                <w:sz w:val="22"/>
                <w:szCs w:val="22"/>
              </w:rPr>
              <w:t>10</w:t>
            </w:r>
          </w:p>
        </w:tc>
      </w:tr>
      <w:tr w:rsidR="2AD1E4E8" w:rsidTr="7FED74DD" w14:paraId="1CDB7C20">
        <w:trPr>
          <w:trHeight w:val="285"/>
        </w:trPr>
        <w:tc>
          <w:tcPr>
            <w:tcW w:w="8370" w:type="dxa"/>
            <w:tcBorders>
              <w:top w:val="nil"/>
              <w:left w:val="nil"/>
              <w:bottom w:val="nil"/>
              <w:right w:val="nil"/>
            </w:tcBorders>
            <w:tcMar>
              <w:left w:w="105" w:type="dxa"/>
              <w:right w:w="105" w:type="dxa"/>
            </w:tcMar>
            <w:vAlign w:val="top"/>
          </w:tcPr>
          <w:p w:rsidR="2AD1E4E8" w:rsidP="7FED74DD" w:rsidRDefault="2AD1E4E8" w14:paraId="0223767A" w14:textId="5D42E51D">
            <w:pPr>
              <w:spacing w:before="0" w:beforeAutospacing="off" w:after="0" w:afterAutospacing="off" w:line="480" w:lineRule="auto"/>
              <w:ind w:left="0" w:right="0"/>
              <w:jc w:val="left"/>
              <w:rPr>
                <w:rFonts w:ascii="Arial" w:hAnsi="Arial" w:eastAsia="Arial" w:cs="Arial"/>
                <w:b w:val="0"/>
                <w:bCs w:val="0"/>
                <w:i w:val="0"/>
                <w:iCs w:val="0"/>
                <w:sz w:val="22"/>
                <w:szCs w:val="22"/>
                <w:lang w:val="en-GB"/>
              </w:rPr>
            </w:pPr>
            <w:r w:rsidRPr="7FED74DD" w:rsidR="746C083B">
              <w:rPr>
                <w:rFonts w:ascii="Arial" w:hAnsi="Arial" w:eastAsia="Arial" w:cs="Arial"/>
                <w:b w:val="0"/>
                <w:bCs w:val="0"/>
                <w:i w:val="0"/>
                <w:iCs w:val="0"/>
                <w:sz w:val="22"/>
                <w:szCs w:val="22"/>
                <w:lang w:val="en-GB"/>
              </w:rPr>
              <w:t xml:space="preserve"> </w:t>
            </w:r>
            <w:r w:rsidRPr="7FED74DD" w:rsidR="6D1BE5B0">
              <w:rPr>
                <w:rFonts w:ascii="Arial" w:hAnsi="Arial" w:eastAsia="Arial" w:cs="Arial"/>
                <w:b w:val="0"/>
                <w:bCs w:val="0"/>
                <w:i w:val="0"/>
                <w:iCs w:val="0"/>
                <w:sz w:val="22"/>
                <w:szCs w:val="22"/>
                <w:lang w:val="en-GB"/>
              </w:rPr>
              <w:t xml:space="preserve">              Table 1: UK Legislative Framework for Mental Health </w:t>
            </w:r>
            <w:r w:rsidRPr="7FED74DD" w:rsidR="2E0E423F">
              <w:rPr>
                <w:rFonts w:ascii="Arial" w:hAnsi="Arial" w:eastAsia="Arial" w:cs="Arial"/>
                <w:b w:val="0"/>
                <w:bCs w:val="0"/>
                <w:i w:val="0"/>
                <w:iCs w:val="0"/>
                <w:sz w:val="22"/>
                <w:szCs w:val="22"/>
                <w:lang w:val="en-GB"/>
              </w:rPr>
              <w:t>Care</w:t>
            </w:r>
          </w:p>
        </w:tc>
        <w:tc>
          <w:tcPr>
            <w:tcW w:w="630" w:type="dxa"/>
            <w:tcBorders>
              <w:top w:val="nil"/>
              <w:left w:val="nil"/>
              <w:bottom w:val="nil"/>
              <w:right w:val="nil"/>
            </w:tcBorders>
            <w:tcMar>
              <w:left w:w="105" w:type="dxa"/>
              <w:right w:w="105" w:type="dxa"/>
            </w:tcMar>
            <w:vAlign w:val="top"/>
          </w:tcPr>
          <w:p w:rsidR="2AD1E4E8" w:rsidP="7FED74DD" w:rsidRDefault="2AD1E4E8" w14:paraId="7C201683" w14:textId="4B8D9714">
            <w:pPr>
              <w:spacing w:line="480" w:lineRule="auto"/>
            </w:pPr>
            <w:r w:rsidRPr="7FED74DD" w:rsidR="7137C35C">
              <w:rPr>
                <w:rFonts w:ascii="Arial" w:hAnsi="Arial" w:eastAsia="Arial" w:cs="Arial"/>
                <w:b w:val="0"/>
                <w:bCs w:val="0"/>
                <w:i w:val="0"/>
                <w:iCs w:val="0"/>
                <w:sz w:val="22"/>
                <w:szCs w:val="22"/>
                <w:lang w:val="en-GB"/>
              </w:rPr>
              <w:t>10</w:t>
            </w:r>
          </w:p>
        </w:tc>
      </w:tr>
      <w:tr w:rsidR="2AD1E4E8" w:rsidTr="7FED74DD" w14:paraId="365BC0B4">
        <w:trPr>
          <w:trHeight w:val="285"/>
        </w:trPr>
        <w:tc>
          <w:tcPr>
            <w:tcW w:w="8370" w:type="dxa"/>
            <w:tcBorders>
              <w:top w:val="nil"/>
              <w:left w:val="nil"/>
              <w:bottom w:val="nil"/>
              <w:right w:val="nil"/>
            </w:tcBorders>
            <w:tcMar>
              <w:left w:w="105" w:type="dxa"/>
              <w:right w:w="105" w:type="dxa"/>
            </w:tcMar>
            <w:vAlign w:val="top"/>
          </w:tcPr>
          <w:p w:rsidR="2AD1E4E8" w:rsidP="7FED74DD" w:rsidRDefault="2AD1E4E8" w14:paraId="1F346CB2" w14:textId="162E386C">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sz w:val="22"/>
                <w:szCs w:val="22"/>
              </w:rPr>
            </w:pPr>
            <w:r w:rsidRPr="7FED74DD" w:rsidR="403AE7C8">
              <w:rPr>
                <w:rFonts w:ascii="Arial" w:hAnsi="Arial" w:eastAsia="Arial" w:cs="Arial"/>
                <w:b w:val="0"/>
                <w:bCs w:val="0"/>
                <w:i w:val="0"/>
                <w:iCs w:val="0"/>
                <w:sz w:val="22"/>
                <w:szCs w:val="22"/>
                <w:lang w:val="en-GB"/>
              </w:rPr>
              <w:t xml:space="preserve">     </w:t>
            </w:r>
            <w:r w:rsidRPr="7FED74DD" w:rsidR="015C50E4">
              <w:rPr>
                <w:rFonts w:ascii="Arial" w:hAnsi="Arial" w:eastAsia="Arial" w:cs="Arial"/>
                <w:b w:val="0"/>
                <w:bCs w:val="0"/>
                <w:i w:val="0"/>
                <w:iCs w:val="0"/>
                <w:sz w:val="22"/>
                <w:szCs w:val="22"/>
                <w:lang w:val="en-GB"/>
              </w:rPr>
              <w:t>UK Data &amp; Statistical Evidence</w:t>
            </w:r>
            <w:r w:rsidRPr="7FED74DD" w:rsidR="746C083B">
              <w:rPr>
                <w:rFonts w:ascii="Arial" w:hAnsi="Arial" w:eastAsia="Arial" w:cs="Arial"/>
                <w:b w:val="0"/>
                <w:bCs w:val="0"/>
                <w:i w:val="0"/>
                <w:iCs w:val="0"/>
                <w:sz w:val="22"/>
                <w:szCs w:val="22"/>
                <w:lang w:val="en-GB"/>
              </w:rPr>
              <w:t xml:space="preserve">  </w:t>
            </w:r>
          </w:p>
          <w:p w:rsidR="2AD1E4E8" w:rsidP="7FED74DD" w:rsidRDefault="2AD1E4E8" w14:paraId="64C45349" w14:textId="72D9E627">
            <w:pPr>
              <w:spacing w:line="480" w:lineRule="auto"/>
            </w:pPr>
            <w:r w:rsidRPr="7FED74DD" w:rsidR="76089F7C">
              <w:rPr>
                <w:rFonts w:ascii="Arial" w:hAnsi="Arial" w:eastAsia="Arial" w:cs="Arial"/>
                <w:b w:val="0"/>
                <w:bCs w:val="0"/>
                <w:i w:val="0"/>
                <w:iCs w:val="0"/>
                <w:sz w:val="22"/>
                <w:szCs w:val="22"/>
                <w:lang w:val="en-GB"/>
              </w:rPr>
              <w:t xml:space="preserve">               Table 2: UK Data Sources and Their Relevance to OCD Analysis  </w:t>
            </w:r>
          </w:p>
        </w:tc>
        <w:tc>
          <w:tcPr>
            <w:tcW w:w="630" w:type="dxa"/>
            <w:tcBorders>
              <w:top w:val="nil"/>
              <w:left w:val="nil"/>
              <w:bottom w:val="nil"/>
              <w:right w:val="nil"/>
            </w:tcBorders>
            <w:tcMar>
              <w:left w:w="105" w:type="dxa"/>
              <w:right w:w="105" w:type="dxa"/>
            </w:tcMar>
            <w:vAlign w:val="top"/>
          </w:tcPr>
          <w:p w:rsidR="2AD1E4E8" w:rsidP="7FED74DD" w:rsidRDefault="2AD1E4E8" w14:paraId="73A47E56" w14:textId="7B0963A4">
            <w:pPr>
              <w:spacing w:line="480" w:lineRule="auto"/>
            </w:pPr>
            <w:r w:rsidRPr="7FED74DD" w:rsidR="025983B8">
              <w:rPr>
                <w:rFonts w:ascii="Arial" w:hAnsi="Arial" w:eastAsia="Arial" w:cs="Arial"/>
                <w:b w:val="0"/>
                <w:bCs w:val="0"/>
                <w:i w:val="0"/>
                <w:iCs w:val="0"/>
                <w:sz w:val="22"/>
                <w:szCs w:val="22"/>
              </w:rPr>
              <w:t>11</w:t>
            </w:r>
          </w:p>
          <w:p w:rsidR="2AD1E4E8" w:rsidP="7FED74DD" w:rsidRDefault="2AD1E4E8" w14:paraId="5E3F3216" w14:textId="0D43A5A0">
            <w:pPr>
              <w:spacing w:line="480" w:lineRule="auto"/>
            </w:pPr>
            <w:r w:rsidRPr="7FED74DD" w:rsidR="188DC973">
              <w:rPr>
                <w:rFonts w:ascii="Arial" w:hAnsi="Arial" w:eastAsia="Arial" w:cs="Arial"/>
                <w:b w:val="0"/>
                <w:bCs w:val="0"/>
                <w:i w:val="0"/>
                <w:iCs w:val="0"/>
                <w:sz w:val="22"/>
                <w:szCs w:val="22"/>
                <w:lang w:val="en-GB"/>
              </w:rPr>
              <w:t>1</w:t>
            </w:r>
            <w:r w:rsidRPr="7FED74DD" w:rsidR="504F877C">
              <w:rPr>
                <w:rFonts w:ascii="Arial" w:hAnsi="Arial" w:eastAsia="Arial" w:cs="Arial"/>
                <w:b w:val="0"/>
                <w:bCs w:val="0"/>
                <w:i w:val="0"/>
                <w:iCs w:val="0"/>
                <w:sz w:val="22"/>
                <w:szCs w:val="22"/>
                <w:lang w:val="en-GB"/>
              </w:rPr>
              <w:t>1</w:t>
            </w:r>
          </w:p>
        </w:tc>
      </w:tr>
      <w:tr w:rsidR="2AD1E4E8" w:rsidTr="7FED74DD" w14:paraId="096EB4F6">
        <w:trPr>
          <w:trHeight w:val="285"/>
        </w:trPr>
        <w:tc>
          <w:tcPr>
            <w:tcW w:w="8370" w:type="dxa"/>
            <w:tcBorders>
              <w:top w:val="nil"/>
              <w:left w:val="nil"/>
              <w:bottom w:val="nil"/>
              <w:right w:val="nil"/>
            </w:tcBorders>
            <w:tcMar>
              <w:left w:w="105" w:type="dxa"/>
              <w:right w:w="105" w:type="dxa"/>
            </w:tcMar>
            <w:vAlign w:val="top"/>
          </w:tcPr>
          <w:p w:rsidR="2AD1E4E8" w:rsidP="7FED74DD" w:rsidRDefault="2AD1E4E8" w14:paraId="0DF35384" w14:textId="5FC73AB0">
            <w:pPr>
              <w:spacing w:before="0" w:beforeAutospacing="off" w:after="0" w:afterAutospacing="off" w:line="480" w:lineRule="auto"/>
              <w:ind w:left="0" w:right="0"/>
              <w:jc w:val="left"/>
            </w:pPr>
            <w:r w:rsidRPr="7FED74DD" w:rsidR="21C553CA">
              <w:rPr>
                <w:rFonts w:ascii="Arial" w:hAnsi="Arial" w:eastAsia="Arial" w:cs="Arial"/>
                <w:b w:val="0"/>
                <w:bCs w:val="0"/>
                <w:i w:val="0"/>
                <w:iCs w:val="0"/>
                <w:sz w:val="22"/>
                <w:szCs w:val="22"/>
                <w:lang w:val="en-GB"/>
              </w:rPr>
              <w:t xml:space="preserve">Recommendations   </w:t>
            </w:r>
          </w:p>
        </w:tc>
        <w:tc>
          <w:tcPr>
            <w:tcW w:w="630" w:type="dxa"/>
            <w:tcBorders>
              <w:top w:val="nil"/>
              <w:left w:val="nil"/>
              <w:bottom w:val="nil"/>
              <w:right w:val="nil"/>
            </w:tcBorders>
            <w:tcMar>
              <w:left w:w="105" w:type="dxa"/>
              <w:right w:w="105" w:type="dxa"/>
            </w:tcMar>
            <w:vAlign w:val="top"/>
          </w:tcPr>
          <w:p w:rsidR="2AD1E4E8" w:rsidP="7FED74DD" w:rsidRDefault="2AD1E4E8" w14:paraId="00214310" w14:textId="3594E3C2">
            <w:pPr>
              <w:spacing w:line="480" w:lineRule="auto"/>
              <w:rPr>
                <w:rFonts w:ascii="Arial" w:hAnsi="Arial" w:eastAsia="Arial" w:cs="Arial"/>
                <w:b w:val="0"/>
                <w:bCs w:val="0"/>
                <w:i w:val="0"/>
                <w:iCs w:val="0"/>
                <w:sz w:val="22"/>
                <w:szCs w:val="22"/>
                <w:lang w:val="en-GB"/>
              </w:rPr>
            </w:pPr>
            <w:r w:rsidRPr="7FED74DD" w:rsidR="746C083B">
              <w:rPr>
                <w:rFonts w:ascii="Arial" w:hAnsi="Arial" w:eastAsia="Arial" w:cs="Arial"/>
                <w:b w:val="0"/>
                <w:bCs w:val="0"/>
                <w:i w:val="0"/>
                <w:iCs w:val="0"/>
                <w:sz w:val="22"/>
                <w:szCs w:val="22"/>
                <w:lang w:val="en-GB"/>
              </w:rPr>
              <w:t>1</w:t>
            </w:r>
            <w:r w:rsidRPr="7FED74DD" w:rsidR="74340593">
              <w:rPr>
                <w:rFonts w:ascii="Arial" w:hAnsi="Arial" w:eastAsia="Arial" w:cs="Arial"/>
                <w:b w:val="0"/>
                <w:bCs w:val="0"/>
                <w:i w:val="0"/>
                <w:iCs w:val="0"/>
                <w:sz w:val="22"/>
                <w:szCs w:val="22"/>
                <w:lang w:val="en-GB"/>
              </w:rPr>
              <w:t>2</w:t>
            </w:r>
          </w:p>
        </w:tc>
      </w:tr>
      <w:tr w:rsidR="2AD1E4E8" w:rsidTr="7FED74DD" w14:paraId="68F49360">
        <w:trPr>
          <w:trHeight w:val="285"/>
        </w:trPr>
        <w:tc>
          <w:tcPr>
            <w:tcW w:w="8370" w:type="dxa"/>
            <w:tcBorders>
              <w:top w:val="nil"/>
              <w:left w:val="nil"/>
              <w:bottom w:val="nil"/>
              <w:right w:val="nil"/>
            </w:tcBorders>
            <w:tcMar>
              <w:left w:w="105" w:type="dxa"/>
              <w:right w:w="105" w:type="dxa"/>
            </w:tcMar>
            <w:vAlign w:val="top"/>
          </w:tcPr>
          <w:p w:rsidR="2AD1E4E8" w:rsidP="7FED74DD" w:rsidRDefault="2AD1E4E8" w14:paraId="6245FD75" w14:textId="3214DFC6">
            <w:pPr>
              <w:pStyle w:val="Normal"/>
              <w:suppressLineNumbers w:val="0"/>
              <w:bidi w:val="0"/>
              <w:spacing w:before="0" w:beforeAutospacing="off" w:after="0" w:afterAutospacing="off" w:line="480" w:lineRule="auto"/>
              <w:ind w:left="0" w:right="0"/>
              <w:jc w:val="left"/>
            </w:pPr>
            <w:r w:rsidRPr="7FED74DD" w:rsidR="46062B46">
              <w:rPr>
                <w:rFonts w:ascii="Arial" w:hAnsi="Arial" w:eastAsia="Arial" w:cs="Arial"/>
                <w:b w:val="0"/>
                <w:bCs w:val="0"/>
                <w:i w:val="0"/>
                <w:iCs w:val="0"/>
                <w:sz w:val="22"/>
                <w:szCs w:val="22"/>
                <w:lang w:val="en-GB"/>
              </w:rPr>
              <w:t>Conclusion</w:t>
            </w:r>
          </w:p>
        </w:tc>
        <w:tc>
          <w:tcPr>
            <w:tcW w:w="630" w:type="dxa"/>
            <w:tcBorders>
              <w:top w:val="nil"/>
              <w:left w:val="nil"/>
              <w:bottom w:val="nil"/>
              <w:right w:val="nil"/>
            </w:tcBorders>
            <w:tcMar>
              <w:left w:w="105" w:type="dxa"/>
              <w:right w:w="105" w:type="dxa"/>
            </w:tcMar>
            <w:vAlign w:val="top"/>
          </w:tcPr>
          <w:p w:rsidR="2AD1E4E8" w:rsidP="7FED74DD" w:rsidRDefault="2AD1E4E8" w14:paraId="6B1021C2" w14:textId="273AF113">
            <w:pPr>
              <w:spacing w:line="480" w:lineRule="auto"/>
            </w:pPr>
            <w:r w:rsidRPr="7FED74DD" w:rsidR="26A7E00B">
              <w:rPr>
                <w:rFonts w:ascii="Arial" w:hAnsi="Arial" w:eastAsia="Arial" w:cs="Arial"/>
                <w:b w:val="0"/>
                <w:bCs w:val="0"/>
                <w:i w:val="0"/>
                <w:iCs w:val="0"/>
                <w:sz w:val="22"/>
                <w:szCs w:val="22"/>
              </w:rPr>
              <w:t>13</w:t>
            </w:r>
          </w:p>
        </w:tc>
      </w:tr>
      <w:tr w:rsidR="2AD1E4E8" w:rsidTr="7FED74DD" w14:paraId="56A8D829">
        <w:trPr>
          <w:trHeight w:val="285"/>
        </w:trPr>
        <w:tc>
          <w:tcPr>
            <w:tcW w:w="8370" w:type="dxa"/>
            <w:tcBorders>
              <w:top w:val="nil"/>
              <w:left w:val="nil"/>
              <w:bottom w:val="nil"/>
              <w:right w:val="nil"/>
            </w:tcBorders>
            <w:tcMar>
              <w:left w:w="105" w:type="dxa"/>
              <w:right w:w="105" w:type="dxa"/>
            </w:tcMar>
            <w:vAlign w:val="top"/>
          </w:tcPr>
          <w:p w:rsidR="2AD1E4E8" w:rsidP="7FED74DD" w:rsidRDefault="2AD1E4E8" w14:paraId="634FCAAD" w14:textId="36B7D0D5">
            <w:pPr>
              <w:pStyle w:val="Normal"/>
              <w:suppressLineNumbers w:val="0"/>
              <w:bidi w:val="0"/>
              <w:spacing w:before="0" w:beforeAutospacing="off" w:after="0" w:afterAutospacing="off" w:line="480" w:lineRule="auto"/>
              <w:ind w:left="0" w:right="0"/>
              <w:jc w:val="left"/>
            </w:pPr>
            <w:r w:rsidRPr="7FED74DD" w:rsidR="5A0C7E83">
              <w:rPr>
                <w:rFonts w:ascii="Arial" w:hAnsi="Arial" w:eastAsia="Arial" w:cs="Arial"/>
                <w:b w:val="0"/>
                <w:bCs w:val="0"/>
                <w:i w:val="0"/>
                <w:iCs w:val="0"/>
                <w:sz w:val="22"/>
                <w:szCs w:val="22"/>
                <w:lang w:val="en-GB"/>
              </w:rPr>
              <w:t>Reference List</w:t>
            </w:r>
          </w:p>
        </w:tc>
        <w:tc>
          <w:tcPr>
            <w:tcW w:w="630" w:type="dxa"/>
            <w:tcBorders>
              <w:top w:val="nil"/>
              <w:left w:val="nil"/>
              <w:bottom w:val="nil"/>
              <w:right w:val="nil"/>
            </w:tcBorders>
            <w:tcMar>
              <w:left w:w="105" w:type="dxa"/>
              <w:right w:w="105" w:type="dxa"/>
            </w:tcMar>
            <w:vAlign w:val="top"/>
          </w:tcPr>
          <w:p w:rsidR="2AD1E4E8" w:rsidP="7FED74DD" w:rsidRDefault="2AD1E4E8" w14:paraId="63DBD603" w14:textId="63B9AD42">
            <w:pPr>
              <w:spacing w:line="480" w:lineRule="auto"/>
              <w:rPr>
                <w:rFonts w:ascii="Arial" w:hAnsi="Arial" w:eastAsia="Arial" w:cs="Arial"/>
                <w:b w:val="0"/>
                <w:bCs w:val="0"/>
                <w:i w:val="0"/>
                <w:iCs w:val="0"/>
                <w:sz w:val="22"/>
                <w:szCs w:val="22"/>
              </w:rPr>
            </w:pPr>
            <w:r w:rsidRPr="7FED74DD" w:rsidR="746C083B">
              <w:rPr>
                <w:rFonts w:ascii="Arial" w:hAnsi="Arial" w:eastAsia="Arial" w:cs="Arial"/>
                <w:b w:val="0"/>
                <w:bCs w:val="0"/>
                <w:i w:val="0"/>
                <w:iCs w:val="0"/>
                <w:sz w:val="22"/>
                <w:szCs w:val="22"/>
                <w:lang w:val="en-GB"/>
              </w:rPr>
              <w:t>1</w:t>
            </w:r>
            <w:r w:rsidRPr="7FED74DD" w:rsidR="7BD0A2DC">
              <w:rPr>
                <w:rFonts w:ascii="Arial" w:hAnsi="Arial" w:eastAsia="Arial" w:cs="Arial"/>
                <w:b w:val="0"/>
                <w:bCs w:val="0"/>
                <w:i w:val="0"/>
                <w:iCs w:val="0"/>
                <w:sz w:val="22"/>
                <w:szCs w:val="22"/>
                <w:lang w:val="en-GB"/>
              </w:rPr>
              <w:t>4</w:t>
            </w:r>
          </w:p>
        </w:tc>
      </w:tr>
    </w:tbl>
    <w:p w:rsidR="2AD1E4E8" w:rsidP="2AD1E4E8" w:rsidRDefault="2AD1E4E8" w14:paraId="2896022D" w14:textId="5CF0FF68">
      <w:pPr>
        <w:pStyle w:val="Normal"/>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2AD1E4E8" w:rsidRDefault="2AD1E4E8" w14:paraId="049A4E44" w14:noSpellErr="1" w14:textId="645D00AE">
      <w:r>
        <w:br w:type="page"/>
      </w:r>
    </w:p>
    <w:p w:rsidR="31E56409" w:rsidP="7FED74DD" w:rsidRDefault="31E56409" w14:paraId="1F95A9EF" w14:textId="5A4F81BA">
      <w:pPr>
        <w:spacing w:line="480" w:lineRule="auto"/>
        <w:rPr>
          <w:rFonts w:ascii="Arial" w:hAnsi="Arial" w:eastAsia="Arial" w:cs="Arial"/>
          <w:b w:val="1"/>
          <w:bCs w:val="1"/>
          <w:i w:val="0"/>
          <w:iCs w:val="0"/>
          <w:sz w:val="28"/>
          <w:szCs w:val="28"/>
        </w:rPr>
      </w:pPr>
      <w:r w:rsidRPr="7FED74DD" w:rsidR="31E56409">
        <w:rPr>
          <w:rFonts w:ascii="Arial" w:hAnsi="Arial" w:eastAsia="Arial" w:cs="Arial"/>
          <w:b w:val="1"/>
          <w:bCs w:val="1"/>
          <w:i w:val="0"/>
          <w:iCs w:val="0"/>
          <w:sz w:val="28"/>
          <w:szCs w:val="28"/>
          <w:lang w:val="en-GB"/>
        </w:rPr>
        <w:t xml:space="preserve">Introduction  </w:t>
      </w:r>
    </w:p>
    <w:p w:rsidR="09E44708" w:rsidP="7FED74DD" w:rsidRDefault="09E44708" w14:paraId="35DE12E4" w14:textId="59F89272">
      <w:pPr>
        <w:pStyle w:val="Normal"/>
        <w:spacing w:line="360" w:lineRule="auto"/>
        <w:jc w:val="both"/>
      </w:pPr>
      <w:r w:rsidRPr="7FED74DD" w:rsidR="09E447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Obsessive-Compulsive Disorder (OCD) represents a complex, chronic condition defined in the ICD-11 (6B20) by persistent, intrusive thoughts and repetitive behaviours (WHO, 2024). Beyond this definition, OCD causes significant functional impairment, compromising personal, social, and occupational stability (WHO, 2024). I have chosen to focus on this disorder because, having lived with OCD myself, I intimately understand the profound daily struggle it imposes. This personal insight drives my commitment to exploring how we can better bridge the gap between clinical theory and the reality of living with the condition.</w:t>
      </w:r>
    </w:p>
    <w:p w:rsidR="09E44708" w:rsidP="7FED74DD" w:rsidRDefault="09E44708" w14:paraId="09DEF328" w14:textId="2E2F575A">
      <w:pPr>
        <w:pStyle w:val="Normal"/>
        <w:spacing w:line="360" w:lineRule="auto"/>
        <w:jc w:val="both"/>
      </w:pPr>
      <w:r w:rsidRPr="7FED74DD" w:rsidR="09E447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Within the United Kingdom, OCD is classified as one of the six primary common mental health disorders, with prevalence typically ranging between 1% and 3% (NICE, 2024). While statistical variances persist, the condition is globally recognised as a major contributor to morbidity (WHO, 2024). This prevalence is complicated by contemporary socio-economic pressures, including the cost-of-living crisis, which demand more robust management strategies (Hope Therapy &amp; Counselling Services, 2023). Despite established guidelines, treatment trajectories are often obstructed by systemic barriers, including clinician skill gaps and significant delays in recognition (Bey </w:t>
      </w:r>
      <w:r w:rsidRPr="7FED74DD" w:rsidR="09E4470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et al</w:t>
      </w:r>
      <w:r w:rsidRPr="7FED74DD" w:rsidR="09E447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2025; NICE, 2024). This highlights the vital need for accessible, evidence-based interventions to reduce the current multi-year treatment gap (Mental Health Foundation, 2026).</w:t>
      </w:r>
    </w:p>
    <w:p w:rsidR="09E44708" w:rsidP="7FED74DD" w:rsidRDefault="09E44708" w14:paraId="08F8E070" w14:textId="16801386">
      <w:pPr>
        <w:pStyle w:val="Normal"/>
        <w:spacing w:line="360" w:lineRule="auto"/>
        <w:jc w:val="both"/>
      </w:pPr>
      <w:r w:rsidRPr="7FED74DD" w:rsidR="09E447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report critically examines OCD, synthesising its classification, diagnostic complexities, and treatment paradigms. By exploring rehabilitation strategies and emerging discourse on neurodivergence, this evaluation offers evidence-based recommendations for optimising service delivery within the NHS framework.</w:t>
      </w:r>
    </w:p>
    <w:p w:rsidR="2AD1E4E8" w:rsidRDefault="2AD1E4E8" w14:paraId="0A91ED21" w14:textId="1AD5FB4B">
      <w:r>
        <w:br w:type="page"/>
      </w:r>
    </w:p>
    <w:p w:rsidR="51C46FDA" w:rsidP="2AD1E4E8" w:rsidRDefault="51C46FDA" w14:paraId="6BAE1EB2" w14:textId="67DFCC1F">
      <w:pPr>
        <w:pStyle w:val="Normal"/>
        <w:spacing w:line="360" w:lineRule="auto"/>
        <w:jc w:val="both"/>
      </w:pPr>
      <w:r w:rsidRPr="7FED74DD" w:rsidR="0E00A805">
        <w:rPr>
          <w:rFonts w:ascii="Arial" w:hAnsi="Arial" w:eastAsia="Arial" w:cs="Arial"/>
          <w:b w:val="1"/>
          <w:bCs w:val="1"/>
          <w:i w:val="0"/>
          <w:iCs w:val="0"/>
          <w:caps w:val="0"/>
          <w:smallCaps w:val="0"/>
          <w:noProof w:val="0"/>
          <w:color w:val="000000" w:themeColor="text1" w:themeTint="FF" w:themeShade="FF"/>
          <w:sz w:val="28"/>
          <w:szCs w:val="28"/>
          <w:lang w:val="en-GB"/>
        </w:rPr>
        <w:t>Classification and Diagnosis</w:t>
      </w:r>
      <w:r w:rsidRPr="7FED74DD" w:rsidR="67738641">
        <w:rPr>
          <w:rFonts w:ascii="Arial" w:hAnsi="Arial" w:eastAsia="Arial" w:cs="Arial"/>
          <w:b w:val="1"/>
          <w:bCs w:val="1"/>
          <w:i w:val="0"/>
          <w:iCs w:val="0"/>
          <w:caps w:val="0"/>
          <w:smallCaps w:val="0"/>
          <w:noProof w:val="0"/>
          <w:color w:val="000000" w:themeColor="text1" w:themeTint="FF" w:themeShade="FF"/>
          <w:sz w:val="28"/>
          <w:szCs w:val="28"/>
          <w:lang w:val="en-GB"/>
        </w:rPr>
        <w:t xml:space="preserve"> </w:t>
      </w:r>
    </w:p>
    <w:p w:rsidR="7CE4D01C" w:rsidP="7FED74DD" w:rsidRDefault="7CE4D01C" w14:paraId="483A44B2" w14:textId="09371934">
      <w:pPr>
        <w:pStyle w:val="Normal"/>
        <w:spacing w:line="360" w:lineRule="auto"/>
        <w:jc w:val="both"/>
      </w:pP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The classification of </w:t>
      </w:r>
      <w:r w:rsidRPr="7FED74DD" w:rsidR="0CBA135C">
        <w:rPr>
          <w:rFonts w:ascii="Arial" w:hAnsi="Arial" w:eastAsia="Arial" w:cs="Arial"/>
          <w:b w:val="0"/>
          <w:bCs w:val="0"/>
          <w:i w:val="0"/>
          <w:iCs w:val="0"/>
          <w:caps w:val="0"/>
          <w:smallCaps w:val="0"/>
          <w:noProof w:val="0"/>
          <w:color w:val="000000" w:themeColor="text1" w:themeTint="FF" w:themeShade="FF"/>
          <w:sz w:val="22"/>
          <w:szCs w:val="22"/>
          <w:lang w:val="en-GB"/>
        </w:rPr>
        <w:t>obsessive-compulsive disorder</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(OCD) has undergone significant </w:t>
      </w:r>
      <w:r w:rsidRPr="7FED74DD" w:rsidR="0E1934A2">
        <w:rPr>
          <w:rFonts w:ascii="Arial" w:hAnsi="Arial" w:eastAsia="Arial" w:cs="Arial"/>
          <w:b w:val="0"/>
          <w:bCs w:val="0"/>
          <w:i w:val="0"/>
          <w:iCs w:val="0"/>
          <w:caps w:val="0"/>
          <w:smallCaps w:val="0"/>
          <w:noProof w:val="0"/>
          <w:color w:val="000000" w:themeColor="text1" w:themeTint="FF" w:themeShade="FF"/>
          <w:sz w:val="22"/>
          <w:szCs w:val="22"/>
          <w:lang w:val="en-GB"/>
        </w:rPr>
        <w:t>nosologically</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evolution. Within ICD-11, OCD is formally classified under section 6B20, defined by persistent, time-consuming obsessions and compulsions resulting in significant functional impairment (WHO, 2024). In UK practice, this is operationali</w:t>
      </w:r>
      <w:r w:rsidRPr="7FED74DD" w:rsidR="6D3B7629">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ed through NICE guidelines, mandating a comprehensive assessment by a trained professional (OCD-UK, 2024a). The term 'disorder' denotes clinical impairment </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necessitating</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intervention; however, some advocates argue 'condition' carries less stigma, highlighting the ongoing tension between clinical taxonomy and patient-</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centered</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language.</w:t>
      </w:r>
    </w:p>
    <w:p w:rsidR="7CE4D01C" w:rsidP="7FED74DD" w:rsidRDefault="7CE4D01C" w14:paraId="712EB220" w14:textId="7C645ACA">
      <w:pPr>
        <w:pStyle w:val="Normal"/>
        <w:spacing w:line="360" w:lineRule="auto"/>
        <w:jc w:val="both"/>
      </w:pP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A critical distinction exists between international diagnostic frameworks. While ICD-11 and DSM-5 </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maintain</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FED74DD" w:rsidR="7BB66459">
        <w:rPr>
          <w:rFonts w:ascii="Arial" w:hAnsi="Arial" w:eastAsia="Arial" w:cs="Arial"/>
          <w:b w:val="0"/>
          <w:bCs w:val="0"/>
          <w:i w:val="0"/>
          <w:iCs w:val="0"/>
          <w:caps w:val="0"/>
          <w:smallCaps w:val="0"/>
          <w:noProof w:val="0"/>
          <w:color w:val="000000" w:themeColor="text1" w:themeTint="FF" w:themeShade="FF"/>
          <w:sz w:val="22"/>
          <w:szCs w:val="22"/>
          <w:lang w:val="en-GB"/>
        </w:rPr>
        <w:t>identical</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core diagnostic criteria (NICE, 2024), DSM-5 controversially realigned OCD from '</w:t>
      </w:r>
      <w:r w:rsidRPr="7FED74DD" w:rsidR="403EEB8D">
        <w:rPr>
          <w:rFonts w:ascii="Arial" w:hAnsi="Arial" w:eastAsia="Arial" w:cs="Arial"/>
          <w:b w:val="0"/>
          <w:bCs w:val="0"/>
          <w:i w:val="0"/>
          <w:iCs w:val="0"/>
          <w:caps w:val="0"/>
          <w:smallCaps w:val="0"/>
          <w:noProof w:val="0"/>
          <w:color w:val="000000" w:themeColor="text1" w:themeTint="FF" w:themeShade="FF"/>
          <w:sz w:val="22"/>
          <w:szCs w:val="22"/>
          <w:lang w:val="en-GB"/>
        </w:rPr>
        <w:t>anxiety disorders</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into a new 'Obsessive-Compulsive and Related Disorders' (OCRDs) group. This aligns with the transition from ICD-10</w:t>
      </w:r>
      <w:r w:rsidRPr="7FED74DD" w:rsidR="7E8F7EB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where OCD was grouped under anxiety disorders</w:t>
      </w:r>
      <w:r w:rsidRPr="7FED74DD" w:rsidR="019266E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to the ICD-11's dedicated OCRD section, reflecting a shift in clinical understanding (Marras, Fineberg and </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Pallanti</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2016). From a clinical perspective, this reclassification </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represents</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a necessary shift toward recogni</w:t>
      </w:r>
      <w:r w:rsidRPr="7FED74DD" w:rsidR="30888014">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ing that compulsivity, rather than anxiety, is the fundamental feature of the pathology, supported by evidence of common neurobiological circuits (Marras, Fineberg and </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Pallanti</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2016). However, this academic progression has inadvertently created challenges; by grouping OCD with body-focused repetitive behaviours, the reclassification may lead patients to erroneously equate distinct conditions, potentially oversimplifying OCD’s complexity and complicating public comprehension of speciali</w:t>
      </w:r>
      <w:r w:rsidRPr="7FED74DD" w:rsidR="701928A0">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ed treatment pathways (Marras, Fineberg and </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Pallanti</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2016).</w:t>
      </w:r>
    </w:p>
    <w:p w:rsidR="7CE4D01C" w:rsidP="7FED74DD" w:rsidRDefault="7CE4D01C" w14:paraId="10863B1C" w14:textId="3AB566BD">
      <w:pPr>
        <w:pStyle w:val="Normal"/>
        <w:spacing w:line="360" w:lineRule="auto"/>
        <w:jc w:val="both"/>
      </w:pP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Furthermore, a distinct disconnect exists between theoretical diagnostic criteria and clinical assessment reality. While NICE guidelines suggest effective assessment should include standardi</w:t>
      </w:r>
      <w:r w:rsidRPr="7FED74DD" w:rsidR="3A3313BF">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ed screening for cleaning, checking, and intrusive thoughts, these are merely guidance points rather than a guarantee of nuanced diagnosis (OCD-UK, 2024b). Critically, OCD-UK (2024b) notes health professionals may struggle to differentiate between OCD and intent or risk, often </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failing to conduct</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an assessment that captures the depth of a patient's distressing experience. This </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indicates</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that even with 'robust' diagnostic guidelines, the quality of diagnosis </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remains</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highly variable and dependent on the specific </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of the clinician (OCD-UK, 2024a; 2024b).</w:t>
      </w:r>
    </w:p>
    <w:p w:rsidR="7CE4D01C" w:rsidP="7FED74DD" w:rsidRDefault="7CE4D01C" w14:paraId="181B6B4A" w14:textId="28FEF1F0">
      <w:pPr>
        <w:pStyle w:val="Normal"/>
        <w:spacing w:line="360" w:lineRule="auto"/>
        <w:jc w:val="both"/>
      </w:pP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This variability is compounded by reliance on standardi</w:t>
      </w:r>
      <w:r w:rsidRPr="7FED74DD" w:rsidR="37E59835">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ed tools, which often overlook non-textbook presentations. For instance, the traditional emphasis on 'insight' is increasingly challenged; many patients lose this under high anxiety, potentially leading to misclassification (OCD-UK, 2024b). Consequently, reliance on standardi</w:t>
      </w:r>
      <w:r w:rsidRPr="7FED74DD" w:rsidR="35F488A4">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ed or ill-equipped GP assessments often delays evidence-based interventions (OCD-UK, 2024a; 2024b). This highlights a critical gap: while the medical community has refined OCD taxonomy, operational pathways </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remain</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prone to bureaucratic error, leaving vulnerable individuals to navigate a system that often prioriti</w:t>
      </w:r>
      <w:r w:rsidRPr="7FED74DD" w:rsidR="79C52D32">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es standardi</w:t>
      </w:r>
      <w:r w:rsidRPr="7FED74DD" w:rsidR="48000C62">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ed throughput over individuali</w:t>
      </w:r>
      <w:r w:rsidRPr="7FED74DD" w:rsidR="662AF0A1">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ed, clinically nuanced diagnosis (OCD-UK, 2024a). In my professional perspective, this operational gap is particularly </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evident</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as the system </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fails to</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reconcile rigid policy with the complex, lived realities of those</w:t>
      </w:r>
      <w:r w:rsidRPr="7FED74DD" w:rsidR="4DA55106">
        <w:rPr>
          <w:rFonts w:ascii="Arial" w:hAnsi="Arial" w:eastAsia="Arial" w:cs="Arial"/>
          <w:b w:val="0"/>
          <w:bCs w:val="0"/>
          <w:i w:val="0"/>
          <w:iCs w:val="0"/>
          <w:caps w:val="0"/>
          <w:smallCaps w:val="0"/>
          <w:noProof w:val="0"/>
          <w:color w:val="000000" w:themeColor="text1" w:themeTint="FF" w:themeShade="FF"/>
          <w:sz w:val="22"/>
          <w:szCs w:val="22"/>
          <w:lang w:val="en-GB"/>
        </w:rPr>
        <w:t>, who</w:t>
      </w:r>
      <w:r w:rsidRPr="7FED74DD"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seeking support</w:t>
      </w:r>
      <w:r w:rsidRPr="7FED74DD" w:rsidR="4F36D5BA">
        <w:rPr>
          <w:rFonts w:ascii="Arial" w:hAnsi="Arial" w:eastAsia="Arial" w:cs="Arial"/>
          <w:b w:val="0"/>
          <w:bCs w:val="0"/>
          <w:i w:val="0"/>
          <w:iCs w:val="0"/>
          <w:caps w:val="0"/>
          <w:smallCaps w:val="0"/>
          <w:noProof w:val="0"/>
          <w:color w:val="000000" w:themeColor="text1" w:themeTint="FF" w:themeShade="FF"/>
          <w:sz w:val="22"/>
          <w:szCs w:val="22"/>
          <w:lang w:val="en-GB"/>
        </w:rPr>
        <w:t>.</w:t>
      </w:r>
    </w:p>
    <w:p w:rsidR="2AD1E4E8" w:rsidRDefault="2AD1E4E8" w14:paraId="4BABAE44" w14:textId="03619405">
      <w:r>
        <w:br w:type="page"/>
      </w:r>
    </w:p>
    <w:p w:rsidR="5157C88F" w:rsidP="2AD1E4E8" w:rsidRDefault="5157C88F" w14:paraId="0062B712" w14:textId="69798CBF">
      <w:pPr>
        <w:pStyle w:val="Normal"/>
        <w:spacing w:line="360" w:lineRule="auto"/>
        <w:jc w:val="both"/>
      </w:pPr>
      <w:r w:rsidRPr="7FED74DD" w:rsidR="3274F904">
        <w:rPr>
          <w:rFonts w:ascii="Arial" w:hAnsi="Arial" w:eastAsia="Arial" w:cs="Arial"/>
          <w:b w:val="1"/>
          <w:bCs w:val="1"/>
          <w:i w:val="0"/>
          <w:iCs w:val="0"/>
          <w:caps w:val="0"/>
          <w:smallCaps w:val="0"/>
          <w:noProof w:val="0"/>
          <w:color w:val="000000" w:themeColor="text1" w:themeTint="FF" w:themeShade="FF"/>
          <w:sz w:val="28"/>
          <w:szCs w:val="28"/>
          <w:lang w:val="en-GB"/>
        </w:rPr>
        <w:t>Treatment Approaches</w:t>
      </w:r>
      <w:r w:rsidRPr="7FED74DD" w:rsidR="672C6433">
        <w:rPr>
          <w:rFonts w:ascii="Arial" w:hAnsi="Arial" w:eastAsia="Arial" w:cs="Arial"/>
          <w:b w:val="1"/>
          <w:bCs w:val="1"/>
          <w:i w:val="0"/>
          <w:iCs w:val="0"/>
          <w:caps w:val="0"/>
          <w:smallCaps w:val="0"/>
          <w:noProof w:val="0"/>
          <w:color w:val="000000" w:themeColor="text1" w:themeTint="FF" w:themeShade="FF"/>
          <w:sz w:val="28"/>
          <w:szCs w:val="28"/>
          <w:lang w:val="en-GB"/>
        </w:rPr>
        <w:t xml:space="preserve"> </w:t>
      </w:r>
    </w:p>
    <w:p w:rsidR="16EE9CC6" w:rsidP="7FED74DD" w:rsidRDefault="16EE9CC6" w14:paraId="082814BB" w14:textId="3FFC23A5">
      <w:pPr>
        <w:pStyle w:val="Normal"/>
        <w:spacing w:line="360" w:lineRule="auto"/>
        <w:jc w:val="both"/>
      </w:pP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Standard treatment for OCD in the UK is guided by NICE, which mandates a 'stepped care' model prioriti</w:t>
      </w:r>
      <w:r w:rsidRPr="7FED74DD" w:rsidR="7E2EFB00">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 xml:space="preserve">ing evidence-based psychological and pharmacological interventions (NICE, 2005; 2024). For mild impairment, NICE recommends low-intensity psychological support, while moderate to severe cases require high-intensity Cognitive Behavioural Therapy (CBT), specifically Exposure and Response Prevention (ERP), and Selective Serotonin Reuptake Inhibitors (SSRIs) (NICE, 2005; 2024). While combined CBT and pharmacotherapy is the clinical gold standard, its implementation within the NHS is primarily managed through the Improving Access to Psychological Therapies (IAPT) programme, which </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represents</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 xml:space="preserve"> the primary gateway for patients navigating complex NHS pathways (OCD-UK, 2024a).</w:t>
      </w:r>
    </w:p>
    <w:p w:rsidR="16EE9CC6" w:rsidP="7FED74DD" w:rsidRDefault="16EE9CC6" w14:paraId="38F8DAA7" w14:textId="3F4F139A">
      <w:pPr>
        <w:pStyle w:val="Normal"/>
        <w:spacing w:line="360" w:lineRule="auto"/>
        <w:jc w:val="both"/>
      </w:pP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Pharmacological treatment via SSRIs is a cornerstone of management, yet it presents significant limitations. Unlike major depression, SSRIs for OCD often require significantly higher doses and longer trial periods</w:t>
      </w:r>
      <w:r w:rsidRPr="7FED74DD" w:rsidR="051BC3F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typically 8–12 weeks</w:t>
      </w:r>
      <w:r w:rsidRPr="7FED74DD" w:rsidR="7268699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 xml:space="preserve">to achieve benefit (Pittenger, 2023). Because SSRIs are not a panacea, treatment-refractory cases often require augmentation with antipsychotics or clomipramine, strategies demanding careful clinical monitoring due to their complex safety profiles (Del Casale </w:t>
      </w:r>
      <w:r w:rsidRPr="7FED74DD" w:rsidR="16EE9CC6">
        <w:rPr>
          <w:rFonts w:ascii="Arial" w:hAnsi="Arial" w:eastAsia="Arial" w:cs="Arial"/>
          <w:b w:val="0"/>
          <w:bCs w:val="0"/>
          <w:i w:val="1"/>
          <w:iCs w:val="1"/>
          <w:caps w:val="0"/>
          <w:smallCaps w:val="0"/>
          <w:noProof w:val="0"/>
          <w:color w:val="000000" w:themeColor="text1" w:themeTint="FF" w:themeShade="FF"/>
          <w:sz w:val="22"/>
          <w:szCs w:val="22"/>
          <w:lang w:val="en-GB"/>
        </w:rPr>
        <w:t>et al</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 2019). Critically, medication often merely masks symptoms if not supported by ERP, yet recent evidence indicates licensed professionals frequently fail to recommend ERP as the primary choice, often due to a lack of experience with evidence-based practice, leaving patients stuck in a cycle of suboptimal care (Weinberg</w:t>
      </w:r>
      <w:r w:rsidRPr="7FED74DD" w:rsidR="16EE9CC6">
        <w:rPr>
          <w:rFonts w:ascii="Arial" w:hAnsi="Arial" w:eastAsia="Arial" w:cs="Arial"/>
          <w:b w:val="0"/>
          <w:bCs w:val="0"/>
          <w:i w:val="1"/>
          <w:iCs w:val="1"/>
          <w:caps w:val="0"/>
          <w:smallCaps w:val="0"/>
          <w:noProof w:val="0"/>
          <w:color w:val="000000" w:themeColor="text1" w:themeTint="FF" w:themeShade="FF"/>
          <w:sz w:val="22"/>
          <w:szCs w:val="22"/>
          <w:lang w:val="en-GB"/>
        </w:rPr>
        <w:t xml:space="preserve"> et al</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 2025).</w:t>
      </w:r>
    </w:p>
    <w:p w:rsidR="16EE9CC6" w:rsidP="7FED74DD" w:rsidRDefault="16EE9CC6" w14:paraId="121612AD" w14:textId="6720DFCC">
      <w:pPr>
        <w:pStyle w:val="Normal"/>
        <w:spacing w:line="360" w:lineRule="auto"/>
        <w:jc w:val="both"/>
      </w:pP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 xml:space="preserve">Accessibility within the NHS highlights a systemic disconnect. While the 2026 NHS Digital dataset </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 xml:space="preserve"> a shift toward data-driven governance to measure service throughput, this administrative focus </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 xml:space="preserve"> masks qualitative failures (NHS Digital, 2026). In my view, these metrics prioriti</w:t>
      </w:r>
      <w:r w:rsidRPr="7FED74DD" w:rsidR="0DF3B04A">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 xml:space="preserve">e system-level efficiency over individual recovery; they show how many people are </w:t>
      </w:r>
      <w:r w:rsidRPr="7FED74DD" w:rsidR="24E35FF3">
        <w:rPr>
          <w:rFonts w:ascii="Arial" w:hAnsi="Arial" w:eastAsia="Arial" w:cs="Arial"/>
          <w:b w:val="0"/>
          <w:bCs w:val="0"/>
          <w:i w:val="0"/>
          <w:iCs w:val="0"/>
          <w:caps w:val="0"/>
          <w:smallCaps w:val="0"/>
          <w:noProof w:val="0"/>
          <w:color w:val="000000" w:themeColor="text1" w:themeTint="FF" w:themeShade="FF"/>
          <w:sz w:val="22"/>
          <w:szCs w:val="22"/>
          <w:lang w:val="en-GB"/>
        </w:rPr>
        <w:t>processed but</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 xml:space="preserve"> remain silent on quality of life. The IAPT programme, despite its national scale, is persistently critici</w:t>
      </w:r>
      <w:r w:rsidRPr="7FED74DD" w:rsidR="5BAC8B54">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 xml:space="preserve">ed for long waiting times and a shortage of sessions that limits therapeutic work (OCD-UK, 2024a). This hierarchy often forces a one-size-fits-all model; patients are </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 xml:space="preserve"> discharged prematurely or denied intensive specialist services due to rigid thresholds (OCD-UK, 2024a).</w:t>
      </w:r>
    </w:p>
    <w:p w:rsidR="5B643534" w:rsidP="7FED74DD" w:rsidRDefault="5B643534" w14:paraId="21050F52" w14:textId="3FF2E1AB">
      <w:pPr>
        <w:pStyle w:val="Normal"/>
        <w:spacing w:line="360" w:lineRule="auto"/>
        <w:jc w:val="both"/>
      </w:pPr>
      <w:r w:rsidRPr="7FED74DD" w:rsidR="5B643534">
        <w:rPr>
          <w:rFonts w:ascii="Arial" w:hAnsi="Arial" w:eastAsia="Arial" w:cs="Arial"/>
          <w:b w:val="0"/>
          <w:bCs w:val="0"/>
          <w:i w:val="0"/>
          <w:iCs w:val="0"/>
          <w:caps w:val="0"/>
          <w:smallCaps w:val="0"/>
          <w:noProof w:val="0"/>
          <w:color w:val="000000" w:themeColor="text1" w:themeTint="FF" w:themeShade="FF"/>
          <w:sz w:val="22"/>
          <w:szCs w:val="22"/>
          <w:lang w:val="en-GB"/>
        </w:rPr>
        <w:t>The</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 xml:space="preserve"> UK’s treatment strategy </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remains</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 xml:space="preserve"> characteri</w:t>
      </w:r>
      <w:r w:rsidRPr="7FED74DD" w:rsidR="0141C010">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ed by a paradox: it has achieved scale through IAPT, yet struggles to deliver the individuali</w:t>
      </w:r>
      <w:r w:rsidRPr="7FED74DD" w:rsidR="5089EB61">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 xml:space="preserve">ed, long-term support this condition requires. The absence of systematic outcome data within secondary care further obscures the true efficacy of these treatments for severe, refractory OCD (NICE, 2005). While SSRIs and CBT are robust, their effectiveness is undermined by service fragmentation, inequitable access, and a landscape where ERP is inconsistently applied (OCD-UK, 2024a; Weinberg </w:t>
      </w:r>
      <w:r w:rsidRPr="7FED74DD" w:rsidR="16EE9CC6">
        <w:rPr>
          <w:rFonts w:ascii="Arial" w:hAnsi="Arial" w:eastAsia="Arial" w:cs="Arial"/>
          <w:b w:val="0"/>
          <w:bCs w:val="0"/>
          <w:i w:val="1"/>
          <w:iCs w:val="1"/>
          <w:caps w:val="0"/>
          <w:smallCaps w:val="0"/>
          <w:noProof w:val="0"/>
          <w:color w:val="000000" w:themeColor="text1" w:themeTint="FF" w:themeShade="FF"/>
          <w:sz w:val="22"/>
          <w:szCs w:val="22"/>
          <w:lang w:val="en-GB"/>
        </w:rPr>
        <w:t>et al.</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 2025). The NHS must invest in ongoing, speciali</w:t>
      </w:r>
      <w:r w:rsidRPr="7FED74DD" w:rsidR="4FD2FD90">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16EE9CC6">
        <w:rPr>
          <w:rFonts w:ascii="Arial" w:hAnsi="Arial" w:eastAsia="Arial" w:cs="Arial"/>
          <w:b w:val="0"/>
          <w:bCs w:val="0"/>
          <w:i w:val="0"/>
          <w:iCs w:val="0"/>
          <w:caps w:val="0"/>
          <w:smallCaps w:val="0"/>
          <w:noProof w:val="0"/>
          <w:color w:val="000000" w:themeColor="text1" w:themeTint="FF" w:themeShade="FF"/>
          <w:sz w:val="22"/>
          <w:szCs w:val="22"/>
          <w:lang w:val="en-GB"/>
        </w:rPr>
        <w:t>ed training to bridge the gap between theoretical guidelines and clinical delivery.</w:t>
      </w:r>
    </w:p>
    <w:p w:rsidR="7FED74DD" w:rsidP="7FED74DD" w:rsidRDefault="7FED74DD" w14:paraId="37834353" w14:textId="424D153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AD1E4E8" w:rsidRDefault="2AD1E4E8" w14:paraId="04C4578A" w14:textId="00638F49">
      <w:r>
        <w:br w:type="page"/>
      </w:r>
    </w:p>
    <w:p w:rsidR="047E5B0E" w:rsidP="2AD1E4E8" w:rsidRDefault="047E5B0E" w14:paraId="5A442010" w14:textId="0DB72A3D">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7FED74DD" w:rsidR="563EB163">
        <w:rPr>
          <w:rFonts w:ascii="Arial" w:hAnsi="Arial" w:eastAsia="Arial" w:cs="Arial"/>
          <w:b w:val="1"/>
          <w:bCs w:val="1"/>
          <w:i w:val="0"/>
          <w:iCs w:val="0"/>
          <w:caps w:val="0"/>
          <w:smallCaps w:val="0"/>
          <w:noProof w:val="0"/>
          <w:color w:val="000000" w:themeColor="text1" w:themeTint="FF" w:themeShade="FF"/>
          <w:sz w:val="28"/>
          <w:szCs w:val="28"/>
          <w:lang w:val="en-GB"/>
        </w:rPr>
        <w:t>Rehabilitation &amp; Long-Term Management</w:t>
      </w:r>
    </w:p>
    <w:p w:rsidR="76CA5AFB" w:rsidP="7FED74DD" w:rsidRDefault="76CA5AFB" w14:paraId="2201F796" w14:textId="13A60F6B">
      <w:pPr>
        <w:pStyle w:val="Normal"/>
        <w:spacing w:line="360" w:lineRule="auto"/>
        <w:jc w:val="both"/>
      </w:pP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Rehabilitation for OCD in the UK is shifting toward community-based models under the NHS 10 Year Health Plan (NHS England, 2025). This policy prioriti</w:t>
      </w:r>
      <w:r w:rsidRPr="7FED74DD" w:rsidR="6D0E2340">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es "prevention" via "Neighbourhood Health Services," integrating mental health with social support (Samaritans, 2025). A critical disconnect exists: the diagnostic gaps discussed previously</w:t>
      </w:r>
      <w:r w:rsidRPr="7FED74DD" w:rsidR="78616F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specifically rigid thresholds and failure to </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identify</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 'non-textbook' presentations</w:t>
      </w:r>
      <w:r w:rsidRPr="7FED74DD" w:rsidR="7F67C7D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fundamentally undermine these rehabilitative efforts. Unlike more integrated European systems, the UK framework </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remains</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 reliant on a segmented, stepped-care model that delays individuali</w:t>
      </w:r>
      <w:r w:rsidRPr="7FED74DD" w:rsidR="1558BA76">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ed rehabilitation (NHS England, 2025). For many, these community resources </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remain</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 insufficiently speciali</w:t>
      </w:r>
      <w:r w:rsidRPr="7FED74DD" w:rsidR="7E2AF3D7">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ed, leaving patients without continuity of care between clinical episodes.</w:t>
      </w:r>
    </w:p>
    <w:p w:rsidR="76CA5AFB" w:rsidP="7FED74DD" w:rsidRDefault="76CA5AFB" w14:paraId="3B5C8E7B" w14:textId="2486254C">
      <w:pPr>
        <w:pStyle w:val="Normal"/>
        <w:spacing w:line="360" w:lineRule="auto"/>
        <w:jc w:val="both"/>
      </w:pP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A core pillar </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remains</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 the Mental Health Act (1983), governing the assessment and detention of individuals in crisis (Mind, 2026). Recent government agreements (2025) to amend the Act signify a long-term commitment to evolving rights, though implementation </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remains</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 phased (Mind, 2026). From a patient-</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centered</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 perspective, the necessity of "sectioning" highlights a systemic failure to provide proactive support. While clinical guidance emphasi</w:t>
      </w:r>
      <w:r w:rsidRPr="7FED74DD" w:rsidR="08EF49B1">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es early intervention (NHS, 2026), the legal reality </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remains</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 a reactive system that only intervenes when autonomy is critically compromised, exposing the tension between legislative protections and clinical delivery.</w:t>
      </w:r>
    </w:p>
    <w:p w:rsidR="76CA5AFB" w:rsidP="7FED74DD" w:rsidRDefault="76CA5AFB" w14:paraId="338E8B2F" w14:textId="140F729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Third-sector organi</w:t>
      </w:r>
      <w:r w:rsidRPr="7FED74DD" w:rsidR="4F414B19">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ations like Mind and Samaritans play an essential, albeit under-resourced, role in bridging gaps left by statutory services (Samaritans, 2025). Although the </w:t>
      </w:r>
      <w:r w:rsidRPr="7FED74DD" w:rsidR="27FA7C1D">
        <w:rPr>
          <w:rFonts w:ascii="Arial" w:hAnsi="Arial" w:eastAsia="Arial" w:cs="Arial"/>
          <w:b w:val="0"/>
          <w:bCs w:val="0"/>
          <w:i w:val="0"/>
          <w:iCs w:val="0"/>
          <w:caps w:val="0"/>
          <w:smallCaps w:val="0"/>
          <w:noProof w:val="0"/>
          <w:color w:val="000000" w:themeColor="text1" w:themeTint="FF" w:themeShade="FF"/>
          <w:sz w:val="22"/>
          <w:szCs w:val="22"/>
          <w:lang w:val="en-GB"/>
        </w:rPr>
        <w:t>10-Year</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 Health Plan envisions "joined-up working," the "devil is in the detail" </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 long-term support (Samaritans, 2025). </w:t>
      </w:r>
      <w:r w:rsidRPr="7FED74DD" w:rsidR="6899CA83">
        <w:rPr>
          <w:rFonts w:ascii="Arial" w:hAnsi="Arial" w:eastAsia="Arial" w:cs="Arial"/>
          <w:b w:val="0"/>
          <w:bCs w:val="0"/>
          <w:i w:val="0"/>
          <w:iCs w:val="0"/>
          <w:caps w:val="0"/>
          <w:smallCaps w:val="0"/>
          <w:noProof w:val="0"/>
          <w:color w:val="000000" w:themeColor="text1" w:themeTint="FF" w:themeShade="FF"/>
          <w:sz w:val="22"/>
          <w:szCs w:val="22"/>
          <w:lang w:val="en-GB"/>
        </w:rPr>
        <w:t>While</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 the UK framework offers robust protections, the reality for OCD patients is one of fragmented provision. </w:t>
      </w:r>
      <w:r w:rsidRPr="7FED74DD" w:rsidR="4E97121E">
        <w:rPr>
          <w:rFonts w:ascii="Arial" w:hAnsi="Arial" w:eastAsia="Arial" w:cs="Arial"/>
          <w:b w:val="0"/>
          <w:bCs w:val="0"/>
          <w:i w:val="0"/>
          <w:iCs w:val="0"/>
          <w:caps w:val="0"/>
          <w:smallCaps w:val="0"/>
          <w:noProof w:val="0"/>
          <w:color w:val="000000" w:themeColor="text1" w:themeTint="FF" w:themeShade="FF"/>
          <w:sz w:val="22"/>
          <w:szCs w:val="22"/>
          <w:lang w:val="en-GB"/>
        </w:rPr>
        <w:t xml:space="preserve">The transition from crisis to genuine rehabilitation remains fraught with obstacles due to capacity constraints and a lack of OCD-targeted infrastructure. </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Unlike generali</w:t>
      </w:r>
      <w:r w:rsidRPr="7FED74DD" w:rsidR="3C4FDDC4">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ed anxiety disorders, OCD </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requires</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 a specific, high-intensity therapeutic focus</w:t>
      </w:r>
      <w:r w:rsidRPr="7FED74DD" w:rsidR="61CE1BC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such as ERP</w:t>
      </w:r>
      <w:r w:rsidRPr="7FED74DD" w:rsidR="77A0D0F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that general services cannot replicate. This leaves patients to navigate an isolating recovery pathway, forced to rely on voluntary support to compensate for the lack of speciali</w:t>
      </w:r>
      <w:r w:rsidRPr="7FED74DD" w:rsidR="745399E2">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76CA5AFB">
        <w:rPr>
          <w:rFonts w:ascii="Arial" w:hAnsi="Arial" w:eastAsia="Arial" w:cs="Arial"/>
          <w:b w:val="0"/>
          <w:bCs w:val="0"/>
          <w:i w:val="0"/>
          <w:iCs w:val="0"/>
          <w:caps w:val="0"/>
          <w:smallCaps w:val="0"/>
          <w:noProof w:val="0"/>
          <w:color w:val="000000" w:themeColor="text1" w:themeTint="FF" w:themeShade="FF"/>
          <w:sz w:val="22"/>
          <w:szCs w:val="22"/>
          <w:lang w:val="en-GB"/>
        </w:rPr>
        <w:t>ed, continuous NHS care (NHS England, 2025; Samaritans, 2025).</w:t>
      </w:r>
    </w:p>
    <w:p w:rsidR="7FED74DD" w:rsidP="7FED74DD" w:rsidRDefault="7FED74DD" w14:paraId="7C7FC3DD" w14:textId="609D8B4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AD1E4E8" w:rsidRDefault="2AD1E4E8" w14:paraId="48D63E13" w14:textId="4A13D061">
      <w:r>
        <w:br w:type="page"/>
      </w:r>
    </w:p>
    <w:p w:rsidR="06AE0F8C" w:rsidP="2AD1E4E8" w:rsidRDefault="06AE0F8C" w14:paraId="5868515D" w14:textId="0E32A5BA">
      <w:pPr>
        <w:pStyle w:val="Normal"/>
        <w:spacing w:line="360" w:lineRule="auto"/>
        <w:jc w:val="both"/>
      </w:pPr>
      <w:r w:rsidRPr="2AD1E4E8" w:rsidR="06AE0F8C">
        <w:rPr>
          <w:rFonts w:ascii="Arial" w:hAnsi="Arial" w:eastAsia="Arial" w:cs="Arial"/>
          <w:b w:val="1"/>
          <w:bCs w:val="1"/>
          <w:i w:val="0"/>
          <w:iCs w:val="0"/>
          <w:caps w:val="0"/>
          <w:smallCaps w:val="0"/>
          <w:noProof w:val="0"/>
          <w:color w:val="000000" w:themeColor="text1" w:themeTint="FF" w:themeShade="FF"/>
          <w:sz w:val="28"/>
          <w:szCs w:val="28"/>
          <w:lang w:val="en-GB"/>
        </w:rPr>
        <w:t>Current Debates, Policy &amp; Statistical Evidence</w:t>
      </w:r>
    </w:p>
    <w:p w:rsidR="06AE0F8C" w:rsidP="2AD1E4E8" w:rsidRDefault="06AE0F8C" w14:paraId="12E49EAE" w14:textId="63160729">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7FED74DD" w:rsidR="4765C76D">
        <w:rPr>
          <w:rFonts w:ascii="Arial" w:hAnsi="Arial" w:eastAsia="Arial" w:cs="Arial"/>
          <w:b w:val="1"/>
          <w:bCs w:val="1"/>
          <w:i w:val="0"/>
          <w:iCs w:val="0"/>
          <w:caps w:val="0"/>
          <w:smallCaps w:val="0"/>
          <w:noProof w:val="0"/>
          <w:color w:val="000000" w:themeColor="text1" w:themeTint="FF" w:themeShade="FF"/>
          <w:sz w:val="22"/>
          <w:szCs w:val="22"/>
          <w:lang w:val="en-GB"/>
        </w:rPr>
        <w:t>Current Debates &amp; Emerging Issues</w:t>
      </w:r>
    </w:p>
    <w:p w:rsidR="75FDA7CF" w:rsidP="7FED74DD" w:rsidRDefault="75FDA7CF" w14:paraId="44D18B44" w14:textId="7C8AF1C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FED74DD" w:rsidR="7E490F2A">
        <w:rPr>
          <w:rFonts w:ascii="Arial" w:hAnsi="Arial" w:eastAsia="Arial" w:cs="Arial"/>
          <w:b w:val="0"/>
          <w:bCs w:val="0"/>
          <w:i w:val="0"/>
          <w:iCs w:val="0"/>
          <w:caps w:val="0"/>
          <w:smallCaps w:val="0"/>
          <w:noProof w:val="0"/>
          <w:color w:val="000000" w:themeColor="text1" w:themeTint="FF" w:themeShade="FF"/>
          <w:sz w:val="22"/>
          <w:szCs w:val="22"/>
          <w:lang w:val="en-GB"/>
        </w:rPr>
        <w:t xml:space="preserve">Contemporary discourse is shifting toward a neurodivergence paradigm, challenging the view of OCD as an isolated pathology. Evidence </w:t>
      </w:r>
      <w:r w:rsidRPr="7FED74DD" w:rsidR="7E490F2A">
        <w:rPr>
          <w:rFonts w:ascii="Arial" w:hAnsi="Arial" w:eastAsia="Arial" w:cs="Arial"/>
          <w:b w:val="0"/>
          <w:bCs w:val="0"/>
          <w:i w:val="0"/>
          <w:iCs w:val="0"/>
          <w:caps w:val="0"/>
          <w:smallCaps w:val="0"/>
          <w:noProof w:val="0"/>
          <w:color w:val="000000" w:themeColor="text1" w:themeTint="FF" w:themeShade="FF"/>
          <w:sz w:val="22"/>
          <w:szCs w:val="22"/>
          <w:lang w:val="en-GB"/>
        </w:rPr>
        <w:t>indicates</w:t>
      </w:r>
      <w:r w:rsidRPr="7FED74DD" w:rsidR="7E490F2A">
        <w:rPr>
          <w:rFonts w:ascii="Arial" w:hAnsi="Arial" w:eastAsia="Arial" w:cs="Arial"/>
          <w:b w:val="0"/>
          <w:bCs w:val="0"/>
          <w:i w:val="0"/>
          <w:iCs w:val="0"/>
          <w:caps w:val="0"/>
          <w:smallCaps w:val="0"/>
          <w:noProof w:val="0"/>
          <w:color w:val="000000" w:themeColor="text1" w:themeTint="FF" w:themeShade="FF"/>
          <w:sz w:val="22"/>
          <w:szCs w:val="22"/>
          <w:lang w:val="en-GB"/>
        </w:rPr>
        <w:t xml:space="preserve"> significant overlap between OCD and neurodevelopmental conditions; autistic individuals are </w:t>
      </w:r>
      <w:r w:rsidRPr="7FED74DD" w:rsidR="3535733C">
        <w:rPr>
          <w:rFonts w:ascii="Arial" w:hAnsi="Arial" w:eastAsia="Arial" w:cs="Arial"/>
          <w:b w:val="0"/>
          <w:bCs w:val="0"/>
          <w:i w:val="0"/>
          <w:iCs w:val="0"/>
          <w:caps w:val="0"/>
          <w:smallCaps w:val="0"/>
          <w:noProof w:val="0"/>
          <w:color w:val="000000" w:themeColor="text1" w:themeTint="FF" w:themeShade="FF"/>
          <w:sz w:val="22"/>
          <w:szCs w:val="22"/>
          <w:lang w:val="en-GB"/>
        </w:rPr>
        <w:t>twice</w:t>
      </w:r>
      <w:r w:rsidRPr="7FED74DD" w:rsidR="7E490F2A">
        <w:rPr>
          <w:rFonts w:ascii="Arial" w:hAnsi="Arial" w:eastAsia="Arial" w:cs="Arial"/>
          <w:b w:val="0"/>
          <w:bCs w:val="0"/>
          <w:i w:val="0"/>
          <w:iCs w:val="0"/>
          <w:caps w:val="0"/>
          <w:smallCaps w:val="0"/>
          <w:noProof w:val="0"/>
          <w:color w:val="000000" w:themeColor="text1" w:themeTint="FF" w:themeShade="FF"/>
          <w:sz w:val="22"/>
          <w:szCs w:val="22"/>
          <w:lang w:val="en-GB"/>
        </w:rPr>
        <w:t xml:space="preserve"> as likely to experience OCD (American Psychiatric Association, 2022, p. 276). Although ICD-11 provides a refined taxonomy, its UK implementation </w:t>
      </w:r>
      <w:r w:rsidRPr="7FED74DD" w:rsidR="7E490F2A">
        <w:rPr>
          <w:rFonts w:ascii="Arial" w:hAnsi="Arial" w:eastAsia="Arial" w:cs="Arial"/>
          <w:b w:val="0"/>
          <w:bCs w:val="0"/>
          <w:i w:val="0"/>
          <w:iCs w:val="0"/>
          <w:caps w:val="0"/>
          <w:smallCaps w:val="0"/>
          <w:noProof w:val="0"/>
          <w:color w:val="000000" w:themeColor="text1" w:themeTint="FF" w:themeShade="FF"/>
          <w:sz w:val="22"/>
          <w:szCs w:val="22"/>
          <w:lang w:val="en-GB"/>
        </w:rPr>
        <w:t>remains</w:t>
      </w:r>
      <w:r w:rsidRPr="7FED74DD" w:rsidR="7E490F2A">
        <w:rPr>
          <w:rFonts w:ascii="Arial" w:hAnsi="Arial" w:eastAsia="Arial" w:cs="Arial"/>
          <w:b w:val="0"/>
          <w:bCs w:val="0"/>
          <w:i w:val="0"/>
          <w:iCs w:val="0"/>
          <w:caps w:val="0"/>
          <w:smallCaps w:val="0"/>
          <w:noProof w:val="0"/>
          <w:color w:val="000000" w:themeColor="text1" w:themeTint="FF" w:themeShade="FF"/>
          <w:sz w:val="22"/>
          <w:szCs w:val="22"/>
          <w:lang w:val="en-GB"/>
        </w:rPr>
        <w:t xml:space="preserve"> disjointed. Standardi</w:t>
      </w:r>
      <w:r w:rsidRPr="7FED74DD" w:rsidR="6387B222">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7E490F2A">
        <w:rPr>
          <w:rFonts w:ascii="Arial" w:hAnsi="Arial" w:eastAsia="Arial" w:cs="Arial"/>
          <w:b w:val="0"/>
          <w:bCs w:val="0"/>
          <w:i w:val="0"/>
          <w:iCs w:val="0"/>
          <w:caps w:val="0"/>
          <w:smallCaps w:val="0"/>
          <w:noProof w:val="0"/>
          <w:color w:val="000000" w:themeColor="text1" w:themeTint="FF" w:themeShade="FF"/>
          <w:sz w:val="22"/>
          <w:szCs w:val="22"/>
          <w:lang w:val="en-GB"/>
        </w:rPr>
        <w:t xml:space="preserve">ed practices often </w:t>
      </w:r>
      <w:r w:rsidRPr="7FED74DD" w:rsidR="7E490F2A">
        <w:rPr>
          <w:rFonts w:ascii="Arial" w:hAnsi="Arial" w:eastAsia="Arial" w:cs="Arial"/>
          <w:b w:val="0"/>
          <w:bCs w:val="0"/>
          <w:i w:val="0"/>
          <w:iCs w:val="0"/>
          <w:caps w:val="0"/>
          <w:smallCaps w:val="0"/>
          <w:noProof w:val="0"/>
          <w:color w:val="000000" w:themeColor="text1" w:themeTint="FF" w:themeShade="FF"/>
          <w:sz w:val="22"/>
          <w:szCs w:val="22"/>
          <w:lang w:val="en-GB"/>
        </w:rPr>
        <w:t>fail to</w:t>
      </w:r>
      <w:r w:rsidRPr="7FED74DD" w:rsidR="7E490F2A">
        <w:rPr>
          <w:rFonts w:ascii="Arial" w:hAnsi="Arial" w:eastAsia="Arial" w:cs="Arial"/>
          <w:b w:val="0"/>
          <w:bCs w:val="0"/>
          <w:i w:val="0"/>
          <w:iCs w:val="0"/>
          <w:caps w:val="0"/>
          <w:smallCaps w:val="0"/>
          <w:noProof w:val="0"/>
          <w:color w:val="000000" w:themeColor="text1" w:themeTint="FF" w:themeShade="FF"/>
          <w:sz w:val="22"/>
          <w:szCs w:val="22"/>
          <w:lang w:val="en-GB"/>
        </w:rPr>
        <w:t xml:space="preserve"> capture the nuances of neurodivergent presentations, leading to persistent misdiagnosis (Exceptional Individuals, 2025). As Weinberg</w:t>
      </w:r>
      <w:r w:rsidRPr="7FED74DD" w:rsidR="7E490F2A">
        <w:rPr>
          <w:rFonts w:ascii="Arial" w:hAnsi="Arial" w:eastAsia="Arial" w:cs="Arial"/>
          <w:b w:val="0"/>
          <w:bCs w:val="0"/>
          <w:i w:val="1"/>
          <w:iCs w:val="1"/>
          <w:caps w:val="0"/>
          <w:smallCaps w:val="0"/>
          <w:noProof w:val="0"/>
          <w:color w:val="000000" w:themeColor="text1" w:themeTint="FF" w:themeShade="FF"/>
          <w:sz w:val="22"/>
          <w:szCs w:val="22"/>
          <w:lang w:val="en-GB"/>
        </w:rPr>
        <w:t xml:space="preserve"> et al</w:t>
      </w:r>
      <w:r w:rsidRPr="7FED74DD" w:rsidR="7E490F2A">
        <w:rPr>
          <w:rFonts w:ascii="Arial" w:hAnsi="Arial" w:eastAsia="Arial" w:cs="Arial"/>
          <w:b w:val="0"/>
          <w:bCs w:val="0"/>
          <w:i w:val="0"/>
          <w:iCs w:val="0"/>
          <w:caps w:val="0"/>
          <w:smallCaps w:val="0"/>
          <w:noProof w:val="0"/>
          <w:color w:val="000000" w:themeColor="text1" w:themeTint="FF" w:themeShade="FF"/>
          <w:sz w:val="22"/>
          <w:szCs w:val="22"/>
          <w:lang w:val="en-GB"/>
        </w:rPr>
        <w:t>. (2025) note, over one-third of professionals incorrectly diagnose OCD, mistaking ruminative obsession for ADHD hyperfocus or autism-based rigidity. This diagnostic failure is not merely administrative; it is a clinical breakdown that leaves patients in a state of limbo, as their complex neurological reality is reduced to a single, inaccurate, and often stigmati</w:t>
      </w:r>
      <w:r w:rsidRPr="7FED74DD" w:rsidR="3E1E0062">
        <w:rPr>
          <w:rFonts w:ascii="Arial" w:hAnsi="Arial" w:eastAsia="Arial" w:cs="Arial"/>
          <w:b w:val="0"/>
          <w:bCs w:val="0"/>
          <w:i w:val="0"/>
          <w:iCs w:val="0"/>
          <w:caps w:val="0"/>
          <w:smallCaps w:val="0"/>
          <w:noProof w:val="0"/>
          <w:color w:val="000000" w:themeColor="text1" w:themeTint="FF" w:themeShade="FF"/>
          <w:sz w:val="22"/>
          <w:szCs w:val="22"/>
          <w:lang w:val="en-GB"/>
        </w:rPr>
        <w:t>si</w:t>
      </w:r>
      <w:r w:rsidRPr="7FED74DD" w:rsidR="7E490F2A">
        <w:rPr>
          <w:rFonts w:ascii="Arial" w:hAnsi="Arial" w:eastAsia="Arial" w:cs="Arial"/>
          <w:b w:val="0"/>
          <w:bCs w:val="0"/>
          <w:i w:val="0"/>
          <w:iCs w:val="0"/>
          <w:caps w:val="0"/>
          <w:smallCaps w:val="0"/>
          <w:noProof w:val="0"/>
          <w:color w:val="000000" w:themeColor="text1" w:themeTint="FF" w:themeShade="FF"/>
          <w:sz w:val="22"/>
          <w:szCs w:val="22"/>
          <w:lang w:val="en-GB"/>
        </w:rPr>
        <w:t>ng label.</w:t>
      </w:r>
    </w:p>
    <w:p w:rsidR="75FDA7CF" w:rsidP="7FED74DD" w:rsidRDefault="75FDA7CF" w14:paraId="148E697E" w14:textId="528FD98A">
      <w:pPr>
        <w:spacing w:line="360" w:lineRule="auto"/>
      </w:pPr>
      <w:r>
        <w:br w:type="page"/>
      </w:r>
    </w:p>
    <w:p w:rsidR="75FDA7CF" w:rsidP="7FED74DD" w:rsidRDefault="75FDA7CF" w14:paraId="51731F45" w14:textId="414596EB">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7FED74DD" w:rsidR="40C13AB8">
        <w:rPr>
          <w:rFonts w:ascii="Arial" w:hAnsi="Arial" w:eastAsia="Arial" w:cs="Arial"/>
          <w:b w:val="1"/>
          <w:bCs w:val="1"/>
          <w:i w:val="0"/>
          <w:iCs w:val="0"/>
          <w:caps w:val="0"/>
          <w:smallCaps w:val="0"/>
          <w:noProof w:val="0"/>
          <w:color w:val="000000" w:themeColor="text1" w:themeTint="FF" w:themeShade="FF"/>
          <w:sz w:val="22"/>
          <w:szCs w:val="22"/>
          <w:lang w:val="en-GB"/>
        </w:rPr>
        <w:t>Policy &amp; Legal Framework</w:t>
      </w:r>
    </w:p>
    <w:p w:rsidR="75FDA7CF" w:rsidP="7FED74DD" w:rsidRDefault="75FDA7CF" w14:paraId="0B31D163" w14:textId="020C1210">
      <w:pPr>
        <w:pStyle w:val="ListParagraph"/>
        <w:spacing w:line="360" w:lineRule="auto"/>
        <w:ind w:left="720"/>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5FDA7CF" w:rsidP="7FED74DD" w:rsidRDefault="75FDA7CF" w14:paraId="5600455C" w14:textId="083FC2B1">
      <w:pPr>
        <w:pStyle w:val="ListParagraph"/>
        <w:numPr>
          <w:ilvl w:val="0"/>
          <w:numId w:val="18"/>
        </w:numPr>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FED74DD" w:rsidR="7ABFD347">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Table 1: UK Legislative Framework for Mental Health Care  </w:t>
      </w:r>
    </w:p>
    <w:tbl>
      <w:tblPr>
        <w:tblStyle w:val="TableNormal"/>
        <w:bidiVisual w:val="0"/>
        <w:tblW w:w="0" w:type="auto"/>
        <w:tblLook w:val="06A0" w:firstRow="1" w:lastRow="0" w:firstColumn="1" w:lastColumn="0" w:noHBand="1" w:noVBand="1"/>
      </w:tblPr>
      <w:tblGrid>
        <w:gridCol w:w="1920"/>
        <w:gridCol w:w="3330"/>
        <w:gridCol w:w="3765"/>
      </w:tblGrid>
      <w:tr w:rsidR="7FED74DD" w:rsidTr="7FED74DD" w14:paraId="29875C3D">
        <w:trPr>
          <w:trHeight w:val="300"/>
        </w:trPr>
        <w:tc>
          <w:tcPr>
            <w:tcW w:w="192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FED74DD" w:rsidP="7FED74DD" w:rsidRDefault="7FED74DD" w14:paraId="28A0AA57" w14:textId="2E8A4667">
            <w:pPr>
              <w:spacing w:before="0" w:beforeAutospacing="off" w:after="0" w:afterAutospacing="off"/>
              <w:jc w:val="center"/>
            </w:pPr>
            <w:r w:rsidRPr="7FED74DD" w:rsidR="7FED74DD">
              <w:rPr>
                <w:b w:val="1"/>
                <w:bCs w:val="1"/>
                <w:color w:val="FF0000"/>
              </w:rPr>
              <w:t>Legislation</w:t>
            </w:r>
          </w:p>
        </w:tc>
        <w:tc>
          <w:tcPr>
            <w:tcW w:w="333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FED74DD" w:rsidP="7FED74DD" w:rsidRDefault="7FED74DD" w14:paraId="748D88C5" w14:textId="7DB03FEF">
            <w:pPr>
              <w:spacing w:before="0" w:beforeAutospacing="off" w:after="0" w:afterAutospacing="off" w:line="360" w:lineRule="auto"/>
              <w:jc w:val="center"/>
              <w:rPr>
                <w:b w:val="1"/>
                <w:bCs w:val="1"/>
                <w:color w:val="FF0000"/>
              </w:rPr>
            </w:pPr>
            <w:r w:rsidRPr="7FED74DD" w:rsidR="7FED74DD">
              <w:rPr>
                <w:b w:val="1"/>
                <w:bCs w:val="1"/>
                <w:color w:val="FF0000"/>
              </w:rPr>
              <w:t>Key Implications for OCD Support</w:t>
            </w:r>
          </w:p>
        </w:tc>
        <w:tc>
          <w:tcPr>
            <w:tcW w:w="376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FED74DD" w:rsidP="7FED74DD" w:rsidRDefault="7FED74DD" w14:paraId="5BF61180" w14:textId="6CEAA673">
            <w:pPr>
              <w:spacing w:before="0" w:beforeAutospacing="off" w:after="0" w:afterAutospacing="off" w:line="360" w:lineRule="auto"/>
              <w:jc w:val="center"/>
              <w:rPr>
                <w:b w:val="1"/>
                <w:bCs w:val="1"/>
                <w:color w:val="FF0000"/>
              </w:rPr>
            </w:pPr>
            <w:r w:rsidRPr="7FED74DD" w:rsidR="7FED74DD">
              <w:rPr>
                <w:b w:val="1"/>
                <w:bCs w:val="1"/>
                <w:color w:val="FF0000"/>
              </w:rPr>
              <w:t>Systemic Limitation</w:t>
            </w:r>
          </w:p>
        </w:tc>
      </w:tr>
      <w:tr w:rsidR="7FED74DD" w:rsidTr="7FED74DD" w14:paraId="3EE282B4">
        <w:trPr>
          <w:trHeight w:val="300"/>
        </w:trPr>
        <w:tc>
          <w:tcPr>
            <w:tcW w:w="192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FED74DD" w:rsidP="7FED74DD" w:rsidRDefault="7FED74DD" w14:paraId="7D430A90" w14:textId="023432DE">
            <w:pPr>
              <w:spacing w:before="0" w:beforeAutospacing="off" w:after="0" w:afterAutospacing="off"/>
              <w:jc w:val="center"/>
            </w:pPr>
            <w:r w:rsidRPr="7FED74DD" w:rsidR="7FED74DD">
              <w:rPr>
                <w:b w:val="1"/>
                <w:bCs w:val="1"/>
              </w:rPr>
              <w:t>Mental Health Act (1983/2007)</w:t>
            </w:r>
          </w:p>
        </w:tc>
        <w:tc>
          <w:tcPr>
            <w:tcW w:w="333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FED74DD" w:rsidP="7FED74DD" w:rsidRDefault="7FED74DD" w14:paraId="4D517673" w14:textId="21259D11">
            <w:pPr>
              <w:spacing w:before="0" w:beforeAutospacing="off" w:after="0" w:afterAutospacing="off" w:line="360" w:lineRule="auto"/>
              <w:jc w:val="both"/>
            </w:pPr>
            <w:r w:rsidR="7FED74DD">
              <w:rPr/>
              <w:t>Regulates compulsory detention and patient rights.</w:t>
            </w:r>
          </w:p>
        </w:tc>
        <w:tc>
          <w:tcPr>
            <w:tcW w:w="376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FED74DD" w:rsidP="7FED74DD" w:rsidRDefault="7FED74DD" w14:paraId="7918CC7E" w14:textId="49B3A7BF">
            <w:pPr>
              <w:spacing w:before="0" w:beforeAutospacing="off" w:after="0" w:afterAutospacing="off" w:line="360" w:lineRule="auto"/>
              <w:jc w:val="both"/>
            </w:pPr>
            <w:r w:rsidR="7FED74DD">
              <w:rPr/>
              <w:t>Often reactive; prioriti</w:t>
            </w:r>
            <w:r w:rsidR="3EF683BA">
              <w:rPr/>
              <w:t>s</w:t>
            </w:r>
            <w:r w:rsidR="7FED74DD">
              <w:rPr/>
              <w:t>es crisis management over proactive, community-based support.</w:t>
            </w:r>
          </w:p>
        </w:tc>
      </w:tr>
      <w:tr w:rsidR="7FED74DD" w:rsidTr="7FED74DD" w14:paraId="775189FD">
        <w:trPr>
          <w:trHeight w:val="300"/>
        </w:trPr>
        <w:tc>
          <w:tcPr>
            <w:tcW w:w="192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FED74DD" w:rsidP="7FED74DD" w:rsidRDefault="7FED74DD" w14:paraId="557C8114" w14:textId="3589B6D7">
            <w:pPr>
              <w:spacing w:before="0" w:beforeAutospacing="off" w:after="0" w:afterAutospacing="off"/>
              <w:jc w:val="center"/>
            </w:pPr>
            <w:r w:rsidRPr="7FED74DD" w:rsidR="7FED74DD">
              <w:rPr>
                <w:b w:val="1"/>
                <w:bCs w:val="1"/>
              </w:rPr>
              <w:t>Equality Act (2010)</w:t>
            </w:r>
          </w:p>
        </w:tc>
        <w:tc>
          <w:tcPr>
            <w:tcW w:w="333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FED74DD" w:rsidP="7FED74DD" w:rsidRDefault="7FED74DD" w14:paraId="31E6E89B" w14:textId="24018C1E">
            <w:pPr>
              <w:spacing w:before="0" w:beforeAutospacing="off" w:after="0" w:afterAutospacing="off" w:line="360" w:lineRule="auto"/>
              <w:jc w:val="both"/>
            </w:pPr>
            <w:r w:rsidR="7FED74DD">
              <w:rPr/>
              <w:t>Mandates 'reasonable adjustments' in service provision.</w:t>
            </w:r>
          </w:p>
        </w:tc>
        <w:tc>
          <w:tcPr>
            <w:tcW w:w="376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FED74DD" w:rsidP="7FED74DD" w:rsidRDefault="7FED74DD" w14:paraId="622C0453" w14:textId="17A522CC">
            <w:pPr>
              <w:spacing w:before="0" w:beforeAutospacing="off" w:after="0" w:afterAutospacing="off" w:line="360" w:lineRule="auto"/>
              <w:jc w:val="both"/>
            </w:pPr>
            <w:r w:rsidR="7FED74DD">
              <w:rPr/>
              <w:t>Protections often fail due to the 'invisibility' of OCD symptoms.</w:t>
            </w:r>
          </w:p>
        </w:tc>
      </w:tr>
      <w:tr w:rsidR="7FED74DD" w:rsidTr="7FED74DD" w14:paraId="6E79EACF">
        <w:trPr>
          <w:trHeight w:val="300"/>
        </w:trPr>
        <w:tc>
          <w:tcPr>
            <w:tcW w:w="192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FED74DD" w:rsidP="7FED74DD" w:rsidRDefault="7FED74DD" w14:paraId="2EE6ED54" w14:textId="2027188D">
            <w:pPr>
              <w:spacing w:before="0" w:beforeAutospacing="off" w:after="0" w:afterAutospacing="off"/>
              <w:jc w:val="center"/>
            </w:pPr>
            <w:r w:rsidRPr="7FED74DD" w:rsidR="7FED74DD">
              <w:rPr>
                <w:b w:val="1"/>
                <w:bCs w:val="1"/>
              </w:rPr>
              <w:t>Care Act (2014)</w:t>
            </w:r>
          </w:p>
        </w:tc>
        <w:tc>
          <w:tcPr>
            <w:tcW w:w="333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FED74DD" w:rsidP="7FED74DD" w:rsidRDefault="7FED74DD" w14:paraId="4695CB59" w14:textId="05E0CD80">
            <w:pPr>
              <w:spacing w:before="0" w:beforeAutospacing="off" w:after="0" w:afterAutospacing="off" w:line="360" w:lineRule="auto"/>
              <w:jc w:val="both"/>
            </w:pPr>
            <w:r w:rsidR="7FED74DD">
              <w:rPr/>
              <w:t>Statutory duty to provide community social care.</w:t>
            </w:r>
          </w:p>
        </w:tc>
        <w:tc>
          <w:tcPr>
            <w:tcW w:w="376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7FED74DD" w:rsidP="7FED74DD" w:rsidRDefault="7FED74DD" w14:paraId="2339FEE6" w14:textId="07CD86D0">
            <w:pPr>
              <w:spacing w:before="0" w:beforeAutospacing="off" w:after="0" w:afterAutospacing="off" w:line="360" w:lineRule="auto"/>
              <w:jc w:val="both"/>
            </w:pPr>
            <w:r w:rsidR="7FED74DD">
              <w:rPr/>
              <w:t>Implementation is hindered by the 'postcode lottery' and local resource gaps.</w:t>
            </w:r>
          </w:p>
        </w:tc>
      </w:tr>
    </w:tbl>
    <w:p w:rsidR="7FED74DD" w:rsidP="7FED74DD" w:rsidRDefault="7FED74DD" w14:paraId="1264E57D" w14:textId="3FE5017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3C33B28" w:rsidP="2AD1E4E8" w:rsidRDefault="33C33B28" w14:paraId="620564A5" w14:textId="5F7D361A">
      <w:pPr>
        <w:pStyle w:val="Normal"/>
        <w:spacing w:line="360" w:lineRule="auto"/>
        <w:jc w:val="both"/>
      </w:pPr>
      <w:r w:rsidRPr="2AD1E4E8" w:rsidR="33C33B28">
        <w:rPr>
          <w:rFonts w:ascii="Arial" w:hAnsi="Arial" w:eastAsia="Arial" w:cs="Arial"/>
          <w:b w:val="0"/>
          <w:bCs w:val="0"/>
          <w:i w:val="0"/>
          <w:iCs w:val="0"/>
          <w:caps w:val="0"/>
          <w:smallCaps w:val="0"/>
          <w:noProof w:val="0"/>
          <w:color w:val="000000" w:themeColor="text1" w:themeTint="FF" w:themeShade="FF"/>
          <w:sz w:val="22"/>
          <w:szCs w:val="22"/>
          <w:lang w:val="en-GB"/>
        </w:rPr>
        <w:t xml:space="preserve">The UK legislative landscape provides a multi-layered framework for patient rights, as summarised in Table 1. Legislatively, the Equality Act (2010) is critical, mandating "reasonable adjustments" for those with mental health conditions. However, its impact is diluted by the invisibility of OCD symptoms; accessing these protections requires formal diagnosis a barrier for neurodivergent patients facing systemic diagnostic failures (Exceptional Individuals, 2025). </w:t>
      </w:r>
    </w:p>
    <w:p w:rsidR="33C33B28" w:rsidP="2AD1E4E8" w:rsidRDefault="33C33B28" w14:paraId="772369F0" w14:textId="4CDBED89">
      <w:pPr>
        <w:pStyle w:val="Normal"/>
        <w:spacing w:line="360" w:lineRule="auto"/>
        <w:jc w:val="both"/>
      </w:pPr>
      <w:r w:rsidRPr="7FED74DD" w:rsidR="5D39D0E2">
        <w:rPr>
          <w:rFonts w:ascii="Arial" w:hAnsi="Arial" w:eastAsia="Arial" w:cs="Arial"/>
          <w:b w:val="0"/>
          <w:bCs w:val="0"/>
          <w:i w:val="0"/>
          <w:iCs w:val="0"/>
          <w:caps w:val="0"/>
          <w:smallCaps w:val="0"/>
          <w:noProof w:val="0"/>
          <w:color w:val="000000" w:themeColor="text1" w:themeTint="FF" w:themeShade="FF"/>
          <w:sz w:val="22"/>
          <w:szCs w:val="22"/>
          <w:lang w:val="en-GB"/>
        </w:rPr>
        <w:t xml:space="preserve">Furthermore, while the Mental Health Act (1983, 2007) provides the framework for involuntary treatment, the Care Act (2014) mandates local authorities to provide essential social care support. Despite these statutes, ethical concerns persist </w:t>
      </w:r>
      <w:r w:rsidRPr="7FED74DD" w:rsidR="5D39D0E2">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7FED74DD" w:rsidR="5D39D0E2">
        <w:rPr>
          <w:rFonts w:ascii="Arial" w:hAnsi="Arial" w:eastAsia="Arial" w:cs="Arial"/>
          <w:b w:val="0"/>
          <w:bCs w:val="0"/>
          <w:i w:val="0"/>
          <w:iCs w:val="0"/>
          <w:caps w:val="0"/>
          <w:smallCaps w:val="0"/>
          <w:noProof w:val="0"/>
          <w:color w:val="000000" w:themeColor="text1" w:themeTint="FF" w:themeShade="FF"/>
          <w:sz w:val="22"/>
          <w:szCs w:val="22"/>
          <w:lang w:val="en-GB"/>
        </w:rPr>
        <w:t xml:space="preserve"> the "postcode lottery" of care; while the NHS Long Term Plan promises expansion, service provision </w:t>
      </w:r>
      <w:r w:rsidRPr="7FED74DD" w:rsidR="5D39D0E2">
        <w:rPr>
          <w:rFonts w:ascii="Arial" w:hAnsi="Arial" w:eastAsia="Arial" w:cs="Arial"/>
          <w:b w:val="0"/>
          <w:bCs w:val="0"/>
          <w:i w:val="0"/>
          <w:iCs w:val="0"/>
          <w:caps w:val="0"/>
          <w:smallCaps w:val="0"/>
          <w:noProof w:val="0"/>
          <w:color w:val="000000" w:themeColor="text1" w:themeTint="FF" w:themeShade="FF"/>
          <w:sz w:val="22"/>
          <w:szCs w:val="22"/>
          <w:lang w:val="en-GB"/>
        </w:rPr>
        <w:t>remains</w:t>
      </w:r>
      <w:r w:rsidRPr="7FED74DD" w:rsidR="5D39D0E2">
        <w:rPr>
          <w:rFonts w:ascii="Arial" w:hAnsi="Arial" w:eastAsia="Arial" w:cs="Arial"/>
          <w:b w:val="0"/>
          <w:bCs w:val="0"/>
          <w:i w:val="0"/>
          <w:iCs w:val="0"/>
          <w:caps w:val="0"/>
          <w:smallCaps w:val="0"/>
          <w:noProof w:val="0"/>
          <w:color w:val="000000" w:themeColor="text1" w:themeTint="FF" w:themeShade="FF"/>
          <w:sz w:val="22"/>
          <w:szCs w:val="22"/>
          <w:lang w:val="en-GB"/>
        </w:rPr>
        <w:t xml:space="preserve"> uneven (Lowther-Payne </w:t>
      </w:r>
      <w:r w:rsidRPr="7FED74DD" w:rsidR="5D39D0E2">
        <w:rPr>
          <w:rFonts w:ascii="Arial" w:hAnsi="Arial" w:eastAsia="Arial" w:cs="Arial"/>
          <w:b w:val="0"/>
          <w:bCs w:val="0"/>
          <w:i w:val="1"/>
          <w:iCs w:val="1"/>
          <w:caps w:val="0"/>
          <w:smallCaps w:val="0"/>
          <w:noProof w:val="0"/>
          <w:color w:val="000000" w:themeColor="text1" w:themeTint="FF" w:themeShade="FF"/>
          <w:sz w:val="22"/>
          <w:szCs w:val="22"/>
          <w:lang w:val="en-GB"/>
        </w:rPr>
        <w:t>et al.</w:t>
      </w:r>
      <w:r w:rsidRPr="7FED74DD" w:rsidR="5D39D0E2">
        <w:rPr>
          <w:rFonts w:ascii="Arial" w:hAnsi="Arial" w:eastAsia="Arial" w:cs="Arial"/>
          <w:b w:val="0"/>
          <w:bCs w:val="0"/>
          <w:i w:val="0"/>
          <w:iCs w:val="0"/>
          <w:caps w:val="0"/>
          <w:smallCaps w:val="0"/>
          <w:noProof w:val="0"/>
          <w:color w:val="000000" w:themeColor="text1" w:themeTint="FF" w:themeShade="FF"/>
          <w:sz w:val="22"/>
          <w:szCs w:val="22"/>
          <w:lang w:val="en-GB"/>
        </w:rPr>
        <w:t xml:space="preserve">, 2023). Without neurodivergence-informed clinical training, these legislative protections </w:t>
      </w:r>
      <w:r w:rsidRPr="7FED74DD" w:rsidR="5D39D0E2">
        <w:rPr>
          <w:rFonts w:ascii="Arial" w:hAnsi="Arial" w:eastAsia="Arial" w:cs="Arial"/>
          <w:b w:val="0"/>
          <w:bCs w:val="0"/>
          <w:i w:val="0"/>
          <w:iCs w:val="0"/>
          <w:caps w:val="0"/>
          <w:smallCaps w:val="0"/>
          <w:noProof w:val="0"/>
          <w:color w:val="000000" w:themeColor="text1" w:themeTint="FF" w:themeShade="FF"/>
          <w:sz w:val="22"/>
          <w:szCs w:val="22"/>
          <w:lang w:val="en-GB"/>
        </w:rPr>
        <w:t>remain</w:t>
      </w:r>
      <w:r w:rsidRPr="7FED74DD" w:rsidR="5D39D0E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FED74DD" w:rsidR="0C5C61BA">
        <w:rPr>
          <w:rFonts w:ascii="Arial" w:hAnsi="Arial" w:eastAsia="Arial" w:cs="Arial"/>
          <w:b w:val="0"/>
          <w:bCs w:val="0"/>
          <w:i w:val="0"/>
          <w:iCs w:val="0"/>
          <w:caps w:val="0"/>
          <w:smallCaps w:val="0"/>
          <w:noProof w:val="0"/>
          <w:color w:val="000000" w:themeColor="text1" w:themeTint="FF" w:themeShade="FF"/>
          <w:sz w:val="22"/>
          <w:szCs w:val="22"/>
          <w:lang w:val="en-GB"/>
        </w:rPr>
        <w:t>unrealised</w:t>
      </w:r>
      <w:r w:rsidRPr="7FED74DD" w:rsidR="5D39D0E2">
        <w:rPr>
          <w:rFonts w:ascii="Arial" w:hAnsi="Arial" w:eastAsia="Arial" w:cs="Arial"/>
          <w:b w:val="0"/>
          <w:bCs w:val="0"/>
          <w:i w:val="0"/>
          <w:iCs w:val="0"/>
          <w:caps w:val="0"/>
          <w:smallCaps w:val="0"/>
          <w:noProof w:val="0"/>
          <w:color w:val="000000" w:themeColor="text1" w:themeTint="FF" w:themeShade="FF"/>
          <w:sz w:val="22"/>
          <w:szCs w:val="22"/>
          <w:lang w:val="en-GB"/>
        </w:rPr>
        <w:t>, leaving patients vulnerable to therapeutic stagnation (Exceptional Individuals, 2025).</w:t>
      </w:r>
    </w:p>
    <w:p w:rsidR="06AE0F8C" w:rsidP="7FED74DD" w:rsidRDefault="06AE0F8C" w14:paraId="1A89E59F" w14:textId="43E0C655">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06AE0F8C" w:rsidP="7FED74DD" w:rsidRDefault="06AE0F8C" w14:paraId="5872F628" w14:textId="73A8A02E">
      <w:pPr>
        <w:spacing w:line="360" w:lineRule="auto"/>
      </w:pPr>
      <w:r>
        <w:br w:type="page"/>
      </w:r>
    </w:p>
    <w:p w:rsidR="06AE0F8C" w:rsidP="2AD1E4E8" w:rsidRDefault="06AE0F8C" w14:paraId="4DD60DFE" w14:textId="69C78E25">
      <w:pPr>
        <w:pStyle w:val="Normal"/>
        <w:spacing w:line="360" w:lineRule="auto"/>
        <w:jc w:val="both"/>
      </w:pPr>
      <w:r w:rsidRPr="7FED74DD" w:rsidR="4765C76D">
        <w:rPr>
          <w:rFonts w:ascii="Arial" w:hAnsi="Arial" w:eastAsia="Arial" w:cs="Arial"/>
          <w:b w:val="1"/>
          <w:bCs w:val="1"/>
          <w:i w:val="0"/>
          <w:iCs w:val="0"/>
          <w:caps w:val="0"/>
          <w:smallCaps w:val="0"/>
          <w:noProof w:val="0"/>
          <w:color w:val="000000" w:themeColor="text1" w:themeTint="FF" w:themeShade="FF"/>
          <w:sz w:val="22"/>
          <w:szCs w:val="22"/>
          <w:lang w:val="en-GB"/>
        </w:rPr>
        <w:t>UK Data &amp; Statistical Evidence</w:t>
      </w:r>
    </w:p>
    <w:p w:rsidR="7FED74DD" w:rsidP="7FED74DD" w:rsidRDefault="7FED74DD" w14:paraId="37430EC6" w14:textId="3651941D">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B57F868" w:rsidP="2AD1E4E8" w:rsidRDefault="7B57F868" w14:paraId="34572273" w14:textId="5A8D8634">
      <w:pPr>
        <w:pStyle w:val="ListParagraph"/>
        <w:numPr>
          <w:ilvl w:val="0"/>
          <w:numId w:val="17"/>
        </w:numPr>
        <w:spacing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2AD1E4E8" w:rsidR="7B57F868">
        <w:rPr>
          <w:rFonts w:ascii="Arial" w:hAnsi="Arial" w:eastAsia="Arial" w:cs="Arial"/>
          <w:b w:val="1"/>
          <w:bCs w:val="1"/>
          <w:i w:val="0"/>
          <w:iCs w:val="0"/>
          <w:caps w:val="0"/>
          <w:smallCaps w:val="0"/>
          <w:noProof w:val="0"/>
          <w:color w:val="000000" w:themeColor="text1" w:themeTint="FF" w:themeShade="FF"/>
          <w:sz w:val="22"/>
          <w:szCs w:val="22"/>
          <w:u w:val="single"/>
          <w:lang w:val="en-GB"/>
        </w:rPr>
        <w:t>Table 2: UK Data Sources and Their Relevance to OCD Analysis</w:t>
      </w:r>
    </w:p>
    <w:tbl>
      <w:tblPr>
        <w:tblStyle w:val="TableNormal"/>
        <w:bidiVisual w:val="0"/>
        <w:tblW w:w="0" w:type="auto"/>
        <w:tblLook w:val="06A0" w:firstRow="1" w:lastRow="0" w:firstColumn="1" w:lastColumn="0" w:noHBand="1" w:noVBand="1"/>
      </w:tblPr>
      <w:tblGrid>
        <w:gridCol w:w="2338"/>
        <w:gridCol w:w="6677"/>
      </w:tblGrid>
      <w:tr w:rsidR="2AD1E4E8" w:rsidTr="7FED74DD" w14:paraId="00F3A61D">
        <w:trPr>
          <w:trHeight w:val="300"/>
        </w:trPr>
        <w:tc>
          <w:tcPr>
            <w:tcW w:w="233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2AD1E4E8" w:rsidP="2AD1E4E8" w:rsidRDefault="2AD1E4E8" w14:paraId="6508E7A0" w14:textId="249E343E">
            <w:pPr>
              <w:spacing w:before="0" w:beforeAutospacing="off" w:after="0" w:afterAutospacing="off" w:line="360" w:lineRule="auto"/>
              <w:jc w:val="center"/>
              <w:rPr>
                <w:b w:val="1"/>
                <w:bCs w:val="1"/>
                <w:sz w:val="22"/>
                <w:szCs w:val="22"/>
              </w:rPr>
            </w:pPr>
            <w:r w:rsidRPr="7FED74DD" w:rsidR="746C083B">
              <w:rPr>
                <w:b w:val="1"/>
                <w:bCs w:val="1"/>
                <w:color w:val="FF0000"/>
                <w:sz w:val="22"/>
                <w:szCs w:val="22"/>
              </w:rPr>
              <w:t>Data Source</w:t>
            </w:r>
          </w:p>
        </w:tc>
        <w:tc>
          <w:tcPr>
            <w:tcW w:w="6677"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2AD1E4E8" w:rsidP="7FED74DD" w:rsidRDefault="2AD1E4E8" w14:paraId="53573FC0" w14:textId="1A513B6E">
            <w:pPr>
              <w:spacing w:before="0" w:beforeAutospacing="off" w:after="0" w:afterAutospacing="off" w:line="360" w:lineRule="auto"/>
              <w:jc w:val="center"/>
              <w:rPr>
                <w:b w:val="1"/>
                <w:bCs w:val="1"/>
                <w:color w:val="FF0000"/>
                <w:sz w:val="22"/>
                <w:szCs w:val="22"/>
              </w:rPr>
            </w:pPr>
            <w:r w:rsidRPr="7FED74DD" w:rsidR="746C083B">
              <w:rPr>
                <w:b w:val="1"/>
                <w:bCs w:val="1"/>
                <w:color w:val="FF0000"/>
                <w:sz w:val="22"/>
                <w:szCs w:val="22"/>
              </w:rPr>
              <w:t>Specific Relevance to OCD Analysis</w:t>
            </w:r>
          </w:p>
        </w:tc>
      </w:tr>
      <w:tr w:rsidR="2AD1E4E8" w:rsidTr="7FED74DD" w14:paraId="3AFDD472">
        <w:trPr>
          <w:trHeight w:val="300"/>
        </w:trPr>
        <w:tc>
          <w:tcPr>
            <w:tcW w:w="233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2AD1E4E8" w:rsidP="2AD1E4E8" w:rsidRDefault="2AD1E4E8" w14:paraId="0D160C8B" w14:textId="305867FB">
            <w:pPr>
              <w:spacing w:before="0" w:beforeAutospacing="off" w:after="0" w:afterAutospacing="off" w:line="360" w:lineRule="auto"/>
              <w:jc w:val="center"/>
              <w:rPr>
                <w:b w:val="1"/>
                <w:bCs w:val="1"/>
                <w:sz w:val="22"/>
                <w:szCs w:val="22"/>
              </w:rPr>
            </w:pPr>
            <w:r w:rsidRPr="2AD1E4E8" w:rsidR="2AD1E4E8">
              <w:rPr>
                <w:b w:val="1"/>
                <w:bCs w:val="1"/>
                <w:sz w:val="22"/>
                <w:szCs w:val="22"/>
              </w:rPr>
              <w:t>NHS Digital</w:t>
            </w:r>
          </w:p>
        </w:tc>
        <w:tc>
          <w:tcPr>
            <w:tcW w:w="6677"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2AD1E4E8" w:rsidP="7FED74DD" w:rsidRDefault="2AD1E4E8" w14:paraId="6937EF15" w14:textId="0B3FBFCF">
            <w:pPr>
              <w:spacing w:before="0" w:beforeAutospacing="off" w:after="0" w:afterAutospacing="off" w:line="360" w:lineRule="auto"/>
              <w:jc w:val="center"/>
              <w:rPr>
                <w:sz w:val="22"/>
                <w:szCs w:val="22"/>
              </w:rPr>
            </w:pPr>
            <w:r w:rsidRPr="7FED74DD" w:rsidR="746C083B">
              <w:rPr>
                <w:sz w:val="22"/>
                <w:szCs w:val="22"/>
              </w:rPr>
              <w:t xml:space="preserve">Provides empirical data on waiting times for IAPT (Improving Access to Psychological Therapies) services. </w:t>
            </w:r>
          </w:p>
        </w:tc>
      </w:tr>
      <w:tr w:rsidR="2AD1E4E8" w:rsidTr="7FED74DD" w14:paraId="44030EA2">
        <w:trPr>
          <w:trHeight w:val="300"/>
        </w:trPr>
        <w:tc>
          <w:tcPr>
            <w:tcW w:w="233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2AD1E4E8" w:rsidP="2AD1E4E8" w:rsidRDefault="2AD1E4E8" w14:paraId="2BD719F5" w14:textId="0DD4ED0C">
            <w:pPr>
              <w:spacing w:before="0" w:beforeAutospacing="off" w:after="0" w:afterAutospacing="off" w:line="360" w:lineRule="auto"/>
              <w:jc w:val="center"/>
              <w:rPr>
                <w:b w:val="1"/>
                <w:bCs w:val="1"/>
                <w:sz w:val="22"/>
                <w:szCs w:val="22"/>
              </w:rPr>
            </w:pPr>
            <w:r w:rsidRPr="2AD1E4E8" w:rsidR="2AD1E4E8">
              <w:rPr>
                <w:b w:val="1"/>
                <w:bCs w:val="1"/>
                <w:sz w:val="22"/>
                <w:szCs w:val="22"/>
              </w:rPr>
              <w:t>ONS (Office for National Statistics)</w:t>
            </w:r>
          </w:p>
        </w:tc>
        <w:tc>
          <w:tcPr>
            <w:tcW w:w="6677"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2AD1E4E8" w:rsidP="7FED74DD" w:rsidRDefault="2AD1E4E8" w14:paraId="187D9968" w14:textId="3E789BCB">
            <w:pPr>
              <w:spacing w:before="0" w:beforeAutospacing="off" w:after="0" w:afterAutospacing="off" w:line="360" w:lineRule="auto"/>
              <w:jc w:val="center"/>
              <w:rPr>
                <w:sz w:val="22"/>
                <w:szCs w:val="22"/>
              </w:rPr>
            </w:pPr>
            <w:r w:rsidRPr="7FED74DD" w:rsidR="746C083B">
              <w:rPr>
                <w:sz w:val="22"/>
                <w:szCs w:val="22"/>
              </w:rPr>
              <w:t xml:space="preserve">Supplies population-level trends regarding the prevalence and impact of mental health disorders in the UK. </w:t>
            </w:r>
          </w:p>
        </w:tc>
      </w:tr>
      <w:tr w:rsidR="2AD1E4E8" w:rsidTr="7FED74DD" w14:paraId="4FEE03E5">
        <w:trPr>
          <w:trHeight w:val="300"/>
        </w:trPr>
        <w:tc>
          <w:tcPr>
            <w:tcW w:w="233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2AD1E4E8" w:rsidP="2AD1E4E8" w:rsidRDefault="2AD1E4E8" w14:paraId="5D2801E6" w14:textId="19755A67">
            <w:pPr>
              <w:spacing w:before="0" w:beforeAutospacing="off" w:after="0" w:afterAutospacing="off" w:line="360" w:lineRule="auto"/>
              <w:jc w:val="center"/>
            </w:pPr>
            <w:r w:rsidRPr="7FED74DD" w:rsidR="57316524">
              <w:rPr>
                <w:b w:val="1"/>
                <w:bCs w:val="1"/>
                <w:sz w:val="22"/>
                <w:szCs w:val="22"/>
              </w:rPr>
              <w:t>OHID</w:t>
            </w:r>
          </w:p>
          <w:p w:rsidR="2AD1E4E8" w:rsidP="2AD1E4E8" w:rsidRDefault="2AD1E4E8" w14:paraId="318FB954" w14:textId="12ADF962">
            <w:pPr>
              <w:spacing w:before="0" w:beforeAutospacing="off" w:after="0" w:afterAutospacing="off" w:line="360" w:lineRule="auto"/>
              <w:jc w:val="center"/>
            </w:pPr>
            <w:r w:rsidRPr="7FED74DD" w:rsidR="57316524">
              <w:rPr>
                <w:b w:val="1"/>
                <w:bCs w:val="1"/>
                <w:sz w:val="22"/>
                <w:szCs w:val="22"/>
              </w:rPr>
              <w:t xml:space="preserve"> (formerly PHE)</w:t>
            </w:r>
          </w:p>
        </w:tc>
        <w:tc>
          <w:tcPr>
            <w:tcW w:w="6677"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2AD1E4E8" w:rsidP="7FED74DD" w:rsidRDefault="2AD1E4E8" w14:paraId="471AAF9A" w14:textId="799F788A">
            <w:pPr>
              <w:spacing w:before="0" w:beforeAutospacing="off" w:after="0" w:afterAutospacing="off" w:line="360" w:lineRule="auto"/>
              <w:jc w:val="center"/>
              <w:rPr>
                <w:sz w:val="22"/>
                <w:szCs w:val="22"/>
              </w:rPr>
            </w:pPr>
            <w:r w:rsidRPr="7FED74DD" w:rsidR="746C083B">
              <w:rPr>
                <w:sz w:val="22"/>
                <w:szCs w:val="22"/>
              </w:rPr>
              <w:t>Offers public health insights into the socioeconomic determinants affecting mental health service access.</w:t>
            </w:r>
          </w:p>
        </w:tc>
      </w:tr>
    </w:tbl>
    <w:p w:rsidR="7FED74DD" w:rsidP="7FED74DD" w:rsidRDefault="7FED74DD" w14:paraId="60336911" w14:textId="6C9176DA">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FED74DD" w:rsidP="7FED74DD" w:rsidRDefault="7FED74DD" w14:paraId="64F80B0D" w14:textId="16BA0988">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AF6BF6F" w:rsidP="7FED74DD" w:rsidRDefault="1AF6BF6F" w14:paraId="224F4E77" w14:textId="18474D7E">
      <w:pPr>
        <w:pStyle w:val="Normal"/>
        <w:spacing w:line="360" w:lineRule="auto"/>
        <w:jc w:val="both"/>
      </w:pPr>
      <w:r w:rsidRPr="7FED74DD" w:rsidR="1AF6BF6F">
        <w:rPr>
          <w:rFonts w:ascii="Arial" w:hAnsi="Arial" w:eastAsia="Arial" w:cs="Arial"/>
          <w:b w:val="0"/>
          <w:bCs w:val="0"/>
          <w:i w:val="0"/>
          <w:iCs w:val="0"/>
          <w:caps w:val="0"/>
          <w:smallCaps w:val="0"/>
          <w:noProof w:val="0"/>
          <w:color w:val="000000" w:themeColor="text1" w:themeTint="FF" w:themeShade="FF"/>
          <w:sz w:val="22"/>
          <w:szCs w:val="22"/>
          <w:lang w:val="en-GB"/>
        </w:rPr>
        <w:t xml:space="preserve">As summarised in Table 2, OCD service analysis relies on key national databases. ONS and NHS Digital data reveal that prolonged waiting times, compounded by socioeconomic disparities, remain critical barriers (Lowther-Payne </w:t>
      </w:r>
      <w:r w:rsidRPr="7FED74DD" w:rsidR="1AF6BF6F">
        <w:rPr>
          <w:rFonts w:ascii="Arial" w:hAnsi="Arial" w:eastAsia="Arial" w:cs="Arial"/>
          <w:b w:val="0"/>
          <w:bCs w:val="0"/>
          <w:i w:val="1"/>
          <w:iCs w:val="1"/>
          <w:caps w:val="0"/>
          <w:smallCaps w:val="0"/>
          <w:noProof w:val="0"/>
          <w:color w:val="000000" w:themeColor="text1" w:themeTint="FF" w:themeShade="FF"/>
          <w:sz w:val="22"/>
          <w:szCs w:val="22"/>
          <w:lang w:val="en-GB"/>
        </w:rPr>
        <w:t>et al.,</w:t>
      </w:r>
      <w:r w:rsidRPr="7FED74DD" w:rsidR="1AF6BF6F">
        <w:rPr>
          <w:rFonts w:ascii="Arial" w:hAnsi="Arial" w:eastAsia="Arial" w:cs="Arial"/>
          <w:b w:val="0"/>
          <w:bCs w:val="0"/>
          <w:i w:val="0"/>
          <w:iCs w:val="0"/>
          <w:caps w:val="0"/>
          <w:smallCaps w:val="0"/>
          <w:noProof w:val="0"/>
          <w:color w:val="000000" w:themeColor="text1" w:themeTint="FF" w:themeShade="FF"/>
          <w:sz w:val="22"/>
          <w:szCs w:val="22"/>
          <w:lang w:val="en-GB"/>
        </w:rPr>
        <w:t xml:space="preserve"> 2023). Lower social capital further restricts individuals' 'ability to seek' and 'reach' services (Lowther-Payne </w:t>
      </w:r>
      <w:r w:rsidRPr="7FED74DD" w:rsidR="1AF6BF6F">
        <w:rPr>
          <w:rFonts w:ascii="Arial" w:hAnsi="Arial" w:eastAsia="Arial" w:cs="Arial"/>
          <w:b w:val="0"/>
          <w:bCs w:val="0"/>
          <w:i w:val="1"/>
          <w:iCs w:val="1"/>
          <w:caps w:val="0"/>
          <w:smallCaps w:val="0"/>
          <w:noProof w:val="0"/>
          <w:color w:val="000000" w:themeColor="text1" w:themeTint="FF" w:themeShade="FF"/>
          <w:sz w:val="22"/>
          <w:szCs w:val="22"/>
          <w:lang w:val="en-GB"/>
        </w:rPr>
        <w:t>et al.</w:t>
      </w:r>
      <w:r w:rsidRPr="7FED74DD" w:rsidR="1AF6BF6F">
        <w:rPr>
          <w:rFonts w:ascii="Arial" w:hAnsi="Arial" w:eastAsia="Arial" w:cs="Arial"/>
          <w:b w:val="0"/>
          <w:bCs w:val="0"/>
          <w:i w:val="0"/>
          <w:iCs w:val="0"/>
          <w:caps w:val="0"/>
          <w:smallCaps w:val="0"/>
          <w:noProof w:val="0"/>
          <w:color w:val="000000" w:themeColor="text1" w:themeTint="FF" w:themeShade="FF"/>
          <w:sz w:val="22"/>
          <w:szCs w:val="22"/>
          <w:lang w:val="en-GB"/>
        </w:rPr>
        <w:t xml:space="preserve">, 2023). Despite policy targets, access inequalities </w:t>
      </w:r>
      <w:r w:rsidRPr="7FED74DD" w:rsidR="1AF6BF6F">
        <w:rPr>
          <w:rFonts w:ascii="Arial" w:hAnsi="Arial" w:eastAsia="Arial" w:cs="Arial"/>
          <w:b w:val="0"/>
          <w:bCs w:val="0"/>
          <w:i w:val="0"/>
          <w:iCs w:val="0"/>
          <w:caps w:val="0"/>
          <w:smallCaps w:val="0"/>
          <w:noProof w:val="0"/>
          <w:color w:val="000000" w:themeColor="text1" w:themeTint="FF" w:themeShade="FF"/>
          <w:sz w:val="22"/>
          <w:szCs w:val="22"/>
          <w:lang w:val="en-GB"/>
        </w:rPr>
        <w:t>remain</w:t>
      </w:r>
      <w:r w:rsidRPr="7FED74DD" w:rsidR="1AF6BF6F">
        <w:rPr>
          <w:rFonts w:ascii="Arial" w:hAnsi="Arial" w:eastAsia="Arial" w:cs="Arial"/>
          <w:b w:val="0"/>
          <w:bCs w:val="0"/>
          <w:i w:val="0"/>
          <w:iCs w:val="0"/>
          <w:caps w:val="0"/>
          <w:smallCaps w:val="0"/>
          <w:noProof w:val="0"/>
          <w:color w:val="000000" w:themeColor="text1" w:themeTint="FF" w:themeShade="FF"/>
          <w:sz w:val="22"/>
          <w:szCs w:val="22"/>
          <w:lang w:val="en-GB"/>
        </w:rPr>
        <w:t xml:space="preserve"> stagnant (NHS England, 2025). Without neurodivergence-informed training and reduced funding fragmentation, Equality Act (2010) and Care Act (2014) protections </w:t>
      </w:r>
      <w:r w:rsidRPr="7FED74DD" w:rsidR="1AF6BF6F">
        <w:rPr>
          <w:rFonts w:ascii="Arial" w:hAnsi="Arial" w:eastAsia="Arial" w:cs="Arial"/>
          <w:b w:val="0"/>
          <w:bCs w:val="0"/>
          <w:i w:val="0"/>
          <w:iCs w:val="0"/>
          <w:caps w:val="0"/>
          <w:smallCaps w:val="0"/>
          <w:noProof w:val="0"/>
          <w:color w:val="000000" w:themeColor="text1" w:themeTint="FF" w:themeShade="FF"/>
          <w:sz w:val="22"/>
          <w:szCs w:val="22"/>
          <w:lang w:val="en-GB"/>
        </w:rPr>
        <w:t>remain</w:t>
      </w:r>
      <w:r w:rsidRPr="7FED74DD" w:rsidR="1AF6BF6F">
        <w:rPr>
          <w:rFonts w:ascii="Arial" w:hAnsi="Arial" w:eastAsia="Arial" w:cs="Arial"/>
          <w:b w:val="0"/>
          <w:bCs w:val="0"/>
          <w:i w:val="0"/>
          <w:iCs w:val="0"/>
          <w:caps w:val="0"/>
          <w:smallCaps w:val="0"/>
          <w:noProof w:val="0"/>
          <w:color w:val="000000" w:themeColor="text1" w:themeTint="FF" w:themeShade="FF"/>
          <w:sz w:val="22"/>
          <w:szCs w:val="22"/>
          <w:lang w:val="en-GB"/>
        </w:rPr>
        <w:t xml:space="preserve"> unreali</w:t>
      </w:r>
      <w:r w:rsidRPr="7FED74DD" w:rsidR="79C671CB">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1AF6BF6F">
        <w:rPr>
          <w:rFonts w:ascii="Arial" w:hAnsi="Arial" w:eastAsia="Arial" w:cs="Arial"/>
          <w:b w:val="0"/>
          <w:bCs w:val="0"/>
          <w:i w:val="0"/>
          <w:iCs w:val="0"/>
          <w:caps w:val="0"/>
          <w:smallCaps w:val="0"/>
          <w:noProof w:val="0"/>
          <w:color w:val="000000" w:themeColor="text1" w:themeTint="FF" w:themeShade="FF"/>
          <w:sz w:val="22"/>
          <w:szCs w:val="22"/>
          <w:lang w:val="en-GB"/>
        </w:rPr>
        <w:t>ed, leaving patients vulnerable to therapeutic stagnation and socioeconomic marginali</w:t>
      </w:r>
      <w:r w:rsidRPr="7FED74DD" w:rsidR="58E6C755">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1AF6BF6F">
        <w:rPr>
          <w:rFonts w:ascii="Arial" w:hAnsi="Arial" w:eastAsia="Arial" w:cs="Arial"/>
          <w:b w:val="0"/>
          <w:bCs w:val="0"/>
          <w:i w:val="0"/>
          <w:iCs w:val="0"/>
          <w:caps w:val="0"/>
          <w:smallCaps w:val="0"/>
          <w:noProof w:val="0"/>
          <w:color w:val="000000" w:themeColor="text1" w:themeTint="FF" w:themeShade="FF"/>
          <w:sz w:val="22"/>
          <w:szCs w:val="22"/>
          <w:lang w:val="en-GB"/>
        </w:rPr>
        <w:t>ation (Exceptional Individuals, 2025).</w:t>
      </w:r>
    </w:p>
    <w:p w:rsidR="2AD1E4E8" w:rsidRDefault="2AD1E4E8" w14:paraId="6F01D5DC" w14:textId="2139BE0C">
      <w:r>
        <w:br w:type="page"/>
      </w:r>
    </w:p>
    <w:p w:rsidR="268AAB7A" w:rsidP="2AD1E4E8" w:rsidRDefault="268AAB7A" w14:paraId="3E32486F" w14:textId="1DDFF527">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7FED74DD" w:rsidR="74DB5328">
        <w:rPr>
          <w:rFonts w:ascii="Arial" w:hAnsi="Arial" w:eastAsia="Arial" w:cs="Arial"/>
          <w:b w:val="1"/>
          <w:bCs w:val="1"/>
          <w:i w:val="0"/>
          <w:iCs w:val="0"/>
          <w:caps w:val="0"/>
          <w:smallCaps w:val="0"/>
          <w:noProof w:val="0"/>
          <w:color w:val="000000" w:themeColor="text1" w:themeTint="FF" w:themeShade="FF"/>
          <w:sz w:val="28"/>
          <w:szCs w:val="28"/>
          <w:lang w:val="en-GB"/>
        </w:rPr>
        <w:t xml:space="preserve">Recommendations </w:t>
      </w:r>
    </w:p>
    <w:p w:rsidR="18B797E6" w:rsidP="7FED74DD" w:rsidRDefault="18B797E6" w14:paraId="12D7A609" w14:textId="761242E0">
      <w:pPr>
        <w:pStyle w:val="Normal"/>
        <w:spacing w:line="360" w:lineRule="auto"/>
        <w:jc w:val="both"/>
      </w:pP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To improve OCD outcomes, the NHS must transition from standardi</w:t>
      </w:r>
      <w:r w:rsidRPr="7FED74DD" w:rsidR="329E2C5D">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ed models toward personali</w:t>
      </w:r>
      <w:r w:rsidRPr="7FED74DD" w:rsidR="2E925B29">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ed, neuro-inclusive care. First, practitioners require speciali</w:t>
      </w:r>
      <w:r w:rsidRPr="7FED74DD" w:rsidR="01C1CC16">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 xml:space="preserve">ed training; as Weinberg </w:t>
      </w:r>
      <w:r w:rsidRPr="7FED74DD" w:rsidR="18B797E6">
        <w:rPr>
          <w:rFonts w:ascii="Arial" w:hAnsi="Arial" w:eastAsia="Arial" w:cs="Arial"/>
          <w:b w:val="0"/>
          <w:bCs w:val="0"/>
          <w:i w:val="1"/>
          <w:iCs w:val="1"/>
          <w:caps w:val="0"/>
          <w:smallCaps w:val="0"/>
          <w:noProof w:val="0"/>
          <w:color w:val="000000" w:themeColor="text1" w:themeTint="FF" w:themeShade="FF"/>
          <w:sz w:val="22"/>
          <w:szCs w:val="22"/>
          <w:lang w:val="en-GB"/>
        </w:rPr>
        <w:t>et al.</w:t>
      </w: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 xml:space="preserve"> (2025) </w:t>
      </w: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 diagnostic inaccuracy is a significant clinical barrier. Training must focus on distinguishing OCD from neurodivergent traits to prevent misdiagnosis, adhering to the latest NICE (2024) guidelines which mandate speciali</w:t>
      </w:r>
      <w:r w:rsidRPr="7FED74DD" w:rsidR="079AF16B">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 xml:space="preserve">ed </w:t>
      </w: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 xml:space="preserve"> for effective Exposure and Response Prevention (ERP).</w:t>
      </w:r>
    </w:p>
    <w:p w:rsidR="18B797E6" w:rsidP="7FED74DD" w:rsidRDefault="18B797E6" w14:paraId="18BBAC3E" w14:textId="63F3E454">
      <w:pPr>
        <w:pStyle w:val="Normal"/>
        <w:spacing w:line="360" w:lineRule="auto"/>
        <w:jc w:val="both"/>
      </w:pP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Second, legislative reform must be operationali</w:t>
      </w:r>
      <w:r w:rsidRPr="7FED74DD" w:rsidR="708BE5EA">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ed. While amendments to the Mental Health Act (1983) are necessary, they must ensure individuals with treatment-refractory OCD are not cycled through involuntary detention without community support (NHS, 2026). Legislators should prioriti</w:t>
      </w:r>
      <w:r w:rsidRPr="7FED74DD" w:rsidR="406EF809">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e the Care Act (2014), ensuring social care funding bridges the gap between clinical discharge and social reintegration.</w:t>
      </w:r>
    </w:p>
    <w:p w:rsidR="18B797E6" w:rsidP="7FED74DD" w:rsidRDefault="18B797E6" w14:paraId="19B73967" w14:textId="5D0A946F">
      <w:pPr>
        <w:pStyle w:val="Normal"/>
        <w:spacing w:line="360" w:lineRule="auto"/>
        <w:jc w:val="both"/>
      </w:pP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 xml:space="preserve">Finally, addressing the "postcode lottery" identified by Lowther-Payne </w:t>
      </w:r>
      <w:r w:rsidRPr="7FED74DD" w:rsidR="18B797E6">
        <w:rPr>
          <w:rFonts w:ascii="Arial" w:hAnsi="Arial" w:eastAsia="Arial" w:cs="Arial"/>
          <w:b w:val="0"/>
          <w:bCs w:val="0"/>
          <w:i w:val="1"/>
          <w:iCs w:val="1"/>
          <w:caps w:val="0"/>
          <w:smallCaps w:val="0"/>
          <w:noProof w:val="0"/>
          <w:color w:val="000000" w:themeColor="text1" w:themeTint="FF" w:themeShade="FF"/>
          <w:sz w:val="22"/>
          <w:szCs w:val="22"/>
          <w:lang w:val="en-GB"/>
        </w:rPr>
        <w:t>et al</w:t>
      </w:r>
      <w:r w:rsidRPr="7FED74DD" w:rsidR="18B797E6">
        <w:rPr>
          <w:rFonts w:ascii="Arial" w:hAnsi="Arial" w:eastAsia="Arial" w:cs="Arial"/>
          <w:b w:val="0"/>
          <w:bCs w:val="0"/>
          <w:i w:val="1"/>
          <w:iCs w:val="1"/>
          <w:caps w:val="0"/>
          <w:smallCaps w:val="0"/>
          <w:noProof w:val="0"/>
          <w:color w:val="000000" w:themeColor="text1" w:themeTint="FF" w:themeShade="FF"/>
          <w:sz w:val="22"/>
          <w:szCs w:val="22"/>
          <w:lang w:val="en-GB"/>
        </w:rPr>
        <w:t>.</w:t>
      </w: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 xml:space="preserve"> (2023) is essential. </w:t>
      </w:r>
    </w:p>
    <w:p w:rsidR="18B797E6" w:rsidP="7FED74DD" w:rsidRDefault="18B797E6" w14:paraId="03A96342" w14:textId="7991258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7FED74DD" w:rsidR="18B797E6">
        <w:rPr>
          <w:rFonts w:ascii="Arial" w:hAnsi="Arial" w:eastAsia="Arial" w:cs="Arial"/>
          <w:b w:val="0"/>
          <w:bCs w:val="0"/>
          <w:i w:val="0"/>
          <w:iCs w:val="0"/>
          <w:caps w:val="0"/>
          <w:smallCaps w:val="0"/>
          <w:noProof w:val="0"/>
          <w:color w:val="000000" w:themeColor="text1" w:themeTint="FF" w:themeShade="FF"/>
          <w:sz w:val="22"/>
          <w:szCs w:val="22"/>
          <w:u w:val="single"/>
          <w:lang w:val="en-GB"/>
        </w:rPr>
        <w:t>Recommendations include:</w:t>
      </w:r>
    </w:p>
    <w:p w:rsidR="18B797E6" w:rsidP="7FED74DD" w:rsidRDefault="18B797E6" w14:paraId="19281F8C" w14:textId="7F5211E2">
      <w:pPr>
        <w:pStyle w:val="ListParagraph"/>
        <w:numPr>
          <w:ilvl w:val="0"/>
          <w:numId w:val="19"/>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 xml:space="preserve">Targeted Funding: </w:t>
      </w:r>
    </w:p>
    <w:p w:rsidR="18B797E6" w:rsidP="7FED74DD" w:rsidRDefault="18B797E6" w14:paraId="43838FE5" w14:textId="15C4ED08">
      <w:pPr>
        <w:pStyle w:val="Normal"/>
        <w:spacing w:line="360" w:lineRule="auto"/>
        <w:jc w:val="both"/>
      </w:pP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 xml:space="preserve">Redirecting resources to areas of socioeconomic deprivation to mitigate the "ability to reach" barriers (Lowther-Payne </w:t>
      </w:r>
      <w:r w:rsidRPr="7FED74DD" w:rsidR="18B797E6">
        <w:rPr>
          <w:rFonts w:ascii="Arial" w:hAnsi="Arial" w:eastAsia="Arial" w:cs="Arial"/>
          <w:b w:val="0"/>
          <w:bCs w:val="0"/>
          <w:i w:val="1"/>
          <w:iCs w:val="1"/>
          <w:caps w:val="0"/>
          <w:smallCaps w:val="0"/>
          <w:noProof w:val="0"/>
          <w:color w:val="000000" w:themeColor="text1" w:themeTint="FF" w:themeShade="FF"/>
          <w:sz w:val="22"/>
          <w:szCs w:val="22"/>
          <w:lang w:val="en-GB"/>
        </w:rPr>
        <w:t>et al.</w:t>
      </w: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 2023).</w:t>
      </w:r>
    </w:p>
    <w:p w:rsidR="18B797E6" w:rsidP="7FED74DD" w:rsidRDefault="18B797E6" w14:paraId="05658296" w14:textId="710FF5C1">
      <w:pPr>
        <w:pStyle w:val="ListParagraph"/>
        <w:numPr>
          <w:ilvl w:val="0"/>
          <w:numId w:val="20"/>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 xml:space="preserve">Integrated Advocacy: </w:t>
      </w:r>
    </w:p>
    <w:p w:rsidR="18B797E6" w:rsidP="7FED74DD" w:rsidRDefault="18B797E6" w14:paraId="2663885C" w14:textId="1E57F30B">
      <w:pPr>
        <w:pStyle w:val="Normal"/>
        <w:spacing w:line="360" w:lineRule="auto"/>
        <w:jc w:val="both"/>
      </w:pP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Formali</w:t>
      </w:r>
      <w:r w:rsidRPr="7FED74DD" w:rsidR="5DED57CD">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ing the role of third-sector organi</w:t>
      </w:r>
      <w:r w:rsidRPr="7FED74DD" w:rsidR="2686E126">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ations like Mind and Samaritans within regional care pathways to ensure continuous support (Samaritans, 2025).</w:t>
      </w:r>
    </w:p>
    <w:p w:rsidR="18B797E6" w:rsidP="7FED74DD" w:rsidRDefault="18B797E6" w14:paraId="1B9DC2DA" w14:textId="4B975AF7">
      <w:pPr>
        <w:pStyle w:val="ListParagraph"/>
        <w:numPr>
          <w:ilvl w:val="0"/>
          <w:numId w:val="21"/>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 xml:space="preserve">Data Transparency: </w:t>
      </w:r>
    </w:p>
    <w:p w:rsidR="18B797E6" w:rsidP="7FED74DD" w:rsidRDefault="18B797E6" w14:paraId="20078211" w14:textId="671B8FA7">
      <w:pPr>
        <w:pStyle w:val="Normal"/>
        <w:spacing w:line="360" w:lineRule="auto"/>
        <w:jc w:val="both"/>
      </w:pP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Utili</w:t>
      </w:r>
      <w:r w:rsidRPr="7FED74DD" w:rsidR="0A9B40F4">
        <w:rPr>
          <w:rFonts w:ascii="Arial" w:hAnsi="Arial" w:eastAsia="Arial" w:cs="Arial"/>
          <w:b w:val="0"/>
          <w:bCs w:val="0"/>
          <w:i w:val="0"/>
          <w:iCs w:val="0"/>
          <w:caps w:val="0"/>
          <w:smallCaps w:val="0"/>
          <w:noProof w:val="0"/>
          <w:color w:val="000000" w:themeColor="text1" w:themeTint="FF" w:themeShade="FF"/>
          <w:sz w:val="22"/>
          <w:szCs w:val="22"/>
          <w:lang w:val="en-GB"/>
        </w:rPr>
        <w:t>s</w:t>
      </w: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ing 2025/26 operational frameworks to enforce accountability based on long-term clinical outcomes rather than administrative service throughput (NHS England, 2025).</w:t>
      </w:r>
    </w:p>
    <w:p w:rsidR="18B797E6" w:rsidP="7FED74DD" w:rsidRDefault="18B797E6" w14:paraId="6A4BDB80" w14:textId="33C77B98">
      <w:pPr>
        <w:pStyle w:val="Normal"/>
        <w:spacing w:line="360" w:lineRule="auto"/>
        <w:jc w:val="both"/>
      </w:pPr>
      <w:r w:rsidRPr="7FED74DD" w:rsidR="18B797E6">
        <w:rPr>
          <w:rFonts w:ascii="Arial" w:hAnsi="Arial" w:eastAsia="Arial" w:cs="Arial"/>
          <w:b w:val="0"/>
          <w:bCs w:val="0"/>
          <w:i w:val="0"/>
          <w:iCs w:val="0"/>
          <w:caps w:val="0"/>
          <w:smallCaps w:val="0"/>
          <w:noProof w:val="0"/>
          <w:color w:val="000000" w:themeColor="text1" w:themeTint="FF" w:themeShade="FF"/>
          <w:sz w:val="22"/>
          <w:szCs w:val="22"/>
          <w:lang w:val="en-GB"/>
        </w:rPr>
        <w:t>By aligning protections under the Equality Act (2010) with neuro-inclusive practice, the NHS can move beyond fragmentation. These reforms are essential to ensure the UK’s mental health framework delivers accessible, long-term recovery for all.</w:t>
      </w:r>
    </w:p>
    <w:p w:rsidR="2AD1E4E8" w:rsidRDefault="2AD1E4E8" w14:paraId="587939BE" w14:textId="78AB9010">
      <w:r>
        <w:br w:type="page"/>
      </w:r>
    </w:p>
    <w:p w:rsidR="1EC0AF15" w:rsidP="2AD1E4E8" w:rsidRDefault="1EC0AF15" w14:paraId="55288F2C" w14:textId="6E7B417D">
      <w:pPr>
        <w:pStyle w:val="Normal"/>
        <w:spacing w:line="360" w:lineRule="auto"/>
        <w:jc w:val="both"/>
      </w:pPr>
      <w:r w:rsidRPr="2AD1E4E8" w:rsidR="1EC0AF15">
        <w:rPr>
          <w:rFonts w:ascii="Arial" w:hAnsi="Arial" w:eastAsia="Arial" w:cs="Arial"/>
          <w:b w:val="1"/>
          <w:bCs w:val="1"/>
          <w:i w:val="0"/>
          <w:iCs w:val="0"/>
          <w:caps w:val="0"/>
          <w:smallCaps w:val="0"/>
          <w:noProof w:val="0"/>
          <w:color w:val="000000" w:themeColor="text1" w:themeTint="FF" w:themeShade="FF"/>
          <w:sz w:val="28"/>
          <w:szCs w:val="28"/>
          <w:lang w:val="en-GB"/>
        </w:rPr>
        <w:t>Conclusion</w:t>
      </w:r>
    </w:p>
    <w:p w:rsidR="1EE45FF3" w:rsidP="2AD1E4E8" w:rsidRDefault="1EE45FF3" w14:paraId="008FA028" w14:textId="0DCA791B">
      <w:pPr>
        <w:pStyle w:val="Normal"/>
        <w:spacing w:line="360" w:lineRule="auto"/>
        <w:jc w:val="both"/>
      </w:pPr>
      <w:r w:rsidRPr="7FED74DD" w:rsidR="3AAEAC29">
        <w:rPr>
          <w:sz w:val="22"/>
          <w:szCs w:val="22"/>
        </w:rPr>
        <w:t>This report critically evaluated UK OCD treatment, revealing a systemic paradox: while evidence-based frameworks like NICE (20</w:t>
      </w:r>
      <w:r w:rsidRPr="7FED74DD" w:rsidR="3DACEA7E">
        <w:rPr>
          <w:sz w:val="22"/>
          <w:szCs w:val="22"/>
        </w:rPr>
        <w:t>24</w:t>
      </w:r>
      <w:r w:rsidRPr="7FED74DD" w:rsidR="3AAEAC29">
        <w:rPr>
          <w:sz w:val="22"/>
          <w:szCs w:val="22"/>
        </w:rPr>
        <w:t>) exist, outcomes are undermined by structural fragmentation and diagnostic inaccuracy. The reliance on standardi</w:t>
      </w:r>
      <w:r w:rsidRPr="7FED74DD" w:rsidR="20D739A7">
        <w:rPr>
          <w:sz w:val="22"/>
          <w:szCs w:val="22"/>
        </w:rPr>
        <w:t>s</w:t>
      </w:r>
      <w:r w:rsidRPr="7FED74DD" w:rsidR="3AAEAC29">
        <w:rPr>
          <w:sz w:val="22"/>
          <w:szCs w:val="22"/>
        </w:rPr>
        <w:t xml:space="preserve">ed care models </w:t>
      </w:r>
      <w:r w:rsidRPr="7FED74DD" w:rsidR="3AAEAC29">
        <w:rPr>
          <w:sz w:val="22"/>
          <w:szCs w:val="22"/>
        </w:rPr>
        <w:t>frequently</w:t>
      </w:r>
      <w:r w:rsidRPr="7FED74DD" w:rsidR="3AAEAC29">
        <w:rPr>
          <w:sz w:val="22"/>
          <w:szCs w:val="22"/>
        </w:rPr>
        <w:t xml:space="preserve"> </w:t>
      </w:r>
      <w:r w:rsidRPr="7FED74DD" w:rsidR="3AAEAC29">
        <w:rPr>
          <w:sz w:val="22"/>
          <w:szCs w:val="22"/>
        </w:rPr>
        <w:t>fails to</w:t>
      </w:r>
      <w:r w:rsidRPr="7FED74DD" w:rsidR="3AAEAC29">
        <w:rPr>
          <w:sz w:val="22"/>
          <w:szCs w:val="22"/>
        </w:rPr>
        <w:t xml:space="preserve"> address the complexities of neurodivergent presentations, leading to significant delays in accessing speciali</w:t>
      </w:r>
      <w:r w:rsidRPr="7FED74DD" w:rsidR="3C58357D">
        <w:rPr>
          <w:sz w:val="22"/>
          <w:szCs w:val="22"/>
        </w:rPr>
        <w:t>s</w:t>
      </w:r>
      <w:r w:rsidRPr="7FED74DD" w:rsidR="3AAEAC29">
        <w:rPr>
          <w:sz w:val="22"/>
          <w:szCs w:val="22"/>
        </w:rPr>
        <w:t xml:space="preserve">ed interventions like ERP (Weinberg </w:t>
      </w:r>
      <w:r w:rsidRPr="7FED74DD" w:rsidR="3AAEAC29">
        <w:rPr>
          <w:i w:val="1"/>
          <w:iCs w:val="1"/>
          <w:sz w:val="22"/>
          <w:szCs w:val="22"/>
        </w:rPr>
        <w:t>et al.</w:t>
      </w:r>
      <w:r w:rsidRPr="7FED74DD" w:rsidR="3AAEAC29">
        <w:rPr>
          <w:sz w:val="22"/>
          <w:szCs w:val="22"/>
        </w:rPr>
        <w:t>, 2025). Furthermore, while the Equality Act (2010) and proposed Mental Health Act (1983) reforms aim to protect patient rights, their efficacy is constrained by socioeconomic disparities and a "postcode lottery" of service provision (Lowther-Payne</w:t>
      </w:r>
      <w:r w:rsidRPr="7FED74DD" w:rsidR="3AAEAC29">
        <w:rPr>
          <w:i w:val="1"/>
          <w:iCs w:val="1"/>
          <w:sz w:val="22"/>
          <w:szCs w:val="22"/>
        </w:rPr>
        <w:t xml:space="preserve"> et al</w:t>
      </w:r>
      <w:r w:rsidRPr="7FED74DD" w:rsidR="3AAEAC29">
        <w:rPr>
          <w:sz w:val="22"/>
          <w:szCs w:val="22"/>
        </w:rPr>
        <w:t>., 2023).</w:t>
      </w:r>
    </w:p>
    <w:p w:rsidR="1EE45FF3" w:rsidP="2AD1E4E8" w:rsidRDefault="1EE45FF3" w14:paraId="2A488C7E" w14:textId="67F9EEEE">
      <w:pPr>
        <w:pStyle w:val="Normal"/>
        <w:spacing w:line="360" w:lineRule="auto"/>
        <w:jc w:val="both"/>
      </w:pPr>
      <w:r w:rsidRPr="7FED74DD" w:rsidR="3AAEAC29">
        <w:rPr>
          <w:sz w:val="22"/>
          <w:szCs w:val="22"/>
        </w:rPr>
        <w:t>Future success under the NHS 10 Year Health Plan depends on shifting from reactive throughput to proactive, neuro-inclusive rehabilitation (NHS England, 2025). Policy must prioriti</w:t>
      </w:r>
      <w:r w:rsidRPr="7FED74DD" w:rsidR="6DDEAD88">
        <w:rPr>
          <w:sz w:val="22"/>
          <w:szCs w:val="22"/>
        </w:rPr>
        <w:t>s</w:t>
      </w:r>
      <w:r w:rsidRPr="7FED74DD" w:rsidR="3AAEAC29">
        <w:rPr>
          <w:sz w:val="22"/>
          <w:szCs w:val="22"/>
        </w:rPr>
        <w:t>e speciali</w:t>
      </w:r>
      <w:r w:rsidRPr="7FED74DD" w:rsidR="70045726">
        <w:rPr>
          <w:sz w:val="22"/>
          <w:szCs w:val="22"/>
        </w:rPr>
        <w:t>s</w:t>
      </w:r>
      <w:r w:rsidRPr="7FED74DD" w:rsidR="3AAEAC29">
        <w:rPr>
          <w:sz w:val="22"/>
          <w:szCs w:val="22"/>
        </w:rPr>
        <w:t xml:space="preserve">ed clinical training to bridge diagnostic gaps and ensure sustainable funding for integrated community care. Ultimately, improving OCD outcomes requires moving beyond mere legislative compliance toward a model valuing clinical nuance and equity. The path to a sustainable system </w:t>
      </w:r>
      <w:r w:rsidRPr="7FED74DD" w:rsidR="3AAEAC29">
        <w:rPr>
          <w:sz w:val="22"/>
          <w:szCs w:val="22"/>
        </w:rPr>
        <w:t>necessitates</w:t>
      </w:r>
      <w:r w:rsidRPr="7FED74DD" w:rsidR="3AAEAC29">
        <w:rPr>
          <w:sz w:val="22"/>
          <w:szCs w:val="22"/>
        </w:rPr>
        <w:t xml:space="preserve"> not only organi</w:t>
      </w:r>
      <w:r w:rsidRPr="7FED74DD" w:rsidR="14D5AF4B">
        <w:rPr>
          <w:sz w:val="22"/>
          <w:szCs w:val="22"/>
        </w:rPr>
        <w:t>s</w:t>
      </w:r>
      <w:r w:rsidRPr="7FED74DD" w:rsidR="3AAEAC29">
        <w:rPr>
          <w:sz w:val="22"/>
          <w:szCs w:val="22"/>
        </w:rPr>
        <w:t>ational reform but a renewed commitment to addressing the foundational inequalities that dictate patient access to high-quality care (Lowther-Payne</w:t>
      </w:r>
      <w:r w:rsidRPr="7FED74DD" w:rsidR="3AAEAC29">
        <w:rPr>
          <w:i w:val="1"/>
          <w:iCs w:val="1"/>
          <w:sz w:val="22"/>
          <w:szCs w:val="22"/>
        </w:rPr>
        <w:t xml:space="preserve"> et al</w:t>
      </w:r>
      <w:r w:rsidRPr="7FED74DD" w:rsidR="3AAEAC29">
        <w:rPr>
          <w:sz w:val="22"/>
          <w:szCs w:val="22"/>
        </w:rPr>
        <w:t>., 2023).</w:t>
      </w:r>
    </w:p>
    <w:p w:rsidR="2AD1E4E8" w:rsidP="2AD1E4E8" w:rsidRDefault="2AD1E4E8" w14:paraId="3525FF73" w14:textId="2CB4A7F3">
      <w:pPr>
        <w:pStyle w:val="Normal"/>
        <w:rPr>
          <w:sz w:val="22"/>
          <w:szCs w:val="22"/>
        </w:rPr>
      </w:pPr>
    </w:p>
    <w:p w:rsidR="2AD1E4E8" w:rsidP="2AD1E4E8" w:rsidRDefault="2AD1E4E8" w14:paraId="6E0B414A" w14:textId="4DB68E90">
      <w:pPr>
        <w:pStyle w:val="Normal"/>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p>
    <w:p w:rsidR="2AD1E4E8" w:rsidRDefault="2AD1E4E8" w14:paraId="48ED1051" w14:textId="0D0DACBD">
      <w:r>
        <w:br w:type="page"/>
      </w:r>
    </w:p>
    <w:p w:rsidR="727324E8" w:rsidP="2AD1E4E8" w:rsidRDefault="727324E8" w14:paraId="3B7F1332" w14:textId="27F8FC09">
      <w:pPr>
        <w:pStyle w:val="Normal"/>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2AD1E4E8" w:rsidR="727324E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REFERENCE LIST</w:t>
      </w:r>
    </w:p>
    <w:p w:rsidR="53C24BB4" w:rsidP="7FED74DD" w:rsidRDefault="53C24BB4" w14:paraId="69F28183" w14:textId="192F5F00">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American Psychiatric Association (APA), (2022),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Diagnostic and Statistical Manual of Mental Disorders (DSM-5-TR)</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5th </w:t>
      </w:r>
      <w:r w:rsidRPr="7FED74DD" w:rsidR="7E7B097C">
        <w:rPr>
          <w:rFonts w:ascii="Arial" w:hAnsi="Arial" w:eastAsia="Arial" w:cs="Arial" w:asciiTheme="minorAscii" w:hAnsiTheme="minorAscii" w:eastAsiaTheme="minorAscii" w:cstheme="minorAscii"/>
          <w:b w:val="0"/>
          <w:bCs w:val="0"/>
          <w:noProof w:val="0"/>
          <w:sz w:val="22"/>
          <w:szCs w:val="22"/>
          <w:lang w:val="en-GB"/>
        </w:rPr>
        <w:t>edn</w:t>
      </w:r>
      <w:r w:rsidRPr="7FED74DD" w:rsidR="7E7B097C">
        <w:rPr>
          <w:rFonts w:ascii="Arial" w:hAnsi="Arial" w:eastAsia="Arial" w:cs="Arial" w:asciiTheme="minorAscii" w:hAnsiTheme="minorAscii" w:eastAsiaTheme="minorAscii" w:cstheme="minorAscii"/>
          <w:b w:val="0"/>
          <w:bCs w:val="0"/>
          <w:noProof w:val="0"/>
          <w:sz w:val="22"/>
          <w:szCs w:val="22"/>
          <w:lang w:val="en-GB"/>
        </w:rPr>
        <w:t>., Washington, DC: APA.,</w:t>
      </w:r>
      <w:r w:rsidRPr="7FED74DD" w:rsidR="0C271F63">
        <w:rPr>
          <w:rFonts w:ascii="Arial" w:hAnsi="Arial" w:eastAsia="Arial" w:cs="Arial" w:asciiTheme="minorAscii" w:hAnsiTheme="minorAscii" w:eastAsiaTheme="minorAscii" w:cstheme="minorAscii"/>
          <w:b w:val="0"/>
          <w:bCs w:val="0"/>
          <w:noProof w:val="0"/>
          <w:sz w:val="22"/>
          <w:szCs w:val="22"/>
          <w:lang w:val="en-GB"/>
        </w:rPr>
        <w:t xml:space="preserve"> p</w:t>
      </w:r>
      <w:r w:rsidRPr="7FED74DD" w:rsidR="0C861635">
        <w:rPr>
          <w:rFonts w:ascii="Arial" w:hAnsi="Arial" w:eastAsia="Arial" w:cs="Arial" w:asciiTheme="minorAscii" w:hAnsiTheme="minorAscii" w:eastAsiaTheme="minorAscii" w:cstheme="minorAscii"/>
          <w:b w:val="0"/>
          <w:bCs w:val="0"/>
          <w:noProof w:val="0"/>
          <w:sz w:val="22"/>
          <w:szCs w:val="22"/>
          <w:lang w:val="en-GB"/>
        </w:rPr>
        <w:t>p</w:t>
      </w:r>
      <w:r w:rsidRPr="7FED74DD" w:rsidR="0C271F63">
        <w:rPr>
          <w:rFonts w:ascii="Arial" w:hAnsi="Arial" w:eastAsia="Arial" w:cs="Arial" w:asciiTheme="minorAscii" w:hAnsiTheme="minorAscii" w:eastAsiaTheme="minorAscii" w:cstheme="minorAscii"/>
          <w:b w:val="0"/>
          <w:bCs w:val="0"/>
          <w:noProof w:val="0"/>
          <w:sz w:val="22"/>
          <w:szCs w:val="22"/>
          <w:lang w:val="en-GB"/>
        </w:rPr>
        <w:t>.</w:t>
      </w:r>
      <w:r w:rsidRPr="7FED74DD" w:rsidR="74471429">
        <w:rPr>
          <w:rFonts w:ascii="Arial" w:hAnsi="Arial" w:eastAsia="Arial" w:cs="Arial" w:asciiTheme="minorAscii" w:hAnsiTheme="minorAscii" w:eastAsiaTheme="minorAscii" w:cstheme="minorAscii"/>
          <w:b w:val="0"/>
          <w:bCs w:val="0"/>
          <w:noProof w:val="0"/>
          <w:sz w:val="22"/>
          <w:szCs w:val="22"/>
          <w:lang w:val="en-GB"/>
        </w:rPr>
        <w:t xml:space="preserve"> </w:t>
      </w:r>
      <w:r w:rsidRPr="7FED74DD" w:rsidR="4BDD224D">
        <w:rPr>
          <w:rFonts w:ascii="Arial" w:hAnsi="Arial" w:eastAsia="Arial" w:cs="Arial" w:asciiTheme="minorAscii" w:hAnsiTheme="minorAscii" w:eastAsiaTheme="minorAscii" w:cstheme="minorAscii"/>
          <w:b w:val="0"/>
          <w:bCs w:val="0"/>
          <w:noProof w:val="0"/>
          <w:sz w:val="22"/>
          <w:szCs w:val="22"/>
          <w:lang w:val="en-GB"/>
        </w:rPr>
        <w:t xml:space="preserve">265, </w:t>
      </w:r>
      <w:r w:rsidRPr="7FED74DD" w:rsidR="679C41D0">
        <w:rPr>
          <w:rFonts w:ascii="Arial" w:hAnsi="Arial" w:eastAsia="Arial" w:cs="Arial" w:asciiTheme="minorAscii" w:hAnsiTheme="minorAscii" w:eastAsiaTheme="minorAscii" w:cstheme="minorAscii"/>
          <w:b w:val="0"/>
          <w:bCs w:val="0"/>
          <w:noProof w:val="0"/>
          <w:sz w:val="22"/>
          <w:szCs w:val="22"/>
          <w:lang w:val="en-GB"/>
        </w:rPr>
        <w:t>2</w:t>
      </w:r>
      <w:r w:rsidRPr="7FED74DD" w:rsidR="4234E476">
        <w:rPr>
          <w:rFonts w:ascii="Arial" w:hAnsi="Arial" w:eastAsia="Arial" w:cs="Arial" w:asciiTheme="minorAscii" w:hAnsiTheme="minorAscii" w:eastAsiaTheme="minorAscii" w:cstheme="minorAscii"/>
          <w:b w:val="0"/>
          <w:bCs w:val="0"/>
          <w:noProof w:val="0"/>
          <w:sz w:val="22"/>
          <w:szCs w:val="22"/>
          <w:lang w:val="en-GB"/>
        </w:rPr>
        <w:t>76</w:t>
      </w:r>
    </w:p>
    <w:p w:rsidR="7FED74DD" w:rsidP="7FED74DD" w:rsidRDefault="7FED74DD" w14:paraId="25EFD71C" w14:textId="06B19399">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18F687C" w:rsidP="7FED74DD" w:rsidRDefault="518F687C" w14:paraId="2EB08B3A" w14:textId="1D28D764">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noProof w:val="0"/>
          <w:sz w:val="22"/>
          <w:szCs w:val="22"/>
          <w:lang w:val="en-GB"/>
        </w:rPr>
      </w:pPr>
      <w:r w:rsidRPr="7FED74DD" w:rsidR="518F687C">
        <w:rPr>
          <w:rFonts w:ascii="Arial" w:hAnsi="Arial" w:eastAsia="Arial" w:cs="Arial" w:asciiTheme="minorAscii" w:hAnsiTheme="minorAscii" w:eastAsiaTheme="minorAscii" w:cstheme="minorAscii"/>
          <w:noProof w:val="0"/>
          <w:sz w:val="22"/>
          <w:szCs w:val="22"/>
          <w:lang w:val="en-GB"/>
        </w:rPr>
        <w:t xml:space="preserve">Bey, K., Willems, S., </w:t>
      </w:r>
      <w:r w:rsidRPr="7FED74DD" w:rsidR="518F687C">
        <w:rPr>
          <w:rFonts w:ascii="Arial" w:hAnsi="Arial" w:eastAsia="Arial" w:cs="Arial" w:asciiTheme="minorAscii" w:hAnsiTheme="minorAscii" w:eastAsiaTheme="minorAscii" w:cstheme="minorAscii"/>
          <w:noProof w:val="0"/>
          <w:sz w:val="22"/>
          <w:szCs w:val="22"/>
          <w:lang w:val="en-GB"/>
        </w:rPr>
        <w:t>Dueren</w:t>
      </w:r>
      <w:r w:rsidRPr="7FED74DD" w:rsidR="518F687C">
        <w:rPr>
          <w:rFonts w:ascii="Arial" w:hAnsi="Arial" w:eastAsia="Arial" w:cs="Arial" w:asciiTheme="minorAscii" w:hAnsiTheme="minorAscii" w:eastAsiaTheme="minorAscii" w:cstheme="minorAscii"/>
          <w:noProof w:val="0"/>
          <w:sz w:val="22"/>
          <w:szCs w:val="22"/>
          <w:lang w:val="en-GB"/>
        </w:rPr>
        <w:t xml:space="preserve">, A.L., Philipsen, A. and Wagner, M., (2025), Help-seeking </w:t>
      </w:r>
      <w:r w:rsidRPr="7FED74DD" w:rsidR="518F687C">
        <w:rPr>
          <w:rFonts w:ascii="Arial" w:hAnsi="Arial" w:eastAsia="Arial" w:cs="Arial" w:asciiTheme="minorAscii" w:hAnsiTheme="minorAscii" w:eastAsiaTheme="minorAscii" w:cstheme="minorAscii"/>
          <w:noProof w:val="0"/>
          <w:sz w:val="22"/>
          <w:szCs w:val="22"/>
          <w:lang w:val="en-GB"/>
        </w:rPr>
        <w:t>behavio</w:t>
      </w:r>
      <w:r w:rsidRPr="7FED74DD" w:rsidR="69BFE4BA">
        <w:rPr>
          <w:rFonts w:ascii="Arial" w:hAnsi="Arial" w:eastAsia="Arial" w:cs="Arial" w:asciiTheme="minorAscii" w:hAnsiTheme="minorAscii" w:eastAsiaTheme="minorAscii" w:cstheme="minorAscii"/>
          <w:noProof w:val="0"/>
          <w:sz w:val="22"/>
          <w:szCs w:val="22"/>
          <w:lang w:val="en-GB"/>
        </w:rPr>
        <w:t>u</w:t>
      </w:r>
      <w:r w:rsidRPr="7FED74DD" w:rsidR="518F687C">
        <w:rPr>
          <w:rFonts w:ascii="Arial" w:hAnsi="Arial" w:eastAsia="Arial" w:cs="Arial" w:asciiTheme="minorAscii" w:hAnsiTheme="minorAscii" w:eastAsiaTheme="minorAscii" w:cstheme="minorAscii"/>
          <w:noProof w:val="0"/>
          <w:sz w:val="22"/>
          <w:szCs w:val="22"/>
          <w:lang w:val="en-GB"/>
        </w:rPr>
        <w:t>r</w:t>
      </w:r>
      <w:r w:rsidRPr="7FED74DD" w:rsidR="518F687C">
        <w:rPr>
          <w:rFonts w:ascii="Arial" w:hAnsi="Arial" w:eastAsia="Arial" w:cs="Arial" w:asciiTheme="minorAscii" w:hAnsiTheme="minorAscii" w:eastAsiaTheme="minorAscii" w:cstheme="minorAscii"/>
          <w:noProof w:val="0"/>
          <w:sz w:val="22"/>
          <w:szCs w:val="22"/>
          <w:lang w:val="en-GB"/>
        </w:rPr>
        <w:t xml:space="preserve">, treatment barriers and facilitators, attitudes and access to first-line treatment in German adults with obsessive-compulsive disorder, </w:t>
      </w:r>
      <w:r w:rsidRPr="7FED74DD" w:rsidR="518F687C">
        <w:rPr>
          <w:rFonts w:ascii="Arial" w:hAnsi="Arial" w:eastAsia="Arial" w:cs="Arial" w:asciiTheme="minorAscii" w:hAnsiTheme="minorAscii" w:eastAsiaTheme="minorAscii" w:cstheme="minorAscii"/>
          <w:i w:val="1"/>
          <w:iCs w:val="1"/>
          <w:noProof w:val="0"/>
          <w:sz w:val="22"/>
          <w:szCs w:val="22"/>
          <w:lang w:val="en-GB"/>
        </w:rPr>
        <w:t>BMC Psychiatry</w:t>
      </w:r>
      <w:r w:rsidRPr="7FED74DD" w:rsidR="518F687C">
        <w:rPr>
          <w:rFonts w:ascii="Arial" w:hAnsi="Arial" w:eastAsia="Arial" w:cs="Arial" w:asciiTheme="minorAscii" w:hAnsiTheme="minorAscii" w:eastAsiaTheme="minorAscii" w:cstheme="minorAscii"/>
          <w:noProof w:val="0"/>
          <w:sz w:val="22"/>
          <w:szCs w:val="22"/>
          <w:lang w:val="en-GB"/>
        </w:rPr>
        <w:t>, 25(235)</w:t>
      </w:r>
      <w:r w:rsidRPr="7FED74DD" w:rsidR="740BAEB7">
        <w:rPr>
          <w:rFonts w:ascii="Arial" w:hAnsi="Arial" w:eastAsia="Arial" w:cs="Arial" w:asciiTheme="minorAscii" w:hAnsiTheme="minorAscii" w:eastAsiaTheme="minorAscii" w:cstheme="minorAscii"/>
          <w:noProof w:val="0"/>
          <w:sz w:val="22"/>
          <w:szCs w:val="22"/>
          <w:lang w:val="en-GB"/>
        </w:rPr>
        <w:t>., Available</w:t>
      </w:r>
      <w:r w:rsidRPr="7FED74DD" w:rsidR="518F687C">
        <w:rPr>
          <w:rFonts w:ascii="Arial" w:hAnsi="Arial" w:eastAsia="Arial" w:cs="Arial" w:asciiTheme="minorAscii" w:hAnsiTheme="minorAscii" w:eastAsiaTheme="minorAscii" w:cstheme="minorAscii"/>
          <w:noProof w:val="0"/>
          <w:sz w:val="22"/>
          <w:szCs w:val="22"/>
          <w:lang w:val="en-GB"/>
        </w:rPr>
        <w:t xml:space="preserve"> at: </w:t>
      </w:r>
      <w:r w:rsidRPr="7FED74DD" w:rsidR="518F687C">
        <w:rPr>
          <w:rFonts w:ascii="Arial" w:hAnsi="Arial" w:eastAsia="Arial" w:cs="Arial" w:asciiTheme="minorAscii" w:hAnsiTheme="minorAscii" w:eastAsiaTheme="minorAscii" w:cstheme="minorAscii"/>
          <w:noProof w:val="0"/>
          <w:sz w:val="22"/>
          <w:szCs w:val="22"/>
          <w:u w:val="none"/>
          <w:lang w:val="en-GB"/>
        </w:rPr>
        <w:t>https://pmc.ncbi.nlm.nih.gov/articles/PMC11900428/,</w:t>
      </w:r>
      <w:r w:rsidRPr="7FED74DD" w:rsidR="518F687C">
        <w:rPr>
          <w:rFonts w:ascii="Arial" w:hAnsi="Arial" w:eastAsia="Arial" w:cs="Arial" w:asciiTheme="minorAscii" w:hAnsiTheme="minorAscii" w:eastAsiaTheme="minorAscii" w:cstheme="minorAscii"/>
          <w:noProof w:val="0"/>
          <w:sz w:val="22"/>
          <w:szCs w:val="22"/>
          <w:u w:val="none"/>
          <w:lang w:val="en-GB"/>
        </w:rPr>
        <w:t xml:space="preserve"> </w:t>
      </w:r>
      <w:r w:rsidRPr="7FED74DD" w:rsidR="518F687C">
        <w:rPr>
          <w:rFonts w:ascii="Arial" w:hAnsi="Arial" w:eastAsia="Arial" w:cs="Arial" w:asciiTheme="minorAscii" w:hAnsiTheme="minorAscii" w:eastAsiaTheme="minorAscii" w:cstheme="minorAscii"/>
          <w:noProof w:val="0"/>
          <w:sz w:val="22"/>
          <w:szCs w:val="22"/>
          <w:lang w:val="en-GB"/>
        </w:rPr>
        <w:t xml:space="preserve"> (Accessed </w:t>
      </w:r>
      <w:r w:rsidRPr="7FED74DD" w:rsidR="3E857D4D">
        <w:rPr>
          <w:rFonts w:ascii="Arial" w:hAnsi="Arial" w:eastAsia="Arial" w:cs="Arial" w:asciiTheme="minorAscii" w:hAnsiTheme="minorAscii" w:eastAsiaTheme="minorAscii" w:cstheme="minorAscii"/>
          <w:noProof w:val="0"/>
          <w:sz w:val="22"/>
          <w:szCs w:val="22"/>
          <w:lang w:val="en-GB"/>
        </w:rPr>
        <w:t>28 June</w:t>
      </w:r>
      <w:r w:rsidRPr="7FED74DD" w:rsidR="518F687C">
        <w:rPr>
          <w:rFonts w:ascii="Arial" w:hAnsi="Arial" w:eastAsia="Arial" w:cs="Arial" w:asciiTheme="minorAscii" w:hAnsiTheme="minorAscii" w:eastAsiaTheme="minorAscii" w:cstheme="minorAscii"/>
          <w:noProof w:val="0"/>
          <w:sz w:val="22"/>
          <w:szCs w:val="22"/>
          <w:lang w:val="en-GB"/>
        </w:rPr>
        <w:t xml:space="preserve"> 2026</w:t>
      </w:r>
      <w:r w:rsidRPr="7FED74DD" w:rsidR="12C1F393">
        <w:rPr>
          <w:rFonts w:ascii="Arial" w:hAnsi="Arial" w:eastAsia="Arial" w:cs="Arial" w:asciiTheme="minorAscii" w:hAnsiTheme="minorAscii" w:eastAsiaTheme="minorAscii" w:cstheme="minorAscii"/>
          <w:noProof w:val="0"/>
          <w:sz w:val="22"/>
          <w:szCs w:val="22"/>
          <w:lang w:val="en-GB"/>
        </w:rPr>
        <w:t>)</w:t>
      </w:r>
    </w:p>
    <w:p w:rsidR="2AD1E4E8" w:rsidP="7FED74DD" w:rsidRDefault="2AD1E4E8" w14:paraId="77BF227C" w14:textId="1B3A2F70">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7FED74DD" w:rsidRDefault="53C24BB4" w14:paraId="6DF349D3" w14:textId="039F3A26">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BMJ Best Practice, (2022),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Obsessive-compulsive disorder</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London: BMJ Publishing Group., Available at: </w:t>
      </w:r>
      <w:r w:rsidRPr="7FED74DD" w:rsidR="7E7B097C">
        <w:rPr>
          <w:rFonts w:ascii="Arial" w:hAnsi="Arial" w:eastAsia="Arial" w:cs="Arial" w:asciiTheme="minorAscii" w:hAnsiTheme="minorAscii" w:eastAsiaTheme="minorAscii" w:cstheme="minorAscii"/>
          <w:b w:val="0"/>
          <w:bCs w:val="0"/>
          <w:noProof w:val="0"/>
          <w:sz w:val="22"/>
          <w:szCs w:val="22"/>
          <w:lang w:val="en-GB"/>
        </w:rPr>
        <w:t>https://cks.nice.org.uk/topics/obsessive-compulsive-disorder/background-information/prevalence/</w:t>
      </w:r>
      <w:r w:rsidRPr="7FED74DD" w:rsidR="7E7B097C">
        <w:rPr>
          <w:rFonts w:ascii="Arial" w:hAnsi="Arial" w:eastAsia="Arial" w:cs="Arial" w:asciiTheme="minorAscii" w:hAnsiTheme="minorAscii" w:eastAsiaTheme="minorAscii" w:cstheme="minorAscii"/>
          <w:b w:val="0"/>
          <w:bCs w:val="0"/>
          <w:noProof w:val="0"/>
          <w:sz w:val="22"/>
          <w:szCs w:val="22"/>
          <w:lang w:val="en-GB"/>
        </w:rPr>
        <w:t>, (Accessed 11 Ju</w:t>
      </w:r>
      <w:r w:rsidRPr="7FED74DD" w:rsidR="6719DFDC">
        <w:rPr>
          <w:rFonts w:ascii="Arial" w:hAnsi="Arial" w:eastAsia="Arial" w:cs="Arial" w:asciiTheme="minorAscii" w:hAnsiTheme="minorAscii" w:eastAsiaTheme="minorAscii" w:cstheme="minorAscii"/>
          <w:b w:val="0"/>
          <w:bCs w:val="0"/>
          <w:noProof w:val="0"/>
          <w:sz w:val="22"/>
          <w:szCs w:val="22"/>
          <w:lang w:val="en-GB"/>
        </w:rPr>
        <w:t>ne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7FED74DD" w:rsidRDefault="2AD1E4E8" w14:paraId="4730BB70" w14:textId="5F351EA3">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7FED74DD" w:rsidRDefault="53C24BB4" w14:paraId="557AC3BF" w14:textId="5EB481D5">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Care Act, (2014),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Chapter 23: Care Act 2014</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London: HMSO., Available at: </w:t>
      </w:r>
      <w:r w:rsidRPr="7FED74DD" w:rsidR="7E7B097C">
        <w:rPr>
          <w:rFonts w:ascii="Arial" w:hAnsi="Arial" w:eastAsia="Arial" w:cs="Arial" w:asciiTheme="minorAscii" w:hAnsiTheme="minorAscii" w:eastAsiaTheme="minorAscii" w:cstheme="minorAscii"/>
          <w:b w:val="0"/>
          <w:bCs w:val="0"/>
          <w:noProof w:val="0"/>
          <w:sz w:val="22"/>
          <w:szCs w:val="22"/>
          <w:lang w:val="en-GB"/>
        </w:rPr>
        <w:t>https://www.legislation.gov.uk/ukpga/2014/23/contents</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7FED74DD" w:rsidR="657D0850">
        <w:rPr>
          <w:rFonts w:ascii="Arial" w:hAnsi="Arial" w:eastAsia="Arial" w:cs="Arial" w:asciiTheme="minorAscii" w:hAnsiTheme="minorAscii" w:eastAsiaTheme="minorAscii" w:cstheme="minorAscii"/>
          <w:b w:val="0"/>
          <w:bCs w:val="0"/>
          <w:noProof w:val="0"/>
          <w:sz w:val="22"/>
          <w:szCs w:val="22"/>
          <w:lang w:val="en-GB"/>
        </w:rPr>
        <w:t>2</w:t>
      </w:r>
      <w:r w:rsidRPr="7FED74DD" w:rsidR="7E7B097C">
        <w:rPr>
          <w:rFonts w:ascii="Arial" w:hAnsi="Arial" w:eastAsia="Arial" w:cs="Arial" w:asciiTheme="minorAscii" w:hAnsiTheme="minorAscii" w:eastAsiaTheme="minorAscii" w:cstheme="minorAscii"/>
          <w:b w:val="0"/>
          <w:bCs w:val="0"/>
          <w:noProof w:val="0"/>
          <w:sz w:val="22"/>
          <w:szCs w:val="22"/>
          <w:lang w:val="en-GB"/>
        </w:rPr>
        <w:t>7 Ju</w:t>
      </w:r>
      <w:r w:rsidRPr="7FED74DD" w:rsidR="1150BA35">
        <w:rPr>
          <w:rFonts w:ascii="Arial" w:hAnsi="Arial" w:eastAsia="Arial" w:cs="Arial" w:asciiTheme="minorAscii" w:hAnsiTheme="minorAscii" w:eastAsiaTheme="minorAscii" w:cstheme="minorAscii"/>
          <w:b w:val="0"/>
          <w:bCs w:val="0"/>
          <w:noProof w:val="0"/>
          <w:sz w:val="22"/>
          <w:szCs w:val="22"/>
          <w:lang w:val="en-GB"/>
        </w:rPr>
        <w:t>ne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7FED74DD" w:rsidRDefault="2AD1E4E8" w14:paraId="7985993B" w14:textId="7ED74024">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7FED74DD" w:rsidRDefault="53C24BB4" w14:paraId="29898605" w14:textId="4D27C50C">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Del Casale, A., Sorice, S., Padovano, A., </w:t>
      </w:r>
      <w:r w:rsidRPr="7FED74DD" w:rsidR="7E7B097C">
        <w:rPr>
          <w:rFonts w:ascii="Arial" w:hAnsi="Arial" w:eastAsia="Arial" w:cs="Arial" w:asciiTheme="minorAscii" w:hAnsiTheme="minorAscii" w:eastAsiaTheme="minorAscii" w:cstheme="minorAscii"/>
          <w:b w:val="0"/>
          <w:bCs w:val="0"/>
          <w:noProof w:val="0"/>
          <w:sz w:val="22"/>
          <w:szCs w:val="22"/>
          <w:lang w:val="en-GB"/>
        </w:rPr>
        <w:t>Simmaco</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M., </w:t>
      </w:r>
      <w:r w:rsidRPr="7FED74DD" w:rsidR="7E7B097C">
        <w:rPr>
          <w:rFonts w:ascii="Arial" w:hAnsi="Arial" w:eastAsia="Arial" w:cs="Arial" w:asciiTheme="minorAscii" w:hAnsiTheme="minorAscii" w:eastAsiaTheme="minorAscii" w:cstheme="minorAscii"/>
          <w:b w:val="0"/>
          <w:bCs w:val="0"/>
          <w:noProof w:val="0"/>
          <w:sz w:val="22"/>
          <w:szCs w:val="22"/>
          <w:lang w:val="en-GB"/>
        </w:rPr>
        <w:t>Ferracuti</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S., Lamis, D. A., </w:t>
      </w:r>
      <w:r w:rsidRPr="7FED74DD" w:rsidR="7E7B097C">
        <w:rPr>
          <w:rFonts w:ascii="Arial" w:hAnsi="Arial" w:eastAsia="Arial" w:cs="Arial" w:asciiTheme="minorAscii" w:hAnsiTheme="minorAscii" w:eastAsiaTheme="minorAscii" w:cstheme="minorAscii"/>
          <w:b w:val="0"/>
          <w:bCs w:val="0"/>
          <w:noProof w:val="0"/>
          <w:sz w:val="22"/>
          <w:szCs w:val="22"/>
          <w:lang w:val="en-GB"/>
        </w:rPr>
        <w:t>Rapinesi</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C., Sani, G., Girardi, P., </w:t>
      </w:r>
      <w:r w:rsidRPr="7FED74DD" w:rsidR="7E7B097C">
        <w:rPr>
          <w:rFonts w:ascii="Arial" w:hAnsi="Arial" w:eastAsia="Arial" w:cs="Arial" w:asciiTheme="minorAscii" w:hAnsiTheme="minorAscii" w:eastAsiaTheme="minorAscii" w:cstheme="minorAscii"/>
          <w:b w:val="0"/>
          <w:bCs w:val="0"/>
          <w:noProof w:val="0"/>
          <w:sz w:val="22"/>
          <w:szCs w:val="22"/>
          <w:lang w:val="en-GB"/>
        </w:rPr>
        <w:t>Kotzalidis</w:t>
      </w:r>
      <w:r w:rsidRPr="7FED74DD" w:rsidR="7E7B097C">
        <w:rPr>
          <w:rFonts w:ascii="Arial" w:hAnsi="Arial" w:eastAsia="Arial" w:cs="Arial" w:asciiTheme="minorAscii" w:hAnsiTheme="minorAscii" w:eastAsiaTheme="minorAscii" w:cstheme="minorAscii"/>
          <w:b w:val="0"/>
          <w:bCs w:val="0"/>
          <w:noProof w:val="0"/>
          <w:sz w:val="22"/>
          <w:szCs w:val="22"/>
          <w:lang w:val="en-GB"/>
        </w:rPr>
        <w:t>, G. D., Pompili, M., (2019)</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Psychopharmacological Treatment of Obsessive-Compulsive Disorder (OCD),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Current Neuropharmacology</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17(8), pp. 710–736., Available at: </w:t>
      </w:r>
      <w:r w:rsidRPr="7FED74DD" w:rsidR="7E7B097C">
        <w:rPr>
          <w:b w:val="0"/>
          <w:bCs w:val="0"/>
          <w:noProof w:val="0"/>
          <w:sz w:val="22"/>
          <w:szCs w:val="22"/>
          <w:lang w:val="en-GB"/>
        </w:rPr>
        <w:t>https://pmc.ncbi.nlm.nih.gov/articles/PMC7059159/</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w:t>
      </w:r>
      <w:r w:rsidRPr="7FED74DD" w:rsidR="3CD3F49B">
        <w:rPr>
          <w:rFonts w:ascii="Arial" w:hAnsi="Arial" w:eastAsia="Arial" w:cs="Arial" w:asciiTheme="minorAscii" w:hAnsiTheme="minorAscii" w:eastAsiaTheme="minorAscii" w:cstheme="minorAscii"/>
          <w:b w:val="0"/>
          <w:bCs w:val="0"/>
          <w:noProof w:val="0"/>
          <w:sz w:val="22"/>
          <w:szCs w:val="22"/>
          <w:lang w:val="en-GB"/>
        </w:rPr>
        <w:t xml:space="preserve"> </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(Accessed </w:t>
      </w:r>
      <w:r w:rsidRPr="7FED74DD" w:rsidR="26C68756">
        <w:rPr>
          <w:rFonts w:ascii="Arial" w:hAnsi="Arial" w:eastAsia="Arial" w:cs="Arial" w:asciiTheme="minorAscii" w:hAnsiTheme="minorAscii" w:eastAsiaTheme="minorAscii" w:cstheme="minorAscii"/>
          <w:b w:val="0"/>
          <w:bCs w:val="0"/>
          <w:noProof w:val="0"/>
          <w:sz w:val="22"/>
          <w:szCs w:val="22"/>
          <w:lang w:val="en-GB"/>
        </w:rPr>
        <w:t>21 June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7FED74DD" w:rsidRDefault="2AD1E4E8" w14:paraId="554FA575" w14:textId="02E05457">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7FED74DD" w:rsidRDefault="53C24BB4" w14:paraId="00473C0A" w14:textId="7A8D6D5D">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Equality Act, (2010),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Chapter 15: Equality Act 2010</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London: HMSO., Available at: </w:t>
      </w:r>
      <w:r w:rsidRPr="7FED74DD" w:rsidR="7E7B097C">
        <w:rPr>
          <w:rFonts w:ascii="Arial" w:hAnsi="Arial" w:eastAsia="Arial" w:cs="Arial" w:asciiTheme="minorAscii" w:hAnsiTheme="minorAscii" w:eastAsiaTheme="minorAscii" w:cstheme="minorAscii"/>
          <w:b w:val="0"/>
          <w:bCs w:val="0"/>
          <w:noProof w:val="0"/>
          <w:sz w:val="22"/>
          <w:szCs w:val="22"/>
          <w:lang w:val="en-GB"/>
        </w:rPr>
        <w:t>https://www.legislation.gov.uk/ukpga/2010/15/contents</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7FED74DD" w:rsidR="0E9DDE39">
        <w:rPr>
          <w:rFonts w:ascii="Arial" w:hAnsi="Arial" w:eastAsia="Arial" w:cs="Arial" w:asciiTheme="minorAscii" w:hAnsiTheme="minorAscii" w:eastAsiaTheme="minorAscii" w:cstheme="minorAscii"/>
          <w:b w:val="0"/>
          <w:bCs w:val="0"/>
          <w:noProof w:val="0"/>
          <w:sz w:val="22"/>
          <w:szCs w:val="22"/>
          <w:lang w:val="en-GB"/>
        </w:rPr>
        <w:t>27 June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7FED74DD" w:rsidRDefault="2AD1E4E8" w14:paraId="0A5BDD47" w14:textId="78D56BF8">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7FED74DD" w:rsidRDefault="53C24BB4" w14:paraId="723D3143" w14:textId="47A11701">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Exceptional Individuals, (2025),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OCD in Neurodivergent Individuals: Overlaps, Misdiagnosis, and Tailored Support</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Blog post, London: Exceptional Individuals., Available at: </w:t>
      </w:r>
      <w:r w:rsidRPr="7FED74DD" w:rsidR="7E7B097C">
        <w:rPr>
          <w:rFonts w:ascii="Arial" w:hAnsi="Arial" w:eastAsia="Arial" w:cs="Arial" w:asciiTheme="minorAscii" w:hAnsiTheme="minorAscii" w:eastAsiaTheme="minorAscii" w:cstheme="minorAscii"/>
          <w:b w:val="0"/>
          <w:bCs w:val="0"/>
          <w:noProof w:val="0"/>
          <w:sz w:val="22"/>
          <w:szCs w:val="22"/>
          <w:lang w:val="en-GB"/>
        </w:rPr>
        <w:t>https://exceptionalindividuals.com/about-us/blog/ocd-in-neurodivergent-individuals-overlaps-misdiagnosis-and-tailored-support/</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7FED74DD" w:rsidR="73100670">
        <w:rPr>
          <w:rFonts w:ascii="Arial" w:hAnsi="Arial" w:eastAsia="Arial" w:cs="Arial" w:asciiTheme="minorAscii" w:hAnsiTheme="minorAscii" w:eastAsiaTheme="minorAscii" w:cstheme="minorAscii"/>
          <w:b w:val="0"/>
          <w:bCs w:val="0"/>
          <w:noProof w:val="0"/>
          <w:sz w:val="22"/>
          <w:szCs w:val="22"/>
          <w:lang w:val="en-GB"/>
        </w:rPr>
        <w:t>28 June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2AD1E4E8" w:rsidRDefault="2AD1E4E8" w14:paraId="5E4BDC5D" w14:textId="46B865ED">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p>
    <w:p w:rsidR="53C24BB4" w:rsidP="7FED74DD" w:rsidRDefault="53C24BB4" w14:paraId="429DDBF0" w14:textId="754086E5">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Hope Therapy &amp; Counselling Services, (2023),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Why more people in the UK are suffering from OCD</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Counselling Directory., Available at: </w:t>
      </w:r>
      <w:r w:rsidRPr="7FED74DD" w:rsidR="7E7B097C">
        <w:rPr>
          <w:rFonts w:ascii="Arial" w:hAnsi="Arial" w:eastAsia="Arial" w:cs="Arial" w:asciiTheme="minorAscii" w:hAnsiTheme="minorAscii" w:eastAsiaTheme="minorAscii" w:cstheme="minorAscii"/>
          <w:b w:val="0"/>
          <w:bCs w:val="0"/>
          <w:noProof w:val="0"/>
          <w:sz w:val="22"/>
          <w:szCs w:val="22"/>
          <w:lang w:val="en-GB"/>
        </w:rPr>
        <w:t>https://www.counselling-directory.org.uk/articles/why-more-people-in-the-uk-are-suffering-from-ocd</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7FED74DD" w:rsidR="3F725007">
        <w:rPr>
          <w:rFonts w:ascii="Arial" w:hAnsi="Arial" w:eastAsia="Arial" w:cs="Arial" w:asciiTheme="minorAscii" w:hAnsiTheme="minorAscii" w:eastAsiaTheme="minorAscii" w:cstheme="minorAscii"/>
          <w:b w:val="0"/>
          <w:bCs w:val="0"/>
          <w:noProof w:val="0"/>
          <w:sz w:val="22"/>
          <w:szCs w:val="22"/>
          <w:lang w:val="en-GB"/>
        </w:rPr>
        <w:t>2</w:t>
      </w:r>
      <w:r w:rsidRPr="7FED74DD" w:rsidR="7E7B097C">
        <w:rPr>
          <w:rFonts w:ascii="Arial" w:hAnsi="Arial" w:eastAsia="Arial" w:cs="Arial" w:asciiTheme="minorAscii" w:hAnsiTheme="minorAscii" w:eastAsiaTheme="minorAscii" w:cstheme="minorAscii"/>
          <w:b w:val="0"/>
          <w:bCs w:val="0"/>
          <w:noProof w:val="0"/>
          <w:sz w:val="22"/>
          <w:szCs w:val="22"/>
          <w:lang w:val="en-GB"/>
        </w:rPr>
        <w:t>3 Ju</w:t>
      </w:r>
      <w:r w:rsidRPr="7FED74DD" w:rsidR="7F902F73">
        <w:rPr>
          <w:rFonts w:ascii="Arial" w:hAnsi="Arial" w:eastAsia="Arial" w:cs="Arial" w:asciiTheme="minorAscii" w:hAnsiTheme="minorAscii" w:eastAsiaTheme="minorAscii" w:cstheme="minorAscii"/>
          <w:b w:val="0"/>
          <w:bCs w:val="0"/>
          <w:noProof w:val="0"/>
          <w:sz w:val="22"/>
          <w:szCs w:val="22"/>
          <w:lang w:val="en-GB"/>
        </w:rPr>
        <w:t xml:space="preserve">ne </w:t>
      </w:r>
      <w:r w:rsidRPr="7FED74DD" w:rsidR="7E7B097C">
        <w:rPr>
          <w:rFonts w:ascii="Arial" w:hAnsi="Arial" w:eastAsia="Arial" w:cs="Arial" w:asciiTheme="minorAscii" w:hAnsiTheme="minorAscii" w:eastAsiaTheme="minorAscii" w:cstheme="minorAscii"/>
          <w:b w:val="0"/>
          <w:bCs w:val="0"/>
          <w:noProof w:val="0"/>
          <w:sz w:val="22"/>
          <w:szCs w:val="22"/>
          <w:lang w:val="en-GB"/>
        </w:rPr>
        <w:t>2026)</w:t>
      </w:r>
    </w:p>
    <w:p w:rsidR="2AD1E4E8" w:rsidP="7FED74DD" w:rsidRDefault="2AD1E4E8" w14:paraId="3CA50086" w14:textId="207F7A95">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7FED74DD" w:rsidRDefault="53C24BB4" w14:paraId="591E71C2" w14:textId="023FADB7">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Lowther-Payne, H. J., Ushakova, A., Beckwith, A., Liberty, C., Edge, R., Lobban, F., (2023), Understanding inequalities in access to adult mental health services in the UK: a systematic mapping review,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BMC Health Services Research</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23(1042)., Available at: </w:t>
      </w:r>
      <w:r w:rsidRPr="7FED74DD" w:rsidR="7E7B097C">
        <w:rPr>
          <w:rFonts w:ascii="Arial" w:hAnsi="Arial" w:eastAsia="Arial" w:cs="Arial" w:asciiTheme="minorAscii" w:hAnsiTheme="minorAscii" w:eastAsiaTheme="minorAscii" w:cstheme="minorAscii"/>
          <w:b w:val="0"/>
          <w:bCs w:val="0"/>
          <w:noProof w:val="0"/>
          <w:sz w:val="22"/>
          <w:szCs w:val="22"/>
          <w:lang w:val="en-GB"/>
        </w:rPr>
        <w:t>https://pmc.ncbi.nlm.nih.gov/articles/PMC10542667/</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7FED74DD" w:rsidR="4A0C0A4A">
        <w:rPr>
          <w:rFonts w:ascii="Arial" w:hAnsi="Arial" w:eastAsia="Arial" w:cs="Arial" w:asciiTheme="minorAscii" w:hAnsiTheme="minorAscii" w:eastAsiaTheme="minorAscii" w:cstheme="minorAscii"/>
          <w:b w:val="0"/>
          <w:bCs w:val="0"/>
          <w:noProof w:val="0"/>
          <w:sz w:val="22"/>
          <w:szCs w:val="22"/>
          <w:lang w:val="en-GB"/>
        </w:rPr>
        <w:t>2</w:t>
      </w:r>
      <w:r w:rsidRPr="7FED74DD" w:rsidR="7E7B097C">
        <w:rPr>
          <w:rFonts w:ascii="Arial" w:hAnsi="Arial" w:eastAsia="Arial" w:cs="Arial" w:asciiTheme="minorAscii" w:hAnsiTheme="minorAscii" w:eastAsiaTheme="minorAscii" w:cstheme="minorAscii"/>
          <w:b w:val="0"/>
          <w:bCs w:val="0"/>
          <w:noProof w:val="0"/>
          <w:sz w:val="22"/>
          <w:szCs w:val="22"/>
          <w:lang w:val="en-GB"/>
        </w:rPr>
        <w:t>6 Ju</w:t>
      </w:r>
      <w:r w:rsidRPr="7FED74DD" w:rsidR="1AD96ACE">
        <w:rPr>
          <w:rFonts w:ascii="Arial" w:hAnsi="Arial" w:eastAsia="Arial" w:cs="Arial" w:asciiTheme="minorAscii" w:hAnsiTheme="minorAscii" w:eastAsiaTheme="minorAscii" w:cstheme="minorAscii"/>
          <w:b w:val="0"/>
          <w:bCs w:val="0"/>
          <w:noProof w:val="0"/>
          <w:sz w:val="22"/>
          <w:szCs w:val="22"/>
          <w:lang w:val="en-GB"/>
        </w:rPr>
        <w:t>ne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7FED74DD" w:rsidP="7FED74DD" w:rsidRDefault="7FED74DD" w14:paraId="6B689647" w14:textId="1E3E62C3">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p>
    <w:p w:rsidR="75951A29" w:rsidP="7FED74DD" w:rsidRDefault="75951A29" w14:paraId="4E53B5D3" w14:textId="1FF4BA0E">
      <w:pPr>
        <w:pStyle w:val="ListParagraph"/>
        <w:spacing w:before="240" w:beforeAutospacing="off" w:after="240" w:afterAutospacing="off" w:line="360" w:lineRule="auto"/>
        <w:ind w:left="720"/>
        <w:jc w:val="both"/>
        <w:rPr>
          <w:noProof w:val="0"/>
          <w:sz w:val="22"/>
          <w:szCs w:val="22"/>
          <w:lang w:val="en-GB"/>
        </w:rPr>
      </w:pPr>
      <w:r w:rsidRPr="7FED74DD" w:rsidR="75951A29">
        <w:rPr>
          <w:noProof w:val="0"/>
          <w:sz w:val="22"/>
          <w:szCs w:val="22"/>
          <w:lang w:val="en-GB"/>
        </w:rPr>
        <w:t xml:space="preserve">Marras, A., Fineberg, N. and </w:t>
      </w:r>
      <w:r w:rsidRPr="7FED74DD" w:rsidR="75951A29">
        <w:rPr>
          <w:noProof w:val="0"/>
          <w:sz w:val="22"/>
          <w:szCs w:val="22"/>
          <w:lang w:val="en-GB"/>
        </w:rPr>
        <w:t>Pallanti</w:t>
      </w:r>
      <w:r w:rsidRPr="7FED74DD" w:rsidR="75951A29">
        <w:rPr>
          <w:noProof w:val="0"/>
          <w:sz w:val="22"/>
          <w:szCs w:val="22"/>
          <w:lang w:val="en-GB"/>
        </w:rPr>
        <w:t xml:space="preserve">, S., (2016), Obsessive-compulsive and related disorders: comparing DSM-5 and ICD-11, </w:t>
      </w:r>
      <w:r w:rsidRPr="7FED74DD" w:rsidR="75951A29">
        <w:rPr>
          <w:i w:val="1"/>
          <w:iCs w:val="1"/>
          <w:noProof w:val="0"/>
          <w:sz w:val="22"/>
          <w:szCs w:val="22"/>
          <w:lang w:val="en-GB"/>
        </w:rPr>
        <w:t>CNS Spectrums</w:t>
      </w:r>
      <w:r w:rsidRPr="7FED74DD" w:rsidR="75951A29">
        <w:rPr>
          <w:noProof w:val="0"/>
          <w:sz w:val="22"/>
          <w:szCs w:val="22"/>
          <w:lang w:val="en-GB"/>
        </w:rPr>
        <w:t xml:space="preserve">, 21(3), pp. 248–254., Available at: </w:t>
      </w:r>
      <w:r w:rsidRPr="7FED74DD" w:rsidR="75951A29">
        <w:rPr>
          <w:noProof w:val="0"/>
          <w:sz w:val="22"/>
          <w:szCs w:val="22"/>
          <w:lang w:val="en-GB"/>
        </w:rPr>
        <w:t>https://pubmed.ncbi.nlm.nih.gov/27401060/</w:t>
      </w:r>
      <w:r w:rsidRPr="7FED74DD" w:rsidR="75951A29">
        <w:rPr>
          <w:noProof w:val="0"/>
          <w:sz w:val="22"/>
          <w:szCs w:val="22"/>
          <w:lang w:val="en-GB"/>
        </w:rPr>
        <w:t xml:space="preserve"> , (Accessed 17 June 2026)</w:t>
      </w:r>
    </w:p>
    <w:p w:rsidR="2AD1E4E8" w:rsidP="7FED74DD" w:rsidRDefault="2AD1E4E8" w14:paraId="1C2CBC62" w14:textId="5B60A783">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7FED74DD" w:rsidRDefault="53C24BB4" w14:paraId="0811D619" w14:textId="36EC9D33">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Mental Health Act, (1983),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Chapter 20: Mental Health Act 1983</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London: HMSO., Available at: </w:t>
      </w:r>
      <w:r w:rsidRPr="7FED74DD" w:rsidR="7E7B097C">
        <w:rPr>
          <w:rFonts w:ascii="Arial" w:hAnsi="Arial" w:eastAsia="Arial" w:cs="Arial" w:asciiTheme="minorAscii" w:hAnsiTheme="minorAscii" w:eastAsiaTheme="minorAscii" w:cstheme="minorAscii"/>
          <w:b w:val="0"/>
          <w:bCs w:val="0"/>
          <w:noProof w:val="0"/>
          <w:sz w:val="22"/>
          <w:szCs w:val="22"/>
          <w:lang w:val="en-GB"/>
        </w:rPr>
        <w:t>https://www.legislation.gov.uk/ukpga/1983/20/contents</w:t>
      </w:r>
      <w:r w:rsidRPr="7FED74DD" w:rsidR="7E7B097C">
        <w:rPr>
          <w:rFonts w:ascii="Arial" w:hAnsi="Arial" w:eastAsia="Arial" w:cs="Arial" w:asciiTheme="minorAscii" w:hAnsiTheme="minorAscii" w:eastAsiaTheme="minorAscii" w:cstheme="minorAscii"/>
          <w:b w:val="0"/>
          <w:bCs w:val="0"/>
          <w:noProof w:val="0"/>
          <w:sz w:val="22"/>
          <w:szCs w:val="22"/>
          <w:lang w:val="en-GB"/>
        </w:rPr>
        <w:t>, (Accessed 13 Ju</w:t>
      </w:r>
      <w:r w:rsidRPr="7FED74DD" w:rsidR="03AEBFE7">
        <w:rPr>
          <w:rFonts w:ascii="Arial" w:hAnsi="Arial" w:eastAsia="Arial" w:cs="Arial" w:asciiTheme="minorAscii" w:hAnsiTheme="minorAscii" w:eastAsiaTheme="minorAscii" w:cstheme="minorAscii"/>
          <w:b w:val="0"/>
          <w:bCs w:val="0"/>
          <w:noProof w:val="0"/>
          <w:sz w:val="22"/>
          <w:szCs w:val="22"/>
          <w:lang w:val="en-GB"/>
        </w:rPr>
        <w:t>ne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7FED74DD" w:rsidRDefault="2AD1E4E8" w14:paraId="6EEC38B8" w14:textId="3EC8583E">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7FED74DD" w:rsidRDefault="53C24BB4" w14:paraId="5998A71C" w14:textId="367A419D">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Mental Health Foundation, (2026), </w:t>
      </w:r>
      <w:bookmarkStart w:name="_Int_NI1itbKa" w:id="920021481"/>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Obsessive-compulsive disorder</w:t>
      </w:r>
      <w:bookmarkEnd w:id="920021481"/>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 xml:space="preserve"> (OCD)</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London: MHF., Available at: </w:t>
      </w:r>
      <w:r w:rsidRPr="7FED74DD" w:rsidR="7E7B097C">
        <w:rPr>
          <w:rFonts w:ascii="Arial" w:hAnsi="Arial" w:eastAsia="Arial" w:cs="Arial" w:asciiTheme="minorAscii" w:hAnsiTheme="minorAscii" w:eastAsiaTheme="minorAscii" w:cstheme="minorAscii"/>
          <w:b w:val="0"/>
          <w:bCs w:val="0"/>
          <w:noProof w:val="0"/>
          <w:sz w:val="22"/>
          <w:szCs w:val="22"/>
          <w:lang w:val="en-GB"/>
        </w:rPr>
        <w:t>https://www.mentalhealth.org.uk/explore-mental-health/a-z-topics/obsessive-compulsive-disorder-ocd</w:t>
      </w:r>
      <w:r w:rsidRPr="7FED74DD" w:rsidR="7E7B097C">
        <w:rPr>
          <w:rFonts w:ascii="Arial" w:hAnsi="Arial" w:eastAsia="Arial" w:cs="Arial" w:asciiTheme="minorAscii" w:hAnsiTheme="minorAscii" w:eastAsiaTheme="minorAscii" w:cstheme="minorAscii"/>
          <w:b w:val="0"/>
          <w:bCs w:val="0"/>
          <w:noProof w:val="0"/>
          <w:sz w:val="22"/>
          <w:szCs w:val="22"/>
          <w:lang w:val="en-GB"/>
        </w:rPr>
        <w:t>, (Accessed 10 Ju</w:t>
      </w:r>
      <w:r w:rsidRPr="7FED74DD" w:rsidR="5B9E93ED">
        <w:rPr>
          <w:rFonts w:ascii="Arial" w:hAnsi="Arial" w:eastAsia="Arial" w:cs="Arial" w:asciiTheme="minorAscii" w:hAnsiTheme="minorAscii" w:eastAsiaTheme="minorAscii" w:cstheme="minorAscii"/>
          <w:b w:val="0"/>
          <w:bCs w:val="0"/>
          <w:noProof w:val="0"/>
          <w:sz w:val="22"/>
          <w:szCs w:val="22"/>
          <w:lang w:val="en-GB"/>
        </w:rPr>
        <w:t>ne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7FED74DD" w:rsidRDefault="2AD1E4E8" w14:paraId="66DA3ED7" w14:textId="13811ED0">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7FED74DD" w:rsidRDefault="53C24BB4" w14:paraId="24371207" w14:textId="42B14DF1">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Mind, (2026),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 xml:space="preserve">What is the Mental Health Act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1983</w:t>
      </w:r>
      <w:r w:rsidRPr="7FED74DD" w:rsidR="7E7B097C">
        <w:rPr>
          <w:rFonts w:ascii="Arial" w:hAnsi="Arial" w:eastAsia="Arial" w:cs="Arial" w:asciiTheme="minorAscii" w:hAnsiTheme="minorAscii" w:eastAsiaTheme="minorAscii" w:cstheme="minorAscii"/>
          <w:b w:val="0"/>
          <w:bCs w:val="0"/>
          <w:noProof w:val="0"/>
          <w:sz w:val="22"/>
          <w:szCs w:val="22"/>
          <w:lang w:val="en-GB"/>
        </w:rPr>
        <w:t>,</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London: Mind., Available at: </w:t>
      </w:r>
      <w:r w:rsidRPr="7FED74DD" w:rsidR="7E7B097C">
        <w:rPr>
          <w:rFonts w:ascii="Arial" w:hAnsi="Arial" w:eastAsia="Arial" w:cs="Arial" w:asciiTheme="minorAscii" w:hAnsiTheme="minorAscii" w:eastAsiaTheme="minorAscii" w:cstheme="minorAscii"/>
          <w:b w:val="0"/>
          <w:bCs w:val="0"/>
          <w:noProof w:val="0"/>
          <w:sz w:val="22"/>
          <w:szCs w:val="22"/>
          <w:lang w:val="en-GB"/>
        </w:rPr>
        <w:t>https://www.mind.org.uk/information-support/legal-rights/mental-health-act-1983/about-the-mha-1983/</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7FED74DD" w:rsidR="50084997">
        <w:rPr>
          <w:rFonts w:ascii="Arial" w:hAnsi="Arial" w:eastAsia="Arial" w:cs="Arial" w:asciiTheme="minorAscii" w:hAnsiTheme="minorAscii" w:eastAsiaTheme="minorAscii" w:cstheme="minorAscii"/>
          <w:b w:val="0"/>
          <w:bCs w:val="0"/>
          <w:noProof w:val="0"/>
          <w:sz w:val="22"/>
          <w:szCs w:val="22"/>
          <w:lang w:val="en-GB"/>
        </w:rPr>
        <w:t>2</w:t>
      </w:r>
      <w:r w:rsidRPr="7FED74DD" w:rsidR="7E7B097C">
        <w:rPr>
          <w:rFonts w:ascii="Arial" w:hAnsi="Arial" w:eastAsia="Arial" w:cs="Arial" w:asciiTheme="minorAscii" w:hAnsiTheme="minorAscii" w:eastAsiaTheme="minorAscii" w:cstheme="minorAscii"/>
          <w:b w:val="0"/>
          <w:bCs w:val="0"/>
          <w:noProof w:val="0"/>
          <w:sz w:val="22"/>
          <w:szCs w:val="22"/>
          <w:lang w:val="en-GB"/>
        </w:rPr>
        <w:t>8 Ju</w:t>
      </w:r>
      <w:r w:rsidRPr="7FED74DD" w:rsidR="0F8F0023">
        <w:rPr>
          <w:rFonts w:ascii="Arial" w:hAnsi="Arial" w:eastAsia="Arial" w:cs="Arial" w:asciiTheme="minorAscii" w:hAnsiTheme="minorAscii" w:eastAsiaTheme="minorAscii" w:cstheme="minorAscii"/>
          <w:b w:val="0"/>
          <w:bCs w:val="0"/>
          <w:noProof w:val="0"/>
          <w:sz w:val="22"/>
          <w:szCs w:val="22"/>
          <w:lang w:val="en-GB"/>
        </w:rPr>
        <w:t>ne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7FED74DD" w:rsidP="7FED74DD" w:rsidRDefault="7FED74DD" w14:paraId="0CB31FDD" w14:textId="61BD1B97">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75CB031A" w:rsidP="7FED74DD" w:rsidRDefault="75CB031A" w14:paraId="6BE09DBA" w14:textId="2A00FC4B">
      <w:pPr>
        <w:pStyle w:val="ListParagraph"/>
        <w:spacing w:before="240" w:beforeAutospacing="off" w:after="240" w:afterAutospacing="off" w:line="360" w:lineRule="auto"/>
        <w:ind w:left="720"/>
        <w:jc w:val="both"/>
        <w:rPr>
          <w:noProof w:val="0"/>
          <w:sz w:val="22"/>
          <w:szCs w:val="22"/>
          <w:lang w:val="en-GB"/>
        </w:rPr>
      </w:pPr>
      <w:r w:rsidRPr="7FED74DD" w:rsidR="75CB031A">
        <w:rPr>
          <w:noProof w:val="0"/>
          <w:sz w:val="22"/>
          <w:szCs w:val="22"/>
          <w:lang w:val="en-GB"/>
        </w:rPr>
        <w:t xml:space="preserve">National </w:t>
      </w:r>
      <w:r w:rsidRPr="7FED74DD" w:rsidR="75CB031A">
        <w:rPr>
          <w:noProof w:val="0"/>
          <w:sz w:val="22"/>
          <w:szCs w:val="22"/>
          <w:lang w:val="en-GB"/>
        </w:rPr>
        <w:t>Center</w:t>
      </w:r>
      <w:r w:rsidRPr="7FED74DD" w:rsidR="75CB031A">
        <w:rPr>
          <w:noProof w:val="0"/>
          <w:sz w:val="22"/>
          <w:szCs w:val="22"/>
          <w:lang w:val="en-GB"/>
        </w:rPr>
        <w:t xml:space="preserve"> for Biotechnology Information (NCBI), (2018), </w:t>
      </w:r>
      <w:r w:rsidRPr="7FED74DD" w:rsidR="75CB031A">
        <w:rPr>
          <w:i w:val="1"/>
          <w:iCs w:val="1"/>
          <w:noProof w:val="0"/>
          <w:sz w:val="22"/>
          <w:szCs w:val="22"/>
          <w:lang w:val="en-GB"/>
        </w:rPr>
        <w:t xml:space="preserve">Impact of the DSM-IV to DSM-5 Changes on the National Survey on Drug Use and Health, </w:t>
      </w:r>
      <w:r w:rsidRPr="7FED74DD" w:rsidR="75CB031A">
        <w:rPr>
          <w:noProof w:val="0"/>
          <w:sz w:val="22"/>
          <w:szCs w:val="22"/>
          <w:lang w:val="en-GB"/>
        </w:rPr>
        <w:t>Rockville (MD): Substance Abuse and Mental Health Services Administration (US).</w:t>
      </w:r>
      <w:r w:rsidRPr="7FED74DD" w:rsidR="45ECAE56">
        <w:rPr>
          <w:noProof w:val="0"/>
          <w:sz w:val="22"/>
          <w:szCs w:val="22"/>
          <w:lang w:val="en-GB"/>
        </w:rPr>
        <w:t>,</w:t>
      </w:r>
      <w:r w:rsidRPr="7FED74DD" w:rsidR="75CB031A">
        <w:rPr>
          <w:noProof w:val="0"/>
          <w:sz w:val="22"/>
          <w:szCs w:val="22"/>
          <w:lang w:val="en-GB"/>
        </w:rPr>
        <w:t xml:space="preserve"> Available at: </w:t>
      </w:r>
      <w:r w:rsidRPr="7FED74DD" w:rsidR="75CB031A">
        <w:rPr>
          <w:noProof w:val="0"/>
          <w:sz w:val="22"/>
          <w:szCs w:val="22"/>
          <w:lang w:val="en-GB"/>
        </w:rPr>
        <w:t>https://www.ncbi.nlm.nih.gov/books/NBK519704/table/ch3.t13/,</w:t>
      </w:r>
      <w:r w:rsidRPr="7FED74DD" w:rsidR="75CB031A">
        <w:rPr>
          <w:noProof w:val="0"/>
          <w:sz w:val="22"/>
          <w:szCs w:val="22"/>
          <w:lang w:val="en-GB"/>
        </w:rPr>
        <w:t xml:space="preserve"> (Accessed 15 June 2026).</w:t>
      </w:r>
    </w:p>
    <w:p w:rsidR="2AD1E4E8" w:rsidP="7FED74DD" w:rsidRDefault="2AD1E4E8" w14:paraId="54A0E031" w14:textId="338868C2">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2AD1E4E8" w:rsidP="2AD1E4E8" w:rsidRDefault="2AD1E4E8" w14:paraId="3C211BF0" w14:textId="5627DCEF">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NHS, (2026),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 xml:space="preserve">Overview - </w:t>
      </w:r>
      <w:bookmarkStart w:name="_Int_MEnRQKG0" w:id="1384886181"/>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Obsessive compulsive disorder</w:t>
      </w:r>
      <w:bookmarkEnd w:id="1384886181"/>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 xml:space="preserve"> (OCD)</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London: NHS., Available at: </w:t>
      </w:r>
      <w:r w:rsidRPr="7FED74DD" w:rsidR="7E7B097C">
        <w:rPr>
          <w:rFonts w:ascii="Arial" w:hAnsi="Arial" w:eastAsia="Arial" w:cs="Arial" w:asciiTheme="minorAscii" w:hAnsiTheme="minorAscii" w:eastAsiaTheme="minorAscii" w:cstheme="minorAscii"/>
          <w:b w:val="0"/>
          <w:bCs w:val="0"/>
          <w:noProof w:val="0"/>
          <w:sz w:val="22"/>
          <w:szCs w:val="22"/>
          <w:lang w:val="en-GB"/>
        </w:rPr>
        <w:t>https://www.nhs.uk/mental-health/conditions/obsessive-compulsive-disorder-ocd/overview/</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7FED74DD" w:rsidR="6BCD06C9">
        <w:rPr>
          <w:rFonts w:ascii="Arial" w:hAnsi="Arial" w:eastAsia="Arial" w:cs="Arial" w:asciiTheme="minorAscii" w:hAnsiTheme="minorAscii" w:eastAsiaTheme="minorAscii" w:cstheme="minorAscii"/>
          <w:b w:val="0"/>
          <w:bCs w:val="0"/>
          <w:noProof w:val="0"/>
          <w:sz w:val="22"/>
          <w:szCs w:val="22"/>
          <w:lang w:val="en-GB"/>
        </w:rPr>
        <w:t>2</w:t>
      </w:r>
      <w:r w:rsidRPr="7FED74DD" w:rsidR="7E7B097C">
        <w:rPr>
          <w:rFonts w:ascii="Arial" w:hAnsi="Arial" w:eastAsia="Arial" w:cs="Arial" w:asciiTheme="minorAscii" w:hAnsiTheme="minorAscii" w:eastAsiaTheme="minorAscii" w:cstheme="minorAscii"/>
          <w:b w:val="0"/>
          <w:bCs w:val="0"/>
          <w:noProof w:val="0"/>
          <w:sz w:val="22"/>
          <w:szCs w:val="22"/>
          <w:lang w:val="en-GB"/>
        </w:rPr>
        <w:t>5 Ju</w:t>
      </w:r>
      <w:r w:rsidRPr="7FED74DD" w:rsidR="20EB2A75">
        <w:rPr>
          <w:rFonts w:ascii="Arial" w:hAnsi="Arial" w:eastAsia="Arial" w:cs="Arial" w:asciiTheme="minorAscii" w:hAnsiTheme="minorAscii" w:eastAsiaTheme="minorAscii" w:cstheme="minorAscii"/>
          <w:b w:val="0"/>
          <w:bCs w:val="0"/>
          <w:noProof w:val="0"/>
          <w:sz w:val="22"/>
          <w:szCs w:val="22"/>
          <w:lang w:val="en-GB"/>
        </w:rPr>
        <w:t>ne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7FED74DD" w:rsidP="7FED74DD" w:rsidRDefault="7FED74DD" w14:paraId="3B42413B" w14:textId="64A4B5B7">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p>
    <w:p w:rsidR="2AD1E4E8" w:rsidP="2AD1E4E8" w:rsidRDefault="2AD1E4E8" w14:paraId="5B92D8C5" w14:textId="344D41C3">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NHS Digital, (2026),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Improving Access to Psychological Therapies (IAPT)</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Leeds: NHS Digital., Available at: </w:t>
      </w:r>
      <w:r w:rsidRPr="7FED74DD" w:rsidR="7E7B097C">
        <w:rPr>
          <w:rFonts w:ascii="Arial" w:hAnsi="Arial" w:eastAsia="Arial" w:cs="Arial" w:asciiTheme="minorAscii" w:hAnsiTheme="minorAscii" w:eastAsiaTheme="minorAscii" w:cstheme="minorAscii"/>
          <w:b w:val="0"/>
          <w:bCs w:val="0"/>
          <w:noProof w:val="0"/>
          <w:sz w:val="22"/>
          <w:szCs w:val="22"/>
          <w:lang w:val="en-GB"/>
        </w:rPr>
        <w:t>https://digital.nhs.uk/services/data-services-for-commissioners/datasets/improving-access-to-psychological-therapies-iapt</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7FED74DD" w:rsidR="0154DA3C">
        <w:rPr>
          <w:rFonts w:ascii="Arial" w:hAnsi="Arial" w:eastAsia="Arial" w:cs="Arial" w:asciiTheme="minorAscii" w:hAnsiTheme="minorAscii" w:eastAsiaTheme="minorAscii" w:cstheme="minorAscii"/>
          <w:b w:val="0"/>
          <w:bCs w:val="0"/>
          <w:noProof w:val="0"/>
          <w:sz w:val="22"/>
          <w:szCs w:val="22"/>
          <w:lang w:val="en-GB"/>
        </w:rPr>
        <w:t>2</w:t>
      </w:r>
      <w:r w:rsidRPr="7FED74DD" w:rsidR="7E7B097C">
        <w:rPr>
          <w:rFonts w:ascii="Arial" w:hAnsi="Arial" w:eastAsia="Arial" w:cs="Arial" w:asciiTheme="minorAscii" w:hAnsiTheme="minorAscii" w:eastAsiaTheme="minorAscii" w:cstheme="minorAscii"/>
          <w:b w:val="0"/>
          <w:bCs w:val="0"/>
          <w:noProof w:val="0"/>
          <w:sz w:val="22"/>
          <w:szCs w:val="22"/>
          <w:lang w:val="en-GB"/>
        </w:rPr>
        <w:t>4 Ju</w:t>
      </w:r>
      <w:r w:rsidRPr="7FED74DD" w:rsidR="241C66FB">
        <w:rPr>
          <w:rFonts w:ascii="Arial" w:hAnsi="Arial" w:eastAsia="Arial" w:cs="Arial" w:asciiTheme="minorAscii" w:hAnsiTheme="minorAscii" w:eastAsiaTheme="minorAscii" w:cstheme="minorAscii"/>
          <w:b w:val="0"/>
          <w:bCs w:val="0"/>
          <w:noProof w:val="0"/>
          <w:sz w:val="22"/>
          <w:szCs w:val="22"/>
          <w:lang w:val="en-GB"/>
        </w:rPr>
        <w:t>ne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7FED74DD" w:rsidP="7FED74DD" w:rsidRDefault="7FED74DD" w14:paraId="7EB2E647" w14:textId="6E8F5B3F">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p>
    <w:p w:rsidR="53C24BB4" w:rsidP="7FED74DD" w:rsidRDefault="53C24BB4" w14:paraId="5E33EC1D" w14:textId="2B8EEA4B">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NHS England, (2025),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2025/26 priorities and operational planning guidance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London: NHS England., Available at: </w:t>
      </w:r>
      <w:r w:rsidRPr="7FED74DD" w:rsidR="7E7B097C">
        <w:rPr>
          <w:rFonts w:ascii="Arial" w:hAnsi="Arial" w:eastAsia="Arial" w:cs="Arial" w:asciiTheme="minorAscii" w:hAnsiTheme="minorAscii" w:eastAsiaTheme="minorAscii" w:cstheme="minorAscii"/>
          <w:b w:val="0"/>
          <w:bCs w:val="0"/>
          <w:noProof w:val="0"/>
          <w:sz w:val="22"/>
          <w:szCs w:val="22"/>
          <w:lang w:val="en-GB"/>
        </w:rPr>
        <w:t>https://www.england.nhs.uk/long-read/2025-26-priorities-and-operational-planning-guidance/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7FED74DD" w:rsidR="27B2421D">
        <w:rPr>
          <w:rFonts w:ascii="Arial" w:hAnsi="Arial" w:eastAsia="Arial" w:cs="Arial" w:asciiTheme="minorAscii" w:hAnsiTheme="minorAscii" w:eastAsiaTheme="minorAscii" w:cstheme="minorAscii"/>
          <w:b w:val="0"/>
          <w:bCs w:val="0"/>
          <w:noProof w:val="0"/>
          <w:sz w:val="22"/>
          <w:szCs w:val="22"/>
          <w:lang w:val="en-GB"/>
        </w:rPr>
        <w:t>24</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Ju</w:t>
      </w:r>
      <w:r w:rsidRPr="7FED74DD" w:rsidR="5E5C7374">
        <w:rPr>
          <w:rFonts w:ascii="Arial" w:hAnsi="Arial" w:eastAsia="Arial" w:cs="Arial" w:asciiTheme="minorAscii" w:hAnsiTheme="minorAscii" w:eastAsiaTheme="minorAscii" w:cstheme="minorAscii"/>
          <w:b w:val="0"/>
          <w:bCs w:val="0"/>
          <w:noProof w:val="0"/>
          <w:sz w:val="22"/>
          <w:szCs w:val="22"/>
          <w:lang w:val="en-GB"/>
        </w:rPr>
        <w:t>ne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7FED74DD" w:rsidP="7FED74DD" w:rsidRDefault="7FED74DD" w14:paraId="4607CD47" w14:textId="5CED83BD">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0E20DE91" w:rsidP="7FED74DD" w:rsidRDefault="0E20DE91" w14:paraId="0F5CBF63" w14:textId="53F767F1">
      <w:pPr>
        <w:pStyle w:val="ListParagraph"/>
        <w:spacing w:before="240" w:beforeAutospacing="off" w:after="240" w:afterAutospacing="off" w:line="360" w:lineRule="auto"/>
        <w:ind w:left="720"/>
        <w:jc w:val="both"/>
        <w:rPr>
          <w:noProof w:val="0"/>
          <w:sz w:val="22"/>
          <w:szCs w:val="22"/>
          <w:lang w:val="en-GB"/>
        </w:rPr>
      </w:pPr>
      <w:r w:rsidRPr="7FED74DD" w:rsidR="0E20DE91">
        <w:rPr>
          <w:noProof w:val="0"/>
          <w:sz w:val="22"/>
          <w:szCs w:val="22"/>
          <w:lang w:val="en-GB"/>
        </w:rPr>
        <w:t xml:space="preserve">NICE, (2024), </w:t>
      </w:r>
      <w:bookmarkStart w:name="_Int_sHuNGVIP" w:id="275860668"/>
      <w:r w:rsidRPr="7FED74DD" w:rsidR="0E20DE91">
        <w:rPr>
          <w:i w:val="1"/>
          <w:iCs w:val="1"/>
          <w:noProof w:val="0"/>
          <w:sz w:val="22"/>
          <w:szCs w:val="22"/>
          <w:lang w:val="en-GB"/>
        </w:rPr>
        <w:t>Obsessive-compulsive disorder</w:t>
      </w:r>
      <w:bookmarkEnd w:id="275860668"/>
      <w:r w:rsidRPr="7FED74DD" w:rsidR="0E20DE91">
        <w:rPr>
          <w:i w:val="1"/>
          <w:iCs w:val="1"/>
          <w:noProof w:val="0"/>
          <w:sz w:val="22"/>
          <w:szCs w:val="22"/>
          <w:lang w:val="en-GB"/>
        </w:rPr>
        <w:t>: background information - prevalence</w:t>
      </w:r>
      <w:r w:rsidRPr="7FED74DD" w:rsidR="0E20DE91">
        <w:rPr>
          <w:noProof w:val="0"/>
          <w:sz w:val="22"/>
          <w:szCs w:val="22"/>
          <w:lang w:val="en-GB"/>
        </w:rPr>
        <w:t xml:space="preserve">., Available at: </w:t>
      </w:r>
      <w:r w:rsidRPr="7FED74DD" w:rsidR="0E20DE91">
        <w:rPr>
          <w:noProof w:val="0"/>
          <w:sz w:val="22"/>
          <w:szCs w:val="22"/>
          <w:lang w:val="en-GB"/>
        </w:rPr>
        <w:t>https://cks.nice.org.uk/topics/obsessive-compulsive-disorder/background-information/prevalence/,</w:t>
      </w:r>
      <w:r w:rsidRPr="7FED74DD" w:rsidR="0E20DE91">
        <w:rPr>
          <w:noProof w:val="0"/>
          <w:sz w:val="22"/>
          <w:szCs w:val="22"/>
          <w:lang w:val="en-GB"/>
        </w:rPr>
        <w:t xml:space="preserve"> (Accessed </w:t>
      </w:r>
      <w:r w:rsidRPr="7FED74DD" w:rsidR="44DEDA8C">
        <w:rPr>
          <w:noProof w:val="0"/>
          <w:sz w:val="22"/>
          <w:szCs w:val="22"/>
          <w:lang w:val="en-GB"/>
        </w:rPr>
        <w:t>15 June</w:t>
      </w:r>
      <w:r w:rsidRPr="7FED74DD" w:rsidR="0E20DE91">
        <w:rPr>
          <w:noProof w:val="0"/>
          <w:sz w:val="22"/>
          <w:szCs w:val="22"/>
          <w:lang w:val="en-GB"/>
        </w:rPr>
        <w:t xml:space="preserve"> 2026)</w:t>
      </w:r>
    </w:p>
    <w:p w:rsidR="2AD1E4E8" w:rsidP="7FED74DD" w:rsidRDefault="2AD1E4E8" w14:paraId="2D9E2B2A" w14:textId="7F9D350A">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7FED74DD" w:rsidRDefault="53C24BB4" w14:paraId="398EC083" w14:textId="77177D1E">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NICE, (200</w:t>
      </w:r>
      <w:r w:rsidRPr="7FED74DD" w:rsidR="32D643F4">
        <w:rPr>
          <w:rFonts w:ascii="Arial" w:hAnsi="Arial" w:eastAsia="Arial" w:cs="Arial" w:asciiTheme="minorAscii" w:hAnsiTheme="minorAscii" w:eastAsiaTheme="minorAscii" w:cstheme="minorAscii"/>
          <w:b w:val="0"/>
          <w:bCs w:val="0"/>
          <w:noProof w:val="0"/>
          <w:sz w:val="22"/>
          <w:szCs w:val="22"/>
          <w:lang w:val="en-GB"/>
        </w:rPr>
        <w:t>5</w:t>
      </w:r>
      <w:r w:rsidRPr="7FED74DD" w:rsidR="377ABCF8">
        <w:rPr>
          <w:rFonts w:ascii="Arial" w:hAnsi="Arial" w:eastAsia="Arial" w:cs="Arial" w:asciiTheme="minorAscii" w:hAnsiTheme="minorAscii" w:eastAsiaTheme="minorAscii" w:cstheme="minorAscii"/>
          <w:b w:val="0"/>
          <w:bCs w:val="0"/>
          <w:noProof w:val="0"/>
          <w:sz w:val="22"/>
          <w:szCs w:val="22"/>
          <w:lang w:val="en-GB"/>
        </w:rPr>
        <w:t xml:space="preserve">), </w:t>
      </w:r>
      <w:bookmarkStart w:name="_Int_I3uiuOw6" w:id="72763791"/>
      <w:r w:rsidRPr="7FED74DD" w:rsidR="377ABCF8">
        <w:rPr>
          <w:rFonts w:ascii="Arial" w:hAnsi="Arial" w:eastAsia="Arial" w:cs="Arial" w:asciiTheme="minorAscii" w:hAnsiTheme="minorAscii" w:eastAsiaTheme="minorAscii" w:cstheme="minorAscii"/>
          <w:b w:val="0"/>
          <w:bCs w:val="0"/>
          <w:noProof w:val="0"/>
          <w:sz w:val="22"/>
          <w:szCs w:val="22"/>
          <w:lang w:val="en-GB"/>
        </w:rPr>
        <w:t>Obsessive</w:t>
      </w:r>
      <w:r w:rsidRPr="7FED74DD" w:rsidR="46B4A64A">
        <w:rPr>
          <w:rFonts w:ascii="Arial" w:hAnsi="Arial" w:eastAsia="Arial" w:cs="Arial" w:asciiTheme="minorAscii" w:hAnsiTheme="minorAscii" w:eastAsiaTheme="minorAscii" w:cstheme="minorAscii"/>
          <w:b w:val="0"/>
          <w:bCs w:val="0"/>
          <w:i w:val="1"/>
          <w:iCs w:val="1"/>
          <w:noProof w:val="0"/>
          <w:sz w:val="22"/>
          <w:szCs w:val="22"/>
          <w:lang w:val="en-GB"/>
        </w:rPr>
        <w:t>-compulsive disorder</w:t>
      </w:r>
      <w:bookmarkEnd w:id="72763791"/>
      <w:r w:rsidRPr="7FED74DD" w:rsidR="46B4A64A">
        <w:rPr>
          <w:rFonts w:ascii="Arial" w:hAnsi="Arial" w:eastAsia="Arial" w:cs="Arial" w:asciiTheme="minorAscii" w:hAnsiTheme="minorAscii" w:eastAsiaTheme="minorAscii" w:cstheme="minorAscii"/>
          <w:b w:val="0"/>
          <w:bCs w:val="0"/>
          <w:i w:val="1"/>
          <w:iCs w:val="1"/>
          <w:noProof w:val="0"/>
          <w:sz w:val="22"/>
          <w:szCs w:val="22"/>
          <w:lang w:val="en-GB"/>
        </w:rPr>
        <w:t xml:space="preserve"> and body dysmorphic disorder: treatment, </w:t>
      </w:r>
      <w:r w:rsidRPr="7FED74DD" w:rsidR="7E7B097C">
        <w:rPr>
          <w:rFonts w:ascii="Arial" w:hAnsi="Arial" w:eastAsia="Arial" w:cs="Arial" w:asciiTheme="minorAscii" w:hAnsiTheme="minorAscii" w:eastAsiaTheme="minorAscii" w:cstheme="minorAscii"/>
          <w:b w:val="0"/>
          <w:bCs w:val="0"/>
          <w:noProof w:val="0"/>
          <w:sz w:val="22"/>
          <w:szCs w:val="22"/>
          <w:lang w:val="en-GB"/>
        </w:rPr>
        <w:t>London: NICE.,</w:t>
      </w:r>
      <w:r w:rsidRPr="7FED74DD" w:rsidR="0089FA4E">
        <w:rPr>
          <w:rFonts w:ascii="Arial" w:hAnsi="Arial" w:eastAsia="Arial" w:cs="Arial" w:asciiTheme="minorAscii" w:hAnsiTheme="minorAscii" w:eastAsiaTheme="minorAscii" w:cstheme="minorAscii"/>
          <w:b w:val="0"/>
          <w:bCs w:val="0"/>
          <w:noProof w:val="0"/>
          <w:sz w:val="22"/>
          <w:szCs w:val="22"/>
          <w:lang w:val="en-GB"/>
        </w:rPr>
        <w:t xml:space="preserve"> (reviewed 2024),</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Available at: </w:t>
      </w:r>
      <w:r w:rsidRPr="7FED74DD" w:rsidR="7E7B097C">
        <w:rPr>
          <w:rFonts w:ascii="Arial" w:hAnsi="Arial" w:eastAsia="Arial" w:cs="Arial" w:asciiTheme="minorAscii" w:hAnsiTheme="minorAscii" w:eastAsiaTheme="minorAscii" w:cstheme="minorAscii"/>
          <w:b w:val="0"/>
          <w:bCs w:val="0"/>
          <w:noProof w:val="0"/>
          <w:sz w:val="22"/>
          <w:szCs w:val="22"/>
          <w:lang w:val="en-GB"/>
        </w:rPr>
        <w:t>https://www.nice.org.uk/guidance/cg31</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7FED74DD" w:rsidR="08BC00FD">
        <w:rPr>
          <w:rFonts w:ascii="Arial" w:hAnsi="Arial" w:eastAsia="Arial" w:cs="Arial" w:asciiTheme="minorAscii" w:hAnsiTheme="minorAscii" w:eastAsiaTheme="minorAscii" w:cstheme="minorAscii"/>
          <w:b w:val="0"/>
          <w:bCs w:val="0"/>
          <w:noProof w:val="0"/>
          <w:sz w:val="22"/>
          <w:szCs w:val="22"/>
          <w:lang w:val="en-GB"/>
        </w:rPr>
        <w:t>1</w:t>
      </w:r>
      <w:r w:rsidRPr="7FED74DD" w:rsidR="7E7B097C">
        <w:rPr>
          <w:rFonts w:ascii="Arial" w:hAnsi="Arial" w:eastAsia="Arial" w:cs="Arial" w:asciiTheme="minorAscii" w:hAnsiTheme="minorAscii" w:eastAsiaTheme="minorAscii" w:cstheme="minorAscii"/>
          <w:b w:val="0"/>
          <w:bCs w:val="0"/>
          <w:noProof w:val="0"/>
          <w:sz w:val="22"/>
          <w:szCs w:val="22"/>
          <w:lang w:val="en-GB"/>
        </w:rPr>
        <w:t>7 Ju</w:t>
      </w:r>
      <w:r w:rsidRPr="7FED74DD" w:rsidR="2214FA8C">
        <w:rPr>
          <w:rFonts w:ascii="Arial" w:hAnsi="Arial" w:eastAsia="Arial" w:cs="Arial" w:asciiTheme="minorAscii" w:hAnsiTheme="minorAscii" w:eastAsiaTheme="minorAscii" w:cstheme="minorAscii"/>
          <w:b w:val="0"/>
          <w:bCs w:val="0"/>
          <w:noProof w:val="0"/>
          <w:sz w:val="22"/>
          <w:szCs w:val="22"/>
          <w:lang w:val="en-GB"/>
        </w:rPr>
        <w:t>ne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7FED74DD" w:rsidRDefault="2AD1E4E8" w14:paraId="06125CB3" w14:textId="20520D4E">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7FED74DD" w:rsidRDefault="53C24BB4" w14:paraId="465B535B" w14:textId="06D49FFB">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OCD-UK, (2024</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a),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Accessing OCD treatment through the NHS</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Derby: OCD-UK., Available at: </w:t>
      </w:r>
      <w:r w:rsidRPr="7FED74DD" w:rsidR="39E3BD5D">
        <w:rPr>
          <w:b w:val="0"/>
          <w:bCs w:val="0"/>
          <w:noProof w:val="0"/>
          <w:sz w:val="22"/>
          <w:szCs w:val="22"/>
          <w:lang w:val="en-GB"/>
        </w:rPr>
        <w:t>https://www.ocduk.org/overcoming-ocd/accessing-ocd-treatment/accessing-ocd-treatment-through-the-nhs/</w:t>
      </w:r>
      <w:r w:rsidRPr="7FED74DD" w:rsidR="39E3BD5D">
        <w:rPr>
          <w:rFonts w:ascii="Arial" w:hAnsi="Arial" w:eastAsia="Arial" w:cs="Arial" w:asciiTheme="minorAscii" w:hAnsiTheme="minorAscii" w:eastAsiaTheme="minorAscii" w:cstheme="minorAscii"/>
          <w:b w:val="0"/>
          <w:bCs w:val="0"/>
          <w:noProof w:val="0"/>
          <w:sz w:val="22"/>
          <w:szCs w:val="22"/>
          <w:lang w:val="en-GB"/>
        </w:rPr>
        <w:t xml:space="preserve"> </w:t>
      </w:r>
      <w:r w:rsidRPr="7FED74DD" w:rsidR="40390A07">
        <w:rPr>
          <w:rFonts w:ascii="Arial" w:hAnsi="Arial" w:eastAsia="Arial" w:cs="Arial" w:asciiTheme="minorAscii" w:hAnsiTheme="minorAscii" w:eastAsiaTheme="minorAscii" w:cstheme="minorAscii"/>
          <w:b w:val="0"/>
          <w:bCs w:val="0"/>
          <w:noProof w:val="0"/>
          <w:sz w:val="22"/>
          <w:szCs w:val="22"/>
          <w:lang w:val="en-GB"/>
        </w:rPr>
        <w:t>,</w:t>
      </w:r>
      <w:r w:rsidRPr="7FED74DD" w:rsidR="6DE3B1C0">
        <w:rPr>
          <w:rFonts w:ascii="Arial" w:hAnsi="Arial" w:eastAsia="Arial" w:cs="Arial" w:asciiTheme="minorAscii" w:hAnsiTheme="minorAscii" w:eastAsiaTheme="minorAscii" w:cstheme="minorAscii"/>
          <w:b w:val="0"/>
          <w:bCs w:val="0"/>
          <w:noProof w:val="0"/>
          <w:sz w:val="22"/>
          <w:szCs w:val="22"/>
          <w:lang w:val="en-GB"/>
        </w:rPr>
        <w:t xml:space="preserve"> </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(Accessed 1</w:t>
      </w:r>
      <w:r w:rsidRPr="7FED74DD" w:rsidR="439101F8">
        <w:rPr>
          <w:rFonts w:ascii="Arial" w:hAnsi="Arial" w:eastAsia="Arial" w:cs="Arial" w:asciiTheme="minorAscii" w:hAnsiTheme="minorAscii" w:eastAsiaTheme="minorAscii" w:cstheme="minorAscii"/>
          <w:b w:val="0"/>
          <w:bCs w:val="0"/>
          <w:noProof w:val="0"/>
          <w:sz w:val="22"/>
          <w:szCs w:val="22"/>
          <w:lang w:val="en-GB"/>
        </w:rPr>
        <w:t>7 June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7FED74DD" w:rsidRDefault="2AD1E4E8" w14:paraId="39A9CABF" w14:textId="2CDBEC77">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2AD1E4E8" w:rsidP="2AD1E4E8" w:rsidRDefault="2AD1E4E8" w14:paraId="7C835A81" w14:textId="09A06084">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OCD-UK, (2024b),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Diagnosing OCD</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Derby: OCD-UK., Available at: </w:t>
      </w:r>
      <w:r w:rsidRPr="7FED74DD" w:rsidR="7E7B097C">
        <w:rPr>
          <w:rFonts w:ascii="Arial" w:hAnsi="Arial" w:eastAsia="Arial" w:cs="Arial" w:asciiTheme="minorAscii" w:hAnsiTheme="minorAscii" w:eastAsiaTheme="minorAscii" w:cstheme="minorAscii"/>
          <w:b w:val="0"/>
          <w:bCs w:val="0"/>
          <w:noProof w:val="0"/>
          <w:sz w:val="22"/>
          <w:szCs w:val="22"/>
          <w:lang w:val="en-GB"/>
        </w:rPr>
        <w:t>https://www.ocduk.org/ocd/diagnosing-ocd/</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7FED74DD" w:rsidR="7834108E">
        <w:rPr>
          <w:rFonts w:ascii="Arial" w:hAnsi="Arial" w:eastAsia="Arial" w:cs="Arial" w:asciiTheme="minorAscii" w:hAnsiTheme="minorAscii" w:eastAsiaTheme="minorAscii" w:cstheme="minorAscii"/>
          <w:b w:val="0"/>
          <w:bCs w:val="0"/>
          <w:noProof w:val="0"/>
          <w:sz w:val="22"/>
          <w:szCs w:val="22"/>
          <w:lang w:val="en-GB"/>
        </w:rPr>
        <w:t>17 June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7FED74DD" w:rsidP="7FED74DD" w:rsidRDefault="7FED74DD" w14:paraId="10B31EC7" w14:textId="6EA0BBDA">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p>
    <w:p w:rsidR="53C24BB4" w:rsidP="7FED74DD" w:rsidRDefault="53C24BB4" w14:paraId="0DB58BE3" w14:textId="70C6D729">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Pittenger, C.</w:t>
      </w:r>
      <w:r w:rsidRPr="7FED74DD" w:rsidR="13785FA0">
        <w:rPr>
          <w:rFonts w:ascii="Arial" w:hAnsi="Arial" w:eastAsia="Arial" w:cs="Arial" w:asciiTheme="minorAscii" w:hAnsiTheme="minorAscii" w:eastAsiaTheme="minorAscii" w:cstheme="minorAscii"/>
          <w:b w:val="0"/>
          <w:bCs w:val="0"/>
          <w:noProof w:val="0"/>
          <w:sz w:val="22"/>
          <w:szCs w:val="22"/>
          <w:lang w:val="en-GB"/>
        </w:rPr>
        <w:t>, (2023),</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Pharmacological treatment of obsessive-compulsive disorder, </w:t>
      </w:r>
      <w:r w:rsidRPr="7FED74DD" w:rsidR="267C39BC">
        <w:rPr>
          <w:rFonts w:ascii="Arial" w:hAnsi="Arial" w:eastAsia="Arial" w:cs="Arial" w:asciiTheme="minorAscii" w:hAnsiTheme="minorAscii" w:eastAsiaTheme="minorAscii" w:cstheme="minorAscii"/>
          <w:b w:val="0"/>
          <w:bCs w:val="0"/>
          <w:i w:val="1"/>
          <w:iCs w:val="1"/>
          <w:noProof w:val="0"/>
          <w:sz w:val="22"/>
          <w:szCs w:val="22"/>
          <w:lang w:val="en-GB"/>
        </w:rPr>
        <w:t>Psychiatric Clinics of North America,</w:t>
      </w:r>
      <w:r w:rsidRPr="7FED74DD" w:rsidR="267C39BC">
        <w:rPr>
          <w:rFonts w:ascii="Arial" w:hAnsi="Arial" w:eastAsia="Arial" w:cs="Arial" w:asciiTheme="minorAscii" w:hAnsiTheme="minorAscii" w:eastAsiaTheme="minorAscii" w:cstheme="minorAscii"/>
          <w:b w:val="0"/>
          <w:bCs w:val="0"/>
          <w:noProof w:val="0"/>
          <w:sz w:val="22"/>
          <w:szCs w:val="22"/>
          <w:lang w:val="en-GB"/>
        </w:rPr>
        <w:t xml:space="preserve"> </w:t>
      </w:r>
      <w:r w:rsidRPr="7FED74DD" w:rsidR="267C39BC">
        <w:rPr>
          <w:sz w:val="22"/>
          <w:szCs w:val="22"/>
        </w:rPr>
        <w:t>Vol. 46, Issue 1, March 2023, Pages 107-</w:t>
      </w:r>
      <w:r w:rsidRPr="7FED74DD" w:rsidR="6C853A49">
        <w:rPr>
          <w:sz w:val="22"/>
          <w:szCs w:val="22"/>
        </w:rPr>
        <w:t>119, Available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at:</w:t>
      </w:r>
      <w:r w:rsidRPr="7FED74DD" w:rsidR="0D16FC23">
        <w:rPr>
          <w:rFonts w:ascii="Arial" w:hAnsi="Arial" w:eastAsia="Arial" w:cs="Arial" w:asciiTheme="minorAscii" w:hAnsiTheme="minorAscii" w:eastAsiaTheme="minorAscii" w:cstheme="minorAscii"/>
          <w:b w:val="0"/>
          <w:bCs w:val="0"/>
          <w:noProof w:val="0"/>
          <w:sz w:val="22"/>
          <w:szCs w:val="22"/>
          <w:lang w:val="en-GB"/>
        </w:rPr>
        <w:t xml:space="preserve"> </w:t>
      </w:r>
      <w:r w:rsidRPr="7FED74DD" w:rsidR="7809A133">
        <w:rPr>
          <w:b w:val="0"/>
          <w:bCs w:val="0"/>
          <w:noProof w:val="0"/>
          <w:sz w:val="22"/>
          <w:szCs w:val="22"/>
          <w:lang w:val="en-GB"/>
        </w:rPr>
        <w:t>https://www.sciencedirect.com/science/article/abs/pii/S0193953X22001022?via%3Dihub</w:t>
      </w:r>
      <w:r w:rsidRPr="7FED74DD" w:rsidR="7809A133">
        <w:rPr>
          <w:rFonts w:ascii="Arial" w:hAnsi="Arial" w:eastAsia="Arial" w:cs="Arial" w:asciiTheme="minorAscii" w:hAnsiTheme="minorAscii" w:eastAsiaTheme="minorAscii" w:cstheme="minorAscii"/>
          <w:b w:val="0"/>
          <w:bCs w:val="0"/>
          <w:noProof w:val="0"/>
          <w:sz w:val="22"/>
          <w:szCs w:val="22"/>
          <w:lang w:val="en-GB"/>
        </w:rPr>
        <w:t xml:space="preserve"> </w:t>
      </w:r>
      <w:r w:rsidRPr="7FED74DD" w:rsidR="49C64063">
        <w:rPr>
          <w:rFonts w:ascii="Arial" w:hAnsi="Arial" w:eastAsia="Arial" w:cs="Arial" w:asciiTheme="minorAscii" w:hAnsiTheme="minorAscii" w:eastAsiaTheme="minorAscii" w:cstheme="minorAscii"/>
          <w:b w:val="0"/>
          <w:bCs w:val="0"/>
          <w:noProof w:val="0"/>
          <w:sz w:val="22"/>
          <w:szCs w:val="22"/>
          <w:lang w:val="en-GB"/>
        </w:rPr>
        <w:t xml:space="preserve">, </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(Accessed </w:t>
      </w:r>
      <w:r w:rsidRPr="7FED74DD" w:rsidR="2362B0C4">
        <w:rPr>
          <w:rFonts w:ascii="Arial" w:hAnsi="Arial" w:eastAsia="Arial" w:cs="Arial" w:asciiTheme="minorAscii" w:hAnsiTheme="minorAscii" w:eastAsiaTheme="minorAscii" w:cstheme="minorAscii"/>
          <w:b w:val="0"/>
          <w:bCs w:val="0"/>
          <w:noProof w:val="0"/>
          <w:sz w:val="22"/>
          <w:szCs w:val="22"/>
          <w:lang w:val="en-GB"/>
        </w:rPr>
        <w:t>21</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J</w:t>
      </w:r>
      <w:r w:rsidRPr="7FED74DD" w:rsidR="0A7E4AF4">
        <w:rPr>
          <w:rFonts w:ascii="Arial" w:hAnsi="Arial" w:eastAsia="Arial" w:cs="Arial" w:asciiTheme="minorAscii" w:hAnsiTheme="minorAscii" w:eastAsiaTheme="minorAscii" w:cstheme="minorAscii"/>
          <w:b w:val="0"/>
          <w:bCs w:val="0"/>
          <w:noProof w:val="0"/>
          <w:sz w:val="22"/>
          <w:szCs w:val="22"/>
          <w:lang w:val="en-GB"/>
        </w:rPr>
        <w:t xml:space="preserve">une </w:t>
      </w:r>
      <w:r w:rsidRPr="7FED74DD" w:rsidR="7E7B097C">
        <w:rPr>
          <w:rFonts w:ascii="Arial" w:hAnsi="Arial" w:eastAsia="Arial" w:cs="Arial" w:asciiTheme="minorAscii" w:hAnsiTheme="minorAscii" w:eastAsiaTheme="minorAscii" w:cstheme="minorAscii"/>
          <w:b w:val="0"/>
          <w:bCs w:val="0"/>
          <w:noProof w:val="0"/>
          <w:sz w:val="22"/>
          <w:szCs w:val="22"/>
          <w:lang w:val="en-GB"/>
        </w:rPr>
        <w:t>2026)</w:t>
      </w:r>
    </w:p>
    <w:p w:rsidR="2AD1E4E8" w:rsidP="7FED74DD" w:rsidRDefault="2AD1E4E8" w14:paraId="757FBCF5" w14:textId="182D186E">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7FED74DD" w:rsidRDefault="53C24BB4" w14:paraId="0F85218E" w14:textId="3F64E664">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Samaritans, (2025),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 xml:space="preserve">The </w:t>
      </w:r>
      <w:bookmarkStart w:name="_Int_1cqNSTho" w:id="533692878"/>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10 Year</w:t>
      </w:r>
      <w:bookmarkEnd w:id="533692878"/>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 xml:space="preserve"> Health Plan for England – the devil will be in the detail</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Blog post, Ewell: Samaritans., Available at: </w:t>
      </w:r>
      <w:r w:rsidRPr="7FED74DD" w:rsidR="7E7B097C">
        <w:rPr>
          <w:rFonts w:ascii="Arial" w:hAnsi="Arial" w:eastAsia="Arial" w:cs="Arial" w:asciiTheme="minorAscii" w:hAnsiTheme="minorAscii" w:eastAsiaTheme="minorAscii" w:cstheme="minorAscii"/>
          <w:b w:val="0"/>
          <w:bCs w:val="0"/>
          <w:noProof w:val="0"/>
          <w:sz w:val="22"/>
          <w:szCs w:val="22"/>
          <w:lang w:val="en-GB"/>
        </w:rPr>
        <w:t>https://www.samaritans.org/news/the-10-year-health-plan-for-england-blog/</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7FED74DD" w:rsidR="013E80D7">
        <w:rPr>
          <w:rFonts w:ascii="Arial" w:hAnsi="Arial" w:eastAsia="Arial" w:cs="Arial" w:asciiTheme="minorAscii" w:hAnsiTheme="minorAscii" w:eastAsiaTheme="minorAscii" w:cstheme="minorAscii"/>
          <w:b w:val="0"/>
          <w:bCs w:val="0"/>
          <w:noProof w:val="0"/>
          <w:sz w:val="22"/>
          <w:szCs w:val="22"/>
          <w:lang w:val="en-GB"/>
        </w:rPr>
        <w:t xml:space="preserve">24 </w:t>
      </w:r>
      <w:r w:rsidRPr="7FED74DD" w:rsidR="7E7B097C">
        <w:rPr>
          <w:rFonts w:ascii="Arial" w:hAnsi="Arial" w:eastAsia="Arial" w:cs="Arial" w:asciiTheme="minorAscii" w:hAnsiTheme="minorAscii" w:eastAsiaTheme="minorAscii" w:cstheme="minorAscii"/>
          <w:b w:val="0"/>
          <w:bCs w:val="0"/>
          <w:noProof w:val="0"/>
          <w:sz w:val="22"/>
          <w:szCs w:val="22"/>
          <w:lang w:val="en-GB"/>
        </w:rPr>
        <w:t>Ju</w:t>
      </w:r>
      <w:r w:rsidRPr="7FED74DD" w:rsidR="6DD8EB01">
        <w:rPr>
          <w:rFonts w:ascii="Arial" w:hAnsi="Arial" w:eastAsia="Arial" w:cs="Arial" w:asciiTheme="minorAscii" w:hAnsiTheme="minorAscii" w:eastAsiaTheme="minorAscii" w:cstheme="minorAscii"/>
          <w:b w:val="0"/>
          <w:bCs w:val="0"/>
          <w:noProof w:val="0"/>
          <w:sz w:val="22"/>
          <w:szCs w:val="22"/>
          <w:lang w:val="en-GB"/>
        </w:rPr>
        <w:t>ne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7FED74DD" w:rsidRDefault="2AD1E4E8" w14:paraId="711C2129" w14:textId="7A9BE1E9">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7FED74DD" w:rsidRDefault="53C24BB4" w14:paraId="138421E6" w14:textId="17CCC338">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Weinberg, L., Martin, L. A., Post, K. M., Ricketts, E. J., (2025), Psychologists Diagnostic Accuracy and Treatment Recommendations for Obsessive-Compulsive Disorder,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Journal of Clinical Psychology</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81(5), pp. 275–386., Available at: </w:t>
      </w:r>
      <w:r w:rsidRPr="7FED74DD" w:rsidR="7E7B097C">
        <w:rPr>
          <w:rFonts w:ascii="Arial" w:hAnsi="Arial" w:eastAsia="Arial" w:cs="Arial" w:asciiTheme="minorAscii" w:hAnsiTheme="minorAscii" w:eastAsiaTheme="minorAscii" w:cstheme="minorAscii"/>
          <w:b w:val="0"/>
          <w:bCs w:val="0"/>
          <w:noProof w:val="0"/>
          <w:sz w:val="22"/>
          <w:szCs w:val="22"/>
          <w:lang w:val="en-GB"/>
        </w:rPr>
        <w:t>https://onlinelibrary.wiley.com/doi/10.1002/jclp.23775</w:t>
      </w:r>
      <w:r w:rsidRPr="7FED74DD" w:rsidR="7E7B097C">
        <w:rPr>
          <w:rFonts w:ascii="Arial" w:hAnsi="Arial" w:eastAsia="Arial" w:cs="Arial" w:asciiTheme="minorAscii" w:hAnsiTheme="minorAscii" w:eastAsiaTheme="minorAscii" w:cstheme="minorAscii"/>
          <w:b w:val="0"/>
          <w:bCs w:val="0"/>
          <w:noProof w:val="0"/>
          <w:sz w:val="22"/>
          <w:szCs w:val="22"/>
          <w:lang w:val="en-GB"/>
        </w:rPr>
        <w:t>, (Accessed 12 J</w:t>
      </w:r>
      <w:r w:rsidRPr="7FED74DD" w:rsidR="0C673CCF">
        <w:rPr>
          <w:rFonts w:ascii="Arial" w:hAnsi="Arial" w:eastAsia="Arial" w:cs="Arial" w:asciiTheme="minorAscii" w:hAnsiTheme="minorAscii" w:eastAsiaTheme="minorAscii" w:cstheme="minorAscii"/>
          <w:b w:val="0"/>
          <w:bCs w:val="0"/>
          <w:noProof w:val="0"/>
          <w:sz w:val="22"/>
          <w:szCs w:val="22"/>
          <w:lang w:val="en-GB"/>
        </w:rPr>
        <w:t>une</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7FED74DD" w:rsidRDefault="2AD1E4E8" w14:paraId="7B8A87DD" w14:textId="63A8F845">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7FED74DD" w:rsidRDefault="53C24BB4" w14:paraId="1A98D041" w14:textId="18B1CE83">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7FED74DD" w:rsidR="7E7B097C">
        <w:rPr>
          <w:rFonts w:ascii="Arial" w:hAnsi="Arial" w:eastAsia="Arial" w:cs="Arial" w:asciiTheme="minorAscii" w:hAnsiTheme="minorAscii" w:eastAsiaTheme="minorAscii" w:cstheme="minorAscii"/>
          <w:b w:val="0"/>
          <w:bCs w:val="0"/>
          <w:noProof w:val="0"/>
          <w:sz w:val="22"/>
          <w:szCs w:val="22"/>
          <w:lang w:val="en-GB"/>
        </w:rPr>
        <w:t>World Health Organization</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(WHO), (2024), </w:t>
      </w:r>
      <w:r w:rsidRPr="7FED74DD" w:rsidR="7E7B097C">
        <w:rPr>
          <w:rFonts w:ascii="Arial" w:hAnsi="Arial" w:eastAsia="Arial" w:cs="Arial" w:asciiTheme="minorAscii" w:hAnsiTheme="minorAscii" w:eastAsiaTheme="minorAscii" w:cstheme="minorAscii"/>
          <w:b w:val="0"/>
          <w:bCs w:val="0"/>
          <w:i w:val="1"/>
          <w:iCs w:val="1"/>
          <w:noProof w:val="0"/>
          <w:sz w:val="22"/>
          <w:szCs w:val="22"/>
          <w:lang w:val="en-GB"/>
        </w:rPr>
        <w:t>ICD-11 for Mortality and Morbidity Statistics: 6B20 Obsessive-compulsive disorder</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Geneva: WHO., Available at: </w:t>
      </w:r>
      <w:r w:rsidRPr="7FED74DD" w:rsidR="7E7B097C">
        <w:rPr>
          <w:rFonts w:ascii="Arial" w:hAnsi="Arial" w:eastAsia="Arial" w:cs="Arial" w:asciiTheme="minorAscii" w:hAnsiTheme="minorAscii" w:eastAsiaTheme="minorAscii" w:cstheme="minorAscii"/>
          <w:b w:val="0"/>
          <w:bCs w:val="0"/>
          <w:noProof w:val="0"/>
          <w:sz w:val="22"/>
          <w:szCs w:val="22"/>
          <w:lang w:val="en-GB"/>
        </w:rPr>
        <w:t>https://icd.who.int/browse/2024-01/mms/en#1582741816</w:t>
      </w:r>
      <w:r w:rsidRPr="7FED74DD"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7FED74DD" w:rsidR="0551F961">
        <w:rPr>
          <w:rFonts w:ascii="Arial" w:hAnsi="Arial" w:eastAsia="Arial" w:cs="Arial" w:asciiTheme="minorAscii" w:hAnsiTheme="minorAscii" w:eastAsiaTheme="minorAscii" w:cstheme="minorAscii"/>
          <w:b w:val="0"/>
          <w:bCs w:val="0"/>
          <w:noProof w:val="0"/>
          <w:sz w:val="22"/>
          <w:szCs w:val="22"/>
          <w:lang w:val="en-GB"/>
        </w:rPr>
        <w:t>7 June 202</w:t>
      </w:r>
      <w:r w:rsidRPr="7FED74DD" w:rsidR="7E7B097C">
        <w:rPr>
          <w:rFonts w:ascii="Arial" w:hAnsi="Arial" w:eastAsia="Arial" w:cs="Arial" w:asciiTheme="minorAscii" w:hAnsiTheme="minorAscii" w:eastAsiaTheme="minorAscii" w:cstheme="minorAscii"/>
          <w:b w:val="0"/>
          <w:bCs w:val="0"/>
          <w:noProof w:val="0"/>
          <w:sz w:val="22"/>
          <w:szCs w:val="22"/>
          <w:lang w:val="en-GB"/>
        </w:rPr>
        <w:t>6</w:t>
      </w:r>
      <w:r w:rsidRPr="7FED74DD" w:rsidR="6C3EDBF4">
        <w:rPr>
          <w:rFonts w:ascii="Arial" w:hAnsi="Arial" w:eastAsia="Arial" w:cs="Arial" w:asciiTheme="minorAscii" w:hAnsiTheme="minorAscii" w:eastAsiaTheme="minorAscii" w:cstheme="minorAscii"/>
          <w:b w:val="0"/>
          <w:bCs w:val="0"/>
          <w:noProof w:val="0"/>
          <w:sz w:val="22"/>
          <w:szCs w:val="22"/>
          <w:lang w:val="en-GB"/>
        </w:rPr>
        <w:t>)</w:t>
      </w:r>
    </w:p>
    <w:p xmlns:wp14="http://schemas.microsoft.com/office/word/2010/wordml" w:rsidP="7FED74DD" wp14:paraId="693032E7" wp14:textId="5CC7167A">
      <w:pPr>
        <w:spacing w:before="93"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1C15D3" wp14:paraId="5EF5E21F" wp14:textId="70569E37">
      <w:pPr>
        <w:spacing w:before="93" w:after="0" w:line="257" w:lineRule="auto"/>
        <w:jc w:val="left"/>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571C15D3" wp14:paraId="72F1FF0D" wp14:textId="64E3EA71">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26DCCEE2"/>
    <w:sectPr>
      <w:pgSz w:w="11906" w:h="16838" w:orient="portrait"/>
      <w:pgMar w:top="1440" w:right="1440" w:bottom="1440" w:left="1440" w:header="720" w:footer="720" w:gutter="0"/>
      <w:cols w:space="720"/>
      <w:docGrid w:linePitch="360"/>
      <w:headerReference w:type="default" r:id="Rc20f9e7dd538484a"/>
      <w:footerReference w:type="default" r:id="R8074c41b409145a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FED74DD" w:rsidTr="7FED74DD" w14:paraId="706A5F65">
      <w:trPr>
        <w:trHeight w:val="300"/>
      </w:trPr>
      <w:tc>
        <w:tcPr>
          <w:tcW w:w="3005" w:type="dxa"/>
          <w:tcMar/>
        </w:tcPr>
        <w:p w:rsidR="7FED74DD" w:rsidP="7FED74DD" w:rsidRDefault="7FED74DD" w14:paraId="042BEDCA" w14:textId="469E4F70">
          <w:pPr>
            <w:pStyle w:val="Header"/>
            <w:bidi w:val="0"/>
            <w:ind w:left="-115"/>
            <w:jc w:val="left"/>
          </w:pPr>
        </w:p>
      </w:tc>
      <w:tc>
        <w:tcPr>
          <w:tcW w:w="3005" w:type="dxa"/>
          <w:tcMar/>
        </w:tcPr>
        <w:p w:rsidR="7FED74DD" w:rsidP="7FED74DD" w:rsidRDefault="7FED74DD" w14:paraId="1BFEF475" w14:textId="2A81096D">
          <w:pPr>
            <w:pStyle w:val="Header"/>
            <w:bidi w:val="0"/>
            <w:jc w:val="center"/>
          </w:pPr>
        </w:p>
      </w:tc>
      <w:tc>
        <w:tcPr>
          <w:tcW w:w="3005" w:type="dxa"/>
          <w:tcMar/>
        </w:tcPr>
        <w:p w:rsidR="7FED74DD" w:rsidP="7FED74DD" w:rsidRDefault="7FED74DD" w14:paraId="5838E29E" w14:textId="34758AA2">
          <w:pPr>
            <w:pStyle w:val="Header"/>
            <w:bidi w:val="0"/>
            <w:ind w:right="-115"/>
            <w:jc w:val="right"/>
          </w:pPr>
          <w:r>
            <w:fldChar w:fldCharType="begin"/>
          </w:r>
          <w:r>
            <w:instrText xml:space="preserve">PAGE</w:instrText>
          </w:r>
          <w:r>
            <w:fldChar w:fldCharType="separate"/>
          </w:r>
          <w:r>
            <w:fldChar w:fldCharType="end"/>
          </w:r>
        </w:p>
      </w:tc>
    </w:tr>
  </w:tbl>
  <w:p w:rsidR="7FED74DD" w:rsidP="7FED74DD" w:rsidRDefault="7FED74DD" w14:paraId="0A6BB911" w14:textId="4B54F2B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FED74DD" w:rsidTr="7FED74DD" w14:paraId="79D1AF6A">
      <w:trPr>
        <w:trHeight w:val="300"/>
      </w:trPr>
      <w:tc>
        <w:tcPr>
          <w:tcW w:w="3005" w:type="dxa"/>
          <w:tcMar/>
        </w:tcPr>
        <w:p w:rsidR="7FED74DD" w:rsidP="7FED74DD" w:rsidRDefault="7FED74DD" w14:paraId="309EC2AF" w14:textId="1FF7E862">
          <w:pPr>
            <w:pStyle w:val="Header"/>
            <w:bidi w:val="0"/>
            <w:ind w:left="-115"/>
            <w:jc w:val="left"/>
          </w:pPr>
        </w:p>
      </w:tc>
      <w:tc>
        <w:tcPr>
          <w:tcW w:w="3005" w:type="dxa"/>
          <w:tcMar/>
        </w:tcPr>
        <w:p w:rsidR="7FED74DD" w:rsidP="7FED74DD" w:rsidRDefault="7FED74DD" w14:paraId="08782460" w14:textId="0286D684">
          <w:pPr>
            <w:pStyle w:val="Header"/>
            <w:bidi w:val="0"/>
            <w:jc w:val="center"/>
          </w:pPr>
        </w:p>
      </w:tc>
      <w:tc>
        <w:tcPr>
          <w:tcW w:w="3005" w:type="dxa"/>
          <w:tcMar/>
        </w:tcPr>
        <w:p w:rsidR="7FED74DD" w:rsidP="7FED74DD" w:rsidRDefault="7FED74DD" w14:paraId="097CE003" w14:textId="697C920B">
          <w:pPr>
            <w:pStyle w:val="Header"/>
            <w:bidi w:val="0"/>
            <w:ind w:right="-115"/>
            <w:jc w:val="right"/>
          </w:pPr>
        </w:p>
      </w:tc>
    </w:tr>
  </w:tbl>
  <w:p w:rsidR="7FED74DD" w:rsidP="7FED74DD" w:rsidRDefault="7FED74DD" w14:paraId="77851584" w14:textId="53C0944C">
    <w:pPr>
      <w:pStyle w:val="Header"/>
      <w:bidi w:val="0"/>
    </w:pPr>
  </w:p>
</w:hdr>
</file>

<file path=word/intelligence2.xml><?xml version="1.0" encoding="utf-8"?>
<int2:intelligence xmlns:int2="http://schemas.microsoft.com/office/intelligence/2020/intelligence">
  <int2:observations>
    <int2:textHash int2:hashCode="Ef53+qmgAlV5pi" int2:id="tzETjh6r">
      <int2:state int2:type="spell" int2:value="Rejected"/>
    </int2:textHash>
    <int2:textHash int2:hashCode="Y7rxyEYEGk+h8X" int2:id="wq8bdaXB">
      <int2:state int2:type="spell" int2:value="Rejected"/>
    </int2:textHash>
    <int2:textHash int2:hashCode="pGGaGkUs5Ca/uF" int2:id="ruKykuKP">
      <int2:state int2:type="spell" int2:value="Rejected"/>
    </int2:textHash>
    <int2:textHash int2:hashCode="PJeA39XkRLh1h3" int2:id="FCMBMScP">
      <int2:state int2:type="spell" int2:value="Rejected"/>
    </int2:textHash>
    <int2:textHash int2:hashCode="fhP/9k2U1xRCX/" int2:id="1RWJUKCV">
      <int2:state int2:type="spell" int2:value="Rejected"/>
    </int2:textHash>
    <int2:textHash int2:hashCode="vOGuob7DGzZbGV" int2:id="jowq73o1">
      <int2:state int2:type="spell" int2:value="Rejected"/>
    </int2:textHash>
    <int2:textHash int2:hashCode="ZJyXfNGQqGwh11" int2:id="wF3ePquJ">
      <int2:state int2:type="spell" int2:value="Rejected"/>
    </int2:textHash>
    <int2:textHash int2:hashCode="MFBH6W7AiQIWYO" int2:id="89rHaVro">
      <int2:state int2:type="spell" int2:value="Rejected"/>
    </int2:textHash>
    <int2:textHash int2:hashCode="Hd/568zCkl//5D" int2:id="lOKH4CmQ">
      <int2:state int2:type="spell" int2:value="Rejected"/>
    </int2:textHash>
    <int2:bookmark int2:bookmarkName="_Int_I3uiuOw6" int2:invalidationBookmarkName="" int2:hashCode="O0PEei4nOWeLFJ" int2:id="PKoYlZMa">
      <int2:state int2:type="gram" int2:value="Rejected"/>
    </int2:bookmark>
    <int2:bookmark int2:bookmarkName="_Int_1cqNSTho" int2:invalidationBookmarkName="" int2:hashCode="MrsVYpwbIH/cuc" int2:id="9y2Iytq7">
      <int2:state int2:type="gram" int2:value="Rejected"/>
    </int2:bookmark>
    <int2:bookmark int2:bookmarkName="_Int_sHuNGVIP" int2:invalidationBookmarkName="" int2:hashCode="O0PEei4nOWeLFJ" int2:id="Ou1eA44W">
      <int2:state int2:type="gram" int2:value="Rejected"/>
    </int2:bookmark>
    <int2:bookmark int2:bookmarkName="_Int_MEnRQKG0" int2:invalidationBookmarkName="" int2:hashCode="LrVNR8wP6YI2xQ" int2:id="S3v5yQkn">
      <int2:state int2:type="gram" int2:value="Rejected"/>
    </int2:bookmark>
    <int2:bookmark int2:bookmarkName="_Int_NI1itbKa" int2:invalidationBookmarkName="" int2:hashCode="O0PEei4nOWeLFJ" int2:id="oBWqT0w6">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1">
    <w:nsid w:val="13beba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92a2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d36ce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68f0a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fcbe1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22387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ff833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ef96b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7fad7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94fac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e9133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0a81e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a98eb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a087b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3f71f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ecba6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cfcb4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1fa86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5ea01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76315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aeeda3a"/>
    <w:multiLevelType xmlns:w="http://schemas.openxmlformats.org/wordprocessingml/2006/main" w:val="hybridMultilevel"/>
    <w:lvl xmlns:w="http://schemas.openxmlformats.org/wordprocessingml/2006/main" w:ilvl="0">
      <w:start w:val="1"/>
      <w:numFmt w:val="lowerLetter"/>
      <w:lvlText w:val="d)"/>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21A6CB"/>
    <w:rsid w:val="0024697F"/>
    <w:rsid w:val="0037EEFD"/>
    <w:rsid w:val="0089FA4E"/>
    <w:rsid w:val="00B6F84D"/>
    <w:rsid w:val="00F3234D"/>
    <w:rsid w:val="01052141"/>
    <w:rsid w:val="0108708D"/>
    <w:rsid w:val="013E80D7"/>
    <w:rsid w:val="0141C010"/>
    <w:rsid w:val="0154DA3C"/>
    <w:rsid w:val="0156EE1C"/>
    <w:rsid w:val="015C50E4"/>
    <w:rsid w:val="019266ED"/>
    <w:rsid w:val="01C1CC16"/>
    <w:rsid w:val="0254FB6D"/>
    <w:rsid w:val="025983B8"/>
    <w:rsid w:val="03446A8B"/>
    <w:rsid w:val="03AEBFE7"/>
    <w:rsid w:val="047E5B0E"/>
    <w:rsid w:val="04964610"/>
    <w:rsid w:val="051BC3FD"/>
    <w:rsid w:val="0551F961"/>
    <w:rsid w:val="05F69112"/>
    <w:rsid w:val="066291B0"/>
    <w:rsid w:val="06A70BFE"/>
    <w:rsid w:val="06AE0F8C"/>
    <w:rsid w:val="06C331C5"/>
    <w:rsid w:val="07292692"/>
    <w:rsid w:val="079AF16B"/>
    <w:rsid w:val="088A6E7B"/>
    <w:rsid w:val="08994713"/>
    <w:rsid w:val="089A9C25"/>
    <w:rsid w:val="08A03610"/>
    <w:rsid w:val="08B3FAF8"/>
    <w:rsid w:val="08BC00FD"/>
    <w:rsid w:val="08EF49B1"/>
    <w:rsid w:val="09E44708"/>
    <w:rsid w:val="09ED22CE"/>
    <w:rsid w:val="0A44FB34"/>
    <w:rsid w:val="0A5CD8D3"/>
    <w:rsid w:val="0A7E4AF4"/>
    <w:rsid w:val="0A9B40F4"/>
    <w:rsid w:val="0B1B9FFD"/>
    <w:rsid w:val="0C271F63"/>
    <w:rsid w:val="0C5C61BA"/>
    <w:rsid w:val="0C673CCF"/>
    <w:rsid w:val="0C861635"/>
    <w:rsid w:val="0CBA135C"/>
    <w:rsid w:val="0CC5BFE1"/>
    <w:rsid w:val="0CE6020D"/>
    <w:rsid w:val="0D16FC23"/>
    <w:rsid w:val="0D3C351B"/>
    <w:rsid w:val="0D542773"/>
    <w:rsid w:val="0D82FD2E"/>
    <w:rsid w:val="0D9261FE"/>
    <w:rsid w:val="0DC47B68"/>
    <w:rsid w:val="0DF3B04A"/>
    <w:rsid w:val="0E00A805"/>
    <w:rsid w:val="0E1934A2"/>
    <w:rsid w:val="0E20DE91"/>
    <w:rsid w:val="0E386DBE"/>
    <w:rsid w:val="0E848312"/>
    <w:rsid w:val="0E9DDE39"/>
    <w:rsid w:val="0ECAA642"/>
    <w:rsid w:val="0EEB1658"/>
    <w:rsid w:val="0EFC01E5"/>
    <w:rsid w:val="0F8F0023"/>
    <w:rsid w:val="0FE2FC45"/>
    <w:rsid w:val="1012F819"/>
    <w:rsid w:val="1036A1B0"/>
    <w:rsid w:val="104E4D61"/>
    <w:rsid w:val="10A0572F"/>
    <w:rsid w:val="10ABB315"/>
    <w:rsid w:val="110F132F"/>
    <w:rsid w:val="112061F8"/>
    <w:rsid w:val="1124F409"/>
    <w:rsid w:val="1150BA35"/>
    <w:rsid w:val="1155F8D1"/>
    <w:rsid w:val="12191BEB"/>
    <w:rsid w:val="12C1F393"/>
    <w:rsid w:val="13785FA0"/>
    <w:rsid w:val="13826BD7"/>
    <w:rsid w:val="13A3FAC3"/>
    <w:rsid w:val="13C61C38"/>
    <w:rsid w:val="14CAAD5B"/>
    <w:rsid w:val="14D5AF4B"/>
    <w:rsid w:val="1558BA76"/>
    <w:rsid w:val="1561C4EC"/>
    <w:rsid w:val="16757AA2"/>
    <w:rsid w:val="16EE9CC6"/>
    <w:rsid w:val="171B25A2"/>
    <w:rsid w:val="17283A22"/>
    <w:rsid w:val="172B8EBA"/>
    <w:rsid w:val="175D3945"/>
    <w:rsid w:val="17CC6872"/>
    <w:rsid w:val="17CC6872"/>
    <w:rsid w:val="17E680BC"/>
    <w:rsid w:val="17F2308D"/>
    <w:rsid w:val="181FF5C6"/>
    <w:rsid w:val="188DC973"/>
    <w:rsid w:val="18B797E6"/>
    <w:rsid w:val="190A5E49"/>
    <w:rsid w:val="1991DD95"/>
    <w:rsid w:val="19A81F65"/>
    <w:rsid w:val="19DE8F8E"/>
    <w:rsid w:val="19DE8F8E"/>
    <w:rsid w:val="19F674FD"/>
    <w:rsid w:val="1A4B0F4A"/>
    <w:rsid w:val="1AD96ACE"/>
    <w:rsid w:val="1AF6BF6F"/>
    <w:rsid w:val="1BC22A26"/>
    <w:rsid w:val="1BE696E0"/>
    <w:rsid w:val="1C0F3A84"/>
    <w:rsid w:val="1C9A6680"/>
    <w:rsid w:val="1D1D66F5"/>
    <w:rsid w:val="1D258E85"/>
    <w:rsid w:val="1DDC1035"/>
    <w:rsid w:val="1E316DD0"/>
    <w:rsid w:val="1E9F1B8D"/>
    <w:rsid w:val="1EB7AC29"/>
    <w:rsid w:val="1EC0AF15"/>
    <w:rsid w:val="1EE45FF3"/>
    <w:rsid w:val="1F2750A3"/>
    <w:rsid w:val="1F587933"/>
    <w:rsid w:val="1FFF6695"/>
    <w:rsid w:val="2045F80E"/>
    <w:rsid w:val="2045F80E"/>
    <w:rsid w:val="20916922"/>
    <w:rsid w:val="20A86D82"/>
    <w:rsid w:val="20D739A7"/>
    <w:rsid w:val="20EB2A75"/>
    <w:rsid w:val="2123FC70"/>
    <w:rsid w:val="2182973D"/>
    <w:rsid w:val="21C553CA"/>
    <w:rsid w:val="2214FA8C"/>
    <w:rsid w:val="22AD6F55"/>
    <w:rsid w:val="23253C53"/>
    <w:rsid w:val="2362B0C4"/>
    <w:rsid w:val="23872516"/>
    <w:rsid w:val="239EBC1B"/>
    <w:rsid w:val="23A159AC"/>
    <w:rsid w:val="23C01696"/>
    <w:rsid w:val="23D838AD"/>
    <w:rsid w:val="241C66FB"/>
    <w:rsid w:val="24852693"/>
    <w:rsid w:val="24BC414E"/>
    <w:rsid w:val="24E35FF3"/>
    <w:rsid w:val="2576EE5A"/>
    <w:rsid w:val="25B50EEE"/>
    <w:rsid w:val="25C7065F"/>
    <w:rsid w:val="260B4F22"/>
    <w:rsid w:val="261C3D5B"/>
    <w:rsid w:val="26758639"/>
    <w:rsid w:val="267C39BC"/>
    <w:rsid w:val="2686E126"/>
    <w:rsid w:val="268AAB7A"/>
    <w:rsid w:val="26A7E00B"/>
    <w:rsid w:val="26C68756"/>
    <w:rsid w:val="27790EFC"/>
    <w:rsid w:val="27B2421D"/>
    <w:rsid w:val="27BACB1E"/>
    <w:rsid w:val="27FA7C1D"/>
    <w:rsid w:val="28796770"/>
    <w:rsid w:val="2893DEEC"/>
    <w:rsid w:val="289465B3"/>
    <w:rsid w:val="28F867DB"/>
    <w:rsid w:val="29AB2627"/>
    <w:rsid w:val="29BE8D80"/>
    <w:rsid w:val="2A6BBF27"/>
    <w:rsid w:val="2A982396"/>
    <w:rsid w:val="2AB172A4"/>
    <w:rsid w:val="2AD1E4E8"/>
    <w:rsid w:val="2AF7EC7A"/>
    <w:rsid w:val="2B7A82AE"/>
    <w:rsid w:val="2BDF331D"/>
    <w:rsid w:val="2BEE9811"/>
    <w:rsid w:val="2C242D2D"/>
    <w:rsid w:val="2C650CE2"/>
    <w:rsid w:val="2CF515C8"/>
    <w:rsid w:val="2D264D93"/>
    <w:rsid w:val="2D39F5C7"/>
    <w:rsid w:val="2DB46C05"/>
    <w:rsid w:val="2DE88CB9"/>
    <w:rsid w:val="2E0E423F"/>
    <w:rsid w:val="2E3298E9"/>
    <w:rsid w:val="2E925B29"/>
    <w:rsid w:val="2EEF2F08"/>
    <w:rsid w:val="2F313E0F"/>
    <w:rsid w:val="2F3C5505"/>
    <w:rsid w:val="2F8E51CD"/>
    <w:rsid w:val="2FA30173"/>
    <w:rsid w:val="300B6B10"/>
    <w:rsid w:val="306D6F18"/>
    <w:rsid w:val="30888014"/>
    <w:rsid w:val="30A282CC"/>
    <w:rsid w:val="31BABFEA"/>
    <w:rsid w:val="31E56409"/>
    <w:rsid w:val="31FFD329"/>
    <w:rsid w:val="325B0DAC"/>
    <w:rsid w:val="3274F904"/>
    <w:rsid w:val="329E2C5D"/>
    <w:rsid w:val="32D643F4"/>
    <w:rsid w:val="33C33B28"/>
    <w:rsid w:val="33FEFF7C"/>
    <w:rsid w:val="3431B0F5"/>
    <w:rsid w:val="3535733C"/>
    <w:rsid w:val="35A14E54"/>
    <w:rsid w:val="35F488A4"/>
    <w:rsid w:val="3625C7DB"/>
    <w:rsid w:val="3630ECBE"/>
    <w:rsid w:val="368DC603"/>
    <w:rsid w:val="369A6D6E"/>
    <w:rsid w:val="36F0369C"/>
    <w:rsid w:val="377ABCF8"/>
    <w:rsid w:val="3782A7BB"/>
    <w:rsid w:val="37E59835"/>
    <w:rsid w:val="3912F3C4"/>
    <w:rsid w:val="39245BE6"/>
    <w:rsid w:val="39E3BD5D"/>
    <w:rsid w:val="3A293C23"/>
    <w:rsid w:val="3A3313BF"/>
    <w:rsid w:val="3A9AB34C"/>
    <w:rsid w:val="3AAEAC29"/>
    <w:rsid w:val="3BCC0432"/>
    <w:rsid w:val="3C4FDDC4"/>
    <w:rsid w:val="3C525879"/>
    <w:rsid w:val="3C58357D"/>
    <w:rsid w:val="3CD3F49B"/>
    <w:rsid w:val="3D6B29B4"/>
    <w:rsid w:val="3D99B34F"/>
    <w:rsid w:val="3DAC91BD"/>
    <w:rsid w:val="3DACEA7E"/>
    <w:rsid w:val="3DB1A68F"/>
    <w:rsid w:val="3E0E7618"/>
    <w:rsid w:val="3E1E0062"/>
    <w:rsid w:val="3E2265C7"/>
    <w:rsid w:val="3E603966"/>
    <w:rsid w:val="3E857D4D"/>
    <w:rsid w:val="3E98875A"/>
    <w:rsid w:val="3EB5CEE2"/>
    <w:rsid w:val="3EF683BA"/>
    <w:rsid w:val="3F546688"/>
    <w:rsid w:val="3F5A2B2C"/>
    <w:rsid w:val="3F725007"/>
    <w:rsid w:val="3FDE7ABB"/>
    <w:rsid w:val="3FE1DE5B"/>
    <w:rsid w:val="3FE734C7"/>
    <w:rsid w:val="40054FC2"/>
    <w:rsid w:val="40390A07"/>
    <w:rsid w:val="403AE7C8"/>
    <w:rsid w:val="403B2EE2"/>
    <w:rsid w:val="403EEB8D"/>
    <w:rsid w:val="40466F5A"/>
    <w:rsid w:val="405EBDB0"/>
    <w:rsid w:val="406EF809"/>
    <w:rsid w:val="408860B0"/>
    <w:rsid w:val="40AA8501"/>
    <w:rsid w:val="40C13AB8"/>
    <w:rsid w:val="412093D6"/>
    <w:rsid w:val="41DE5EB5"/>
    <w:rsid w:val="4234E476"/>
    <w:rsid w:val="42D4BEDA"/>
    <w:rsid w:val="431CC21B"/>
    <w:rsid w:val="436564B6"/>
    <w:rsid w:val="43846657"/>
    <w:rsid w:val="439101F8"/>
    <w:rsid w:val="44242274"/>
    <w:rsid w:val="44DEDA8C"/>
    <w:rsid w:val="44E79FD1"/>
    <w:rsid w:val="45385498"/>
    <w:rsid w:val="45ECAE56"/>
    <w:rsid w:val="46018879"/>
    <w:rsid w:val="46062B46"/>
    <w:rsid w:val="4619D9CA"/>
    <w:rsid w:val="46B4A64A"/>
    <w:rsid w:val="46C06D01"/>
    <w:rsid w:val="46CE8A4A"/>
    <w:rsid w:val="46EC1E8D"/>
    <w:rsid w:val="4765C76D"/>
    <w:rsid w:val="48000C62"/>
    <w:rsid w:val="49C64063"/>
    <w:rsid w:val="4A0C0A4A"/>
    <w:rsid w:val="4A4A75A7"/>
    <w:rsid w:val="4A4BDD69"/>
    <w:rsid w:val="4A86D0D7"/>
    <w:rsid w:val="4B0DF1EC"/>
    <w:rsid w:val="4B9B1335"/>
    <w:rsid w:val="4BBA26F4"/>
    <w:rsid w:val="4BDD224D"/>
    <w:rsid w:val="4CFBC96F"/>
    <w:rsid w:val="4D36E367"/>
    <w:rsid w:val="4DA55106"/>
    <w:rsid w:val="4DCFE485"/>
    <w:rsid w:val="4E20EFA7"/>
    <w:rsid w:val="4E724A13"/>
    <w:rsid w:val="4E97121E"/>
    <w:rsid w:val="4EAD4856"/>
    <w:rsid w:val="4EBD15F2"/>
    <w:rsid w:val="4F05FD3B"/>
    <w:rsid w:val="4F36D5BA"/>
    <w:rsid w:val="4F414B19"/>
    <w:rsid w:val="4F640878"/>
    <w:rsid w:val="4FBEA548"/>
    <w:rsid w:val="4FD20934"/>
    <w:rsid w:val="4FD2FD90"/>
    <w:rsid w:val="4FFFC544"/>
    <w:rsid w:val="50084997"/>
    <w:rsid w:val="5013C2E4"/>
    <w:rsid w:val="504F877C"/>
    <w:rsid w:val="5056F220"/>
    <w:rsid w:val="507D047D"/>
    <w:rsid w:val="5084AE79"/>
    <w:rsid w:val="5089EB61"/>
    <w:rsid w:val="50E211BC"/>
    <w:rsid w:val="5139C27D"/>
    <w:rsid w:val="5157C88F"/>
    <w:rsid w:val="518F687C"/>
    <w:rsid w:val="51C46FDA"/>
    <w:rsid w:val="5274153D"/>
    <w:rsid w:val="52F114B0"/>
    <w:rsid w:val="52F76266"/>
    <w:rsid w:val="5370E389"/>
    <w:rsid w:val="53924ABA"/>
    <w:rsid w:val="53C24BB4"/>
    <w:rsid w:val="545C44AD"/>
    <w:rsid w:val="54622D48"/>
    <w:rsid w:val="54E2B44A"/>
    <w:rsid w:val="553B0FF9"/>
    <w:rsid w:val="55BF6EEE"/>
    <w:rsid w:val="563EB163"/>
    <w:rsid w:val="571C15D3"/>
    <w:rsid w:val="572C356F"/>
    <w:rsid w:val="57316524"/>
    <w:rsid w:val="57BE15F8"/>
    <w:rsid w:val="58E6C755"/>
    <w:rsid w:val="59F999D8"/>
    <w:rsid w:val="5A0C7E83"/>
    <w:rsid w:val="5A5EC4E0"/>
    <w:rsid w:val="5A8BEE15"/>
    <w:rsid w:val="5A977866"/>
    <w:rsid w:val="5B643534"/>
    <w:rsid w:val="5B6784C6"/>
    <w:rsid w:val="5B9E93ED"/>
    <w:rsid w:val="5BAC8B54"/>
    <w:rsid w:val="5BB50674"/>
    <w:rsid w:val="5C1A2489"/>
    <w:rsid w:val="5D39D0E2"/>
    <w:rsid w:val="5DA0FF12"/>
    <w:rsid w:val="5DC358DF"/>
    <w:rsid w:val="5DED57CD"/>
    <w:rsid w:val="5E198F6A"/>
    <w:rsid w:val="5E47FDD4"/>
    <w:rsid w:val="5E5C7374"/>
    <w:rsid w:val="5E8FD047"/>
    <w:rsid w:val="5EB13932"/>
    <w:rsid w:val="5FAB2EDA"/>
    <w:rsid w:val="61675F2F"/>
    <w:rsid w:val="61CE1BC7"/>
    <w:rsid w:val="61F67ABF"/>
    <w:rsid w:val="6387B222"/>
    <w:rsid w:val="643B39F2"/>
    <w:rsid w:val="64653373"/>
    <w:rsid w:val="6495DEA2"/>
    <w:rsid w:val="64F8CA5E"/>
    <w:rsid w:val="65638AE6"/>
    <w:rsid w:val="657C9C28"/>
    <w:rsid w:val="657D0850"/>
    <w:rsid w:val="65B26E6E"/>
    <w:rsid w:val="65DAC0FF"/>
    <w:rsid w:val="662AF0A1"/>
    <w:rsid w:val="6719DFDC"/>
    <w:rsid w:val="672C6433"/>
    <w:rsid w:val="67738641"/>
    <w:rsid w:val="6778E6CC"/>
    <w:rsid w:val="679C41D0"/>
    <w:rsid w:val="67F8B750"/>
    <w:rsid w:val="6820049E"/>
    <w:rsid w:val="6899CA83"/>
    <w:rsid w:val="69B4936A"/>
    <w:rsid w:val="69BFE4BA"/>
    <w:rsid w:val="6BB94C41"/>
    <w:rsid w:val="6BCD06C9"/>
    <w:rsid w:val="6BDD8FCA"/>
    <w:rsid w:val="6C3EDBF4"/>
    <w:rsid w:val="6C5736C9"/>
    <w:rsid w:val="6C830A35"/>
    <w:rsid w:val="6C853A49"/>
    <w:rsid w:val="6CAA82B8"/>
    <w:rsid w:val="6D0E2340"/>
    <w:rsid w:val="6D1BE5B0"/>
    <w:rsid w:val="6D269359"/>
    <w:rsid w:val="6D3B7629"/>
    <w:rsid w:val="6DCA8436"/>
    <w:rsid w:val="6DD8EB01"/>
    <w:rsid w:val="6DDEAD88"/>
    <w:rsid w:val="6DE3B1C0"/>
    <w:rsid w:val="6DEACDA7"/>
    <w:rsid w:val="6E181970"/>
    <w:rsid w:val="6ED1A1E8"/>
    <w:rsid w:val="6EE36558"/>
    <w:rsid w:val="6F804E3E"/>
    <w:rsid w:val="6FEB9417"/>
    <w:rsid w:val="6FFB9DB0"/>
    <w:rsid w:val="70045726"/>
    <w:rsid w:val="701928A0"/>
    <w:rsid w:val="701C28D7"/>
    <w:rsid w:val="7046DA73"/>
    <w:rsid w:val="708BE5EA"/>
    <w:rsid w:val="71006671"/>
    <w:rsid w:val="7137C35C"/>
    <w:rsid w:val="715DE2B0"/>
    <w:rsid w:val="723DD31C"/>
    <w:rsid w:val="7268699E"/>
    <w:rsid w:val="7270C62A"/>
    <w:rsid w:val="727324E8"/>
    <w:rsid w:val="7273A329"/>
    <w:rsid w:val="727FED7A"/>
    <w:rsid w:val="72D8F76E"/>
    <w:rsid w:val="73100670"/>
    <w:rsid w:val="734FCA24"/>
    <w:rsid w:val="740BAEB7"/>
    <w:rsid w:val="7416A319"/>
    <w:rsid w:val="74340593"/>
    <w:rsid w:val="74471429"/>
    <w:rsid w:val="744FF1E6"/>
    <w:rsid w:val="745399E2"/>
    <w:rsid w:val="7466FE32"/>
    <w:rsid w:val="746C083B"/>
    <w:rsid w:val="74BBC6EE"/>
    <w:rsid w:val="74DB5328"/>
    <w:rsid w:val="751C18E3"/>
    <w:rsid w:val="7521A6CB"/>
    <w:rsid w:val="75951A29"/>
    <w:rsid w:val="75CB031A"/>
    <w:rsid w:val="75FDA7CF"/>
    <w:rsid w:val="76089F7C"/>
    <w:rsid w:val="763815A1"/>
    <w:rsid w:val="7667DDF3"/>
    <w:rsid w:val="76972084"/>
    <w:rsid w:val="76CA5AFB"/>
    <w:rsid w:val="7700626B"/>
    <w:rsid w:val="770FACEA"/>
    <w:rsid w:val="77A0D0FE"/>
    <w:rsid w:val="7809A133"/>
    <w:rsid w:val="7834108E"/>
    <w:rsid w:val="783DEED8"/>
    <w:rsid w:val="78616F49"/>
    <w:rsid w:val="7914C6AB"/>
    <w:rsid w:val="797967BD"/>
    <w:rsid w:val="797D4A80"/>
    <w:rsid w:val="79B812F7"/>
    <w:rsid w:val="79C528DA"/>
    <w:rsid w:val="79C52D32"/>
    <w:rsid w:val="79C671CB"/>
    <w:rsid w:val="7A962A81"/>
    <w:rsid w:val="7ABFD347"/>
    <w:rsid w:val="7B57F868"/>
    <w:rsid w:val="7BB66459"/>
    <w:rsid w:val="7BD0A2DC"/>
    <w:rsid w:val="7CBADC0D"/>
    <w:rsid w:val="7CE4D01C"/>
    <w:rsid w:val="7E0C3ADD"/>
    <w:rsid w:val="7E1287F1"/>
    <w:rsid w:val="7E2AF3D7"/>
    <w:rsid w:val="7E2EFB00"/>
    <w:rsid w:val="7E490F2A"/>
    <w:rsid w:val="7E7B097C"/>
    <w:rsid w:val="7E8F7EBF"/>
    <w:rsid w:val="7EC06549"/>
    <w:rsid w:val="7EF7FA11"/>
    <w:rsid w:val="7F3F3F2A"/>
    <w:rsid w:val="7F67C7D5"/>
    <w:rsid w:val="7F736A9B"/>
    <w:rsid w:val="7F902F73"/>
    <w:rsid w:val="7FB26421"/>
    <w:rsid w:val="7FC41BF2"/>
    <w:rsid w:val="7FD3DBDD"/>
    <w:rsid w:val="7FDE7F7B"/>
    <w:rsid w:val="7FED7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C4E47"/>
  <w15:chartTrackingRefBased/>
  <w15:docId w15:val="{E9BFEFAF-2154-4558-8E59-7D277682CC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71C15D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71C15D3"/>
    <w:pPr>
      <w:spacing/>
      <w:ind w:left="720"/>
      <w:contextualSpacing/>
    </w:pPr>
  </w:style>
  <w:style w:type="paragraph" w:styleId="Heading3">
    <w:uiPriority w:val="9"/>
    <w:name w:val="heading 3"/>
    <w:basedOn w:val="Normal"/>
    <w:next w:val="Normal"/>
    <w:unhideWhenUsed/>
    <w:qFormat/>
    <w:rsid w:val="0EFC01E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40466F5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2AD1E4E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7FED74DD"/>
    <w:pPr>
      <w:tabs>
        <w:tab w:val="center" w:leader="none" w:pos="4680"/>
        <w:tab w:val="right" w:leader="none" w:pos="9360"/>
      </w:tabs>
      <w:spacing w:after="0" w:line="240" w:lineRule="auto"/>
    </w:pPr>
  </w:style>
  <w:style w:type="paragraph" w:styleId="Footer">
    <w:uiPriority w:val="99"/>
    <w:name w:val="footer"/>
    <w:basedOn w:val="Normal"/>
    <w:unhideWhenUsed/>
    <w:rsid w:val="7FED74DD"/>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75366460" /><Relationship Type="http://schemas.openxmlformats.org/officeDocument/2006/relationships/numbering" Target="/word/numbering.xml" Id="Re214912873ea492f" /><Relationship Type="http://schemas.openxmlformats.org/officeDocument/2006/relationships/header" Target="/word/header.xml" Id="Rc20f9e7dd538484a" /><Relationship Type="http://schemas.openxmlformats.org/officeDocument/2006/relationships/footer" Target="/word/footer.xml" Id="R8074c41b409145a9" /><Relationship Type="http://schemas.microsoft.com/office/2020/10/relationships/intelligence" Target="/word/intelligence2.xml" Id="Re020b16bd1cc4ae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 Zikavska (2332569)</dc:creator>
  <keywords/>
  <dc:description/>
  <lastModifiedBy>Kamila Zikavska (2332569)</lastModifiedBy>
  <revision>6</revision>
  <dcterms:created xsi:type="dcterms:W3CDTF">2026-07-02T11:32:18.9761800Z</dcterms:created>
  <dcterms:modified xsi:type="dcterms:W3CDTF">2026-07-16T11:54:49.7757722Z</dcterms:modified>
</coreProperties>
</file>