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D671C" w:rsidRPr="0033258F" w:rsidRDefault="005D671C" w:rsidP="005D671C">
      <w:pPr>
        <w:spacing w:line="360" w:lineRule="auto"/>
        <w:jc w:val="center"/>
        <w:rPr>
          <w:rFonts w:ascii="Arial" w:hAnsi="Arial" w:cs="Arial"/>
        </w:rPr>
      </w:pPr>
      <w:r w:rsidRPr="0033258F">
        <w:rPr>
          <w:rFonts w:ascii="Arial" w:hAnsi="Arial" w:cs="Arial"/>
        </w:rPr>
        <w:t xml:space="preserve">Twang: </w:t>
      </w:r>
      <w:r>
        <w:rPr>
          <w:rFonts w:ascii="Arial" w:hAnsi="Arial" w:cs="Arial"/>
        </w:rPr>
        <w:t>An investigation into Twang.</w:t>
      </w:r>
    </w:p>
    <w:p w:rsidR="005D671C" w:rsidRDefault="005D671C" w:rsidP="005D671C">
      <w:pPr>
        <w:spacing w:line="360" w:lineRule="auto"/>
        <w:jc w:val="center"/>
        <w:rPr>
          <w:rFonts w:ascii="Arial" w:hAnsi="Arial" w:cs="Arial"/>
        </w:rPr>
      </w:pPr>
    </w:p>
    <w:p w:rsidR="005D671C" w:rsidRDefault="005D671C" w:rsidP="005D671C">
      <w:pPr>
        <w:pStyle w:val="NormalWeb"/>
        <w:spacing w:line="360" w:lineRule="auto"/>
        <w:ind w:left="720"/>
        <w:rPr>
          <w:rFonts w:ascii="Arial" w:hAnsi="Arial" w:cs="Arial"/>
        </w:rPr>
      </w:pPr>
      <w:r w:rsidRPr="00C327F7">
        <w:rPr>
          <w:rFonts w:ascii="Arial" w:hAnsi="Arial" w:cs="Arial"/>
        </w:rPr>
        <w:t xml:space="preserve">This study will </w:t>
      </w:r>
      <w:r>
        <w:rPr>
          <w:rFonts w:ascii="Arial" w:hAnsi="Arial" w:cs="Arial"/>
        </w:rPr>
        <w:t>explore</w:t>
      </w:r>
      <w:r w:rsidRPr="00C327F7">
        <w:rPr>
          <w:rFonts w:ascii="Arial" w:hAnsi="Arial" w:cs="Arial"/>
        </w:rPr>
        <w:t xml:space="preserve"> the research of key theorists that have published literature on twang and their perception of the topic. With the aim of extrapolating this research, </w:t>
      </w:r>
      <w:r>
        <w:rPr>
          <w:rFonts w:ascii="Arial" w:hAnsi="Arial" w:cs="Arial"/>
        </w:rPr>
        <w:t>this paper</w:t>
      </w:r>
      <w:r w:rsidRPr="00C327F7">
        <w:rPr>
          <w:rFonts w:ascii="Arial" w:hAnsi="Arial" w:cs="Arial"/>
        </w:rPr>
        <w:t xml:space="preserve"> will investigate the key themes that are embedded within these papers to create a </w:t>
      </w:r>
      <w:r w:rsidRPr="00E916CE">
        <w:rPr>
          <w:rFonts w:ascii="Arial" w:hAnsi="Arial" w:cs="Arial"/>
          <w:highlight w:val="red"/>
        </w:rPr>
        <w:t>summary</w:t>
      </w:r>
      <w:r w:rsidRPr="00C327F7">
        <w:rPr>
          <w:rFonts w:ascii="Arial" w:hAnsi="Arial" w:cs="Arial"/>
        </w:rPr>
        <w:t xml:space="preserve"> of how twang has been brought forward within the last </w:t>
      </w:r>
      <w:r>
        <w:rPr>
          <w:rFonts w:ascii="Arial" w:hAnsi="Arial" w:cs="Arial"/>
        </w:rPr>
        <w:t>ninety years, with the view of using these findings to inform my understanding of twang, applying it to my own practice and allowing my clients to make gains.</w:t>
      </w:r>
      <w:r w:rsidRPr="00C327F7">
        <w:rPr>
          <w:rFonts w:ascii="Arial" w:hAnsi="Arial" w:cs="Arial"/>
        </w:rPr>
        <w:t xml:space="preserve"> </w:t>
      </w:r>
      <w:r>
        <w:rPr>
          <w:rFonts w:ascii="Arial" w:hAnsi="Arial" w:cs="Arial"/>
        </w:rPr>
        <w:t xml:space="preserve">Working as a singing instructor, the majority of voices that I come into contact with are those between the ages of 13-30. The main motivation behind researching twang is to advance my knowledgebase for my own teachings. </w:t>
      </w:r>
      <w:r w:rsidRPr="00C327F7">
        <w:rPr>
          <w:rFonts w:ascii="Arial" w:hAnsi="Arial" w:cs="Arial"/>
        </w:rPr>
        <w:t xml:space="preserve">With researches publishing conflicting views on what constitutes as twang, there is uncertainty as to what is physiologically correct. </w:t>
      </w:r>
      <w:r>
        <w:rPr>
          <w:rFonts w:ascii="Arial" w:hAnsi="Arial" w:cs="Arial"/>
        </w:rPr>
        <w:t>This being said, research has been brought forward from previous decades, with increasingly accessible examination apparatus available and more meticulous studies have taken place, with objectives that endeavours to answer questions. We can see from recent work that there is an element of transparency and some acceptance how twang is produced in a human voice. This paper will explore submissions from 1863.</w:t>
      </w:r>
    </w:p>
    <w:p w:rsidR="005D671C" w:rsidRDefault="005D671C" w:rsidP="005D671C">
      <w:pPr>
        <w:pStyle w:val="NormalWeb"/>
        <w:spacing w:line="360" w:lineRule="auto"/>
        <w:ind w:left="720"/>
        <w:rPr>
          <w:rFonts w:ascii="Arial" w:hAnsi="Arial" w:cs="Arial"/>
          <w:shd w:val="clear" w:color="auto" w:fill="FFFFFF"/>
        </w:rPr>
      </w:pPr>
      <w:r>
        <w:rPr>
          <w:rFonts w:ascii="Arial" w:hAnsi="Arial" w:cs="Arial"/>
        </w:rPr>
        <w:t xml:space="preserve"> “</w:t>
      </w:r>
      <w:r w:rsidRPr="00C327F7">
        <w:rPr>
          <w:rFonts w:ascii="Arial" w:hAnsi="Arial" w:cs="Arial"/>
        </w:rPr>
        <w:t>Twang quality is a bright, piercing quality often produced in contemporary pop/rock/country music, musical theatre singing, and character voices</w:t>
      </w:r>
      <w:r>
        <w:rPr>
          <w:rFonts w:ascii="Arial" w:hAnsi="Arial" w:cs="Arial"/>
        </w:rPr>
        <w:t>”</w:t>
      </w:r>
      <w:r w:rsidRPr="00C327F7">
        <w:rPr>
          <w:rFonts w:ascii="Arial" w:hAnsi="Arial" w:cs="Arial"/>
        </w:rPr>
        <w:t xml:space="preserve"> </w:t>
      </w:r>
      <w:r w:rsidRPr="00C327F7">
        <w:rPr>
          <w:rFonts w:ascii="Arial" w:hAnsi="Arial" w:cs="Arial"/>
          <w:shd w:val="clear" w:color="auto" w:fill="FFFFFF"/>
        </w:rPr>
        <w:t>(</w:t>
      </w:r>
      <w:r w:rsidRPr="000E4400">
        <w:rPr>
          <w:rFonts w:ascii="Arial" w:hAnsi="Arial" w:cs="Arial"/>
          <w:highlight w:val="red"/>
          <w:shd w:val="clear" w:color="auto" w:fill="FFFFFF"/>
        </w:rPr>
        <w:t>Perta, Bae and Obert, 2020)</w:t>
      </w:r>
      <w:r w:rsidRPr="00C327F7">
        <w:rPr>
          <w:rFonts w:ascii="Arial" w:hAnsi="Arial" w:cs="Arial"/>
          <w:shd w:val="clear" w:color="auto" w:fill="FFFFFF"/>
        </w:rPr>
        <w:t xml:space="preserve"> this narrative of twang is consistent in other work, such as </w:t>
      </w:r>
      <w:r w:rsidRPr="009D39E8">
        <w:rPr>
          <w:rFonts w:ascii="Arial" w:hAnsi="Arial" w:cs="Arial"/>
          <w:highlight w:val="red"/>
          <w:shd w:val="clear" w:color="auto" w:fill="FFFFFF"/>
        </w:rPr>
        <w:t>Sundberg 2010</w:t>
      </w:r>
      <w:r w:rsidRPr="00C327F7">
        <w:rPr>
          <w:rFonts w:ascii="Arial" w:hAnsi="Arial" w:cs="Arial"/>
          <w:shd w:val="clear" w:color="auto" w:fill="FFFFFF"/>
        </w:rPr>
        <w:t xml:space="preserve"> who suggests that twang is typically associated with loud and high-pitched signing</w:t>
      </w:r>
      <w:r>
        <w:rPr>
          <w:rFonts w:ascii="Arial" w:hAnsi="Arial" w:cs="Arial"/>
          <w:shd w:val="clear" w:color="auto" w:fill="FFFFFF"/>
        </w:rPr>
        <w:t xml:space="preserve">; </w:t>
      </w:r>
      <w:r w:rsidRPr="0071622C">
        <w:rPr>
          <w:rFonts w:ascii="Arial" w:hAnsi="Arial" w:cs="Arial"/>
          <w:color w:val="000000" w:themeColor="text1"/>
          <w:highlight w:val="red"/>
          <w:shd w:val="clear" w:color="auto" w:fill="FFFFFF"/>
        </w:rPr>
        <w:t>(Yanagisawa et al., 1989)</w:t>
      </w:r>
      <w:r>
        <w:rPr>
          <w:rFonts w:ascii="Arial" w:hAnsi="Arial" w:cs="Arial"/>
          <w:color w:val="000000" w:themeColor="text1"/>
          <w:shd w:val="clear" w:color="auto" w:fill="FFFFFF"/>
        </w:rPr>
        <w:t xml:space="preserve"> implies that twang has a piercing nature and can be associated with hillbilly singing. </w:t>
      </w:r>
      <w:r w:rsidRPr="00C327F7">
        <w:rPr>
          <w:rFonts w:ascii="Arial" w:hAnsi="Arial" w:cs="Arial"/>
          <w:shd w:val="clear" w:color="auto" w:fill="FFFFFF"/>
        </w:rPr>
        <w:t xml:space="preserve">Historic research agrees that there’s still effort required to create a universal understanding of twang, with Sundberg commenting “Voice research should be capable of resolving such a terminological confusion by describing the acoustic, perceptual and physiological characterises” </w:t>
      </w:r>
      <w:r w:rsidRPr="000E4400">
        <w:rPr>
          <w:rFonts w:ascii="Arial" w:hAnsi="Arial" w:cs="Arial"/>
          <w:highlight w:val="red"/>
          <w:shd w:val="clear" w:color="auto" w:fill="FFFFFF"/>
        </w:rPr>
        <w:t>Sundberg (2010),</w:t>
      </w:r>
      <w:r w:rsidRPr="00C327F7">
        <w:rPr>
          <w:rFonts w:ascii="Arial" w:hAnsi="Arial" w:cs="Arial"/>
          <w:shd w:val="clear" w:color="auto" w:fill="FFFFFF"/>
        </w:rPr>
        <w:t xml:space="preserve"> corresponding writing can be found in Pe</w:t>
      </w:r>
      <w:r>
        <w:rPr>
          <w:rFonts w:ascii="Arial" w:hAnsi="Arial" w:cs="Arial"/>
          <w:shd w:val="clear" w:color="auto" w:fill="FFFFFF"/>
        </w:rPr>
        <w:t>r</w:t>
      </w:r>
      <w:r w:rsidRPr="00C327F7">
        <w:rPr>
          <w:rFonts w:ascii="Arial" w:hAnsi="Arial" w:cs="Arial"/>
          <w:shd w:val="clear" w:color="auto" w:fill="FFFFFF"/>
        </w:rPr>
        <w:t xml:space="preserve">ta, Bae and </w:t>
      </w:r>
      <w:proofErr w:type="spellStart"/>
      <w:r w:rsidRPr="00C327F7">
        <w:rPr>
          <w:rFonts w:ascii="Arial" w:hAnsi="Arial" w:cs="Arial"/>
          <w:shd w:val="clear" w:color="auto" w:fill="FFFFFF"/>
        </w:rPr>
        <w:t>Obert’s</w:t>
      </w:r>
      <w:proofErr w:type="spellEnd"/>
      <w:r w:rsidRPr="00C327F7">
        <w:rPr>
          <w:rFonts w:ascii="Arial" w:hAnsi="Arial" w:cs="Arial"/>
          <w:shd w:val="clear" w:color="auto" w:fill="FFFFFF"/>
        </w:rPr>
        <w:t xml:space="preserve"> study, they add to the topic </w:t>
      </w:r>
      <w:r w:rsidRPr="00C327F7">
        <w:rPr>
          <w:rFonts w:ascii="Arial" w:hAnsi="Arial" w:cs="Arial"/>
        </w:rPr>
        <w:t xml:space="preserve">“as significant variations in voice quality can exist within a genre, there appears to </w:t>
      </w:r>
      <w:r w:rsidRPr="00C327F7">
        <w:rPr>
          <w:rFonts w:ascii="Arial" w:hAnsi="Arial" w:cs="Arial"/>
        </w:rPr>
        <w:lastRenderedPageBreak/>
        <w:t>be a need for more specific terminology accompanied by physiologic explanations”</w:t>
      </w:r>
      <w:r w:rsidRPr="00C327F7">
        <w:rPr>
          <w:rFonts w:ascii="Arial" w:hAnsi="Arial" w:cs="Arial"/>
          <w:shd w:val="clear" w:color="auto" w:fill="FFFFFF"/>
        </w:rPr>
        <w:t xml:space="preserve"> (</w:t>
      </w:r>
      <w:r w:rsidRPr="000E4400">
        <w:rPr>
          <w:rFonts w:ascii="Arial" w:hAnsi="Arial" w:cs="Arial"/>
          <w:highlight w:val="red"/>
          <w:shd w:val="clear" w:color="auto" w:fill="FFFFFF"/>
        </w:rPr>
        <w:t>Perta, Bae and Obert, 2020).</w:t>
      </w:r>
      <w:r>
        <w:rPr>
          <w:rFonts w:ascii="Arial" w:hAnsi="Arial" w:cs="Arial"/>
          <w:shd w:val="clear" w:color="auto" w:fill="FFFFFF"/>
        </w:rPr>
        <w:t xml:space="preserve"> </w:t>
      </w:r>
    </w:p>
    <w:p w:rsidR="005D671C" w:rsidRDefault="005D671C" w:rsidP="005D671C">
      <w:pPr>
        <w:pStyle w:val="NormalWeb"/>
        <w:spacing w:line="360" w:lineRule="auto"/>
        <w:ind w:left="720"/>
        <w:rPr>
          <w:rFonts w:ascii="Arial" w:hAnsi="Arial" w:cs="Arial"/>
          <w:shd w:val="clear" w:color="auto" w:fill="FFFFFF"/>
        </w:rPr>
      </w:pPr>
      <w:r>
        <w:rPr>
          <w:rFonts w:ascii="Arial" w:hAnsi="Arial" w:cs="Arial"/>
          <w:shd w:val="clear" w:color="auto" w:fill="FFFFFF"/>
        </w:rPr>
        <w:t>Literature on the marvel dates back to  the 19</w:t>
      </w:r>
      <w:r w:rsidRPr="00BD0328">
        <w:rPr>
          <w:rFonts w:ascii="Arial" w:hAnsi="Arial" w:cs="Arial"/>
          <w:shd w:val="clear" w:color="auto" w:fill="FFFFFF"/>
          <w:vertAlign w:val="superscript"/>
        </w:rPr>
        <w:t>th</w:t>
      </w:r>
      <w:r>
        <w:rPr>
          <w:rFonts w:ascii="Arial" w:hAnsi="Arial" w:cs="Arial"/>
          <w:shd w:val="clear" w:color="auto" w:fill="FFFFFF"/>
        </w:rPr>
        <w:t xml:space="preserve"> century, though substance was added to the topic from 1930 with Richard Paget’s </w:t>
      </w:r>
      <w:r>
        <w:rPr>
          <w:rFonts w:ascii="Arial" w:hAnsi="Arial" w:cs="Arial"/>
          <w:i/>
          <w:shd w:val="clear" w:color="auto" w:fill="FFFFFF"/>
        </w:rPr>
        <w:t xml:space="preserve">Human Speech </w:t>
      </w:r>
      <w:r>
        <w:rPr>
          <w:rFonts w:ascii="Arial" w:hAnsi="Arial" w:cs="Arial"/>
          <w:shd w:val="clear" w:color="auto" w:fill="FFFFFF"/>
        </w:rPr>
        <w:t xml:space="preserve">which references twang as a ‘nasal quality’ to which he theorises that twang is perhaps a result of some constriction within the pharyngeal space. In addition, Paget quotes a supporting passage from </w:t>
      </w:r>
      <w:r w:rsidRPr="000E4400">
        <w:rPr>
          <w:rFonts w:ascii="Arial" w:hAnsi="Arial" w:cs="Arial"/>
          <w:shd w:val="clear" w:color="auto" w:fill="FFFFFF"/>
        </w:rPr>
        <w:t>Leonard Pieter Hendrik</w:t>
      </w:r>
      <w:r>
        <w:rPr>
          <w:rFonts w:ascii="Arial" w:hAnsi="Arial" w:cs="Arial"/>
          <w:shd w:val="clear" w:color="auto" w:fill="FFFFFF"/>
        </w:rPr>
        <w:t xml:space="preserve"> </w:t>
      </w:r>
      <w:r w:rsidRPr="000E4400">
        <w:rPr>
          <w:rFonts w:ascii="Arial" w:hAnsi="Arial" w:cs="Arial"/>
          <w:shd w:val="clear" w:color="auto" w:fill="FFFFFF"/>
        </w:rPr>
        <w:t>Eijkman</w:t>
      </w:r>
      <w:r>
        <w:rPr>
          <w:rFonts w:ascii="Arial" w:hAnsi="Arial" w:cs="Arial"/>
          <w:shd w:val="clear" w:color="auto" w:fill="FFFFFF"/>
        </w:rPr>
        <w:t xml:space="preserve">’s 1926 paper titled </w:t>
      </w:r>
      <w:proofErr w:type="gramStart"/>
      <w:r w:rsidRPr="000E4400">
        <w:rPr>
          <w:rFonts w:ascii="Arial" w:hAnsi="Arial" w:cs="Arial"/>
          <w:i/>
          <w:highlight w:val="red"/>
          <w:shd w:val="clear" w:color="auto" w:fill="FFFFFF"/>
        </w:rPr>
        <w:t>The</w:t>
      </w:r>
      <w:proofErr w:type="gramEnd"/>
      <w:r w:rsidRPr="000E4400">
        <w:rPr>
          <w:rFonts w:ascii="Arial" w:hAnsi="Arial" w:cs="Arial"/>
          <w:i/>
          <w:highlight w:val="red"/>
          <w:shd w:val="clear" w:color="auto" w:fill="FFFFFF"/>
        </w:rPr>
        <w:t xml:space="preserve"> soft palate and nasality</w:t>
      </w:r>
      <w:r>
        <w:rPr>
          <w:rFonts w:ascii="Arial" w:hAnsi="Arial" w:cs="Arial"/>
          <w:i/>
          <w:highlight w:val="red"/>
          <w:shd w:val="clear" w:color="auto" w:fill="FFFFFF"/>
        </w:rPr>
        <w:t xml:space="preserve">. </w:t>
      </w:r>
      <w:r>
        <w:rPr>
          <w:rFonts w:ascii="Arial" w:hAnsi="Arial" w:cs="Arial"/>
          <w:shd w:val="clear" w:color="auto" w:fill="FFFFFF"/>
        </w:rPr>
        <w:t xml:space="preserve"> </w:t>
      </w:r>
      <w:r w:rsidRPr="000E4400">
        <w:rPr>
          <w:rFonts w:ascii="Arial" w:hAnsi="Arial" w:cs="Arial"/>
          <w:shd w:val="clear" w:color="auto" w:fill="FFFFFF"/>
        </w:rPr>
        <w:t>Eijkman</w:t>
      </w:r>
      <w:r>
        <w:rPr>
          <w:rFonts w:ascii="Arial" w:hAnsi="Arial" w:cs="Arial"/>
          <w:shd w:val="clear" w:color="auto" w:fill="FFFFFF"/>
        </w:rPr>
        <w:t xml:space="preserve"> proposes that the narrowing of the uvular complements this phenomenon of ‘additional resonance’, </w:t>
      </w:r>
      <w:r w:rsidRPr="000E4400">
        <w:rPr>
          <w:rFonts w:ascii="Arial" w:hAnsi="Arial" w:cs="Arial"/>
          <w:shd w:val="clear" w:color="auto" w:fill="FFFFFF"/>
        </w:rPr>
        <w:t>Eijkma</w:t>
      </w:r>
      <w:r>
        <w:rPr>
          <w:rFonts w:ascii="Arial" w:hAnsi="Arial" w:cs="Arial"/>
          <w:shd w:val="clear" w:color="auto" w:fill="FFFFFF"/>
        </w:rPr>
        <w:t>n continues “</w:t>
      </w:r>
      <w:r w:rsidRPr="00EE5A7E">
        <w:rPr>
          <w:rFonts w:ascii="Arial" w:hAnsi="Arial" w:cs="Arial"/>
          <w:shd w:val="clear" w:color="auto" w:fill="FFFFFF"/>
        </w:rPr>
        <w:t>for the smaller this aperture becomes, the nearer the palatopharyngeal folds w</w:t>
      </w:r>
      <w:r>
        <w:rPr>
          <w:rFonts w:ascii="Arial" w:hAnsi="Arial" w:cs="Arial"/>
          <w:shd w:val="clear" w:color="auto" w:fill="FFFFFF"/>
        </w:rPr>
        <w:t>ill</w:t>
      </w:r>
      <w:r w:rsidRPr="00EE5A7E">
        <w:rPr>
          <w:rFonts w:ascii="Arial" w:hAnsi="Arial" w:cs="Arial"/>
          <w:shd w:val="clear" w:color="auto" w:fill="FFFFFF"/>
        </w:rPr>
        <w:t xml:space="preserve"> approach one another</w:t>
      </w:r>
      <w:r>
        <w:rPr>
          <w:rFonts w:ascii="Arial" w:hAnsi="Arial" w:cs="Arial"/>
          <w:shd w:val="clear" w:color="auto" w:fill="FFFFFF"/>
        </w:rPr>
        <w:t xml:space="preserve">” </w:t>
      </w:r>
      <w:r w:rsidR="00742AD9">
        <w:rPr>
          <w:rFonts w:ascii="Arial" w:hAnsi="Arial" w:cs="Arial"/>
          <w:shd w:val="clear" w:color="auto" w:fill="FFFFFF"/>
        </w:rPr>
        <w:t>(</w:t>
      </w:r>
      <w:r w:rsidRPr="00EE5A7E">
        <w:rPr>
          <w:rFonts w:ascii="Arial" w:hAnsi="Arial" w:cs="Arial"/>
          <w:highlight w:val="red"/>
          <w:shd w:val="clear" w:color="auto" w:fill="FFFFFF"/>
        </w:rPr>
        <w:t>Eijkman, L.P.H 1926</w:t>
      </w:r>
      <w:r w:rsidR="00742AD9">
        <w:rPr>
          <w:rFonts w:ascii="Arial" w:hAnsi="Arial" w:cs="Arial"/>
          <w:highlight w:val="red"/>
          <w:shd w:val="clear" w:color="auto" w:fill="FFFFFF"/>
        </w:rPr>
        <w:t>)</w:t>
      </w:r>
      <w:r>
        <w:rPr>
          <w:rFonts w:ascii="Arial" w:hAnsi="Arial" w:cs="Arial"/>
          <w:highlight w:val="red"/>
          <w:shd w:val="clear" w:color="auto" w:fill="FFFFFF"/>
        </w:rPr>
        <w:t xml:space="preserve">. </w:t>
      </w:r>
      <w:r w:rsidRPr="00D37C67">
        <w:rPr>
          <w:rFonts w:ascii="Arial" w:hAnsi="Arial" w:cs="Arial"/>
          <w:shd w:val="clear" w:color="auto" w:fill="FFFFFF"/>
        </w:rPr>
        <w:t xml:space="preserve">Writings </w:t>
      </w:r>
      <w:r>
        <w:rPr>
          <w:rFonts w:ascii="Arial" w:hAnsi="Arial" w:cs="Arial"/>
          <w:shd w:val="clear" w:color="auto" w:fill="FFFFFF"/>
        </w:rPr>
        <w:t xml:space="preserve">were published pre 1900 with </w:t>
      </w:r>
      <w:r w:rsidRPr="001B5EDF">
        <w:rPr>
          <w:rFonts w:ascii="Arial" w:hAnsi="Arial" w:cs="Arial"/>
          <w:shd w:val="clear" w:color="auto" w:fill="FFFFFF"/>
        </w:rPr>
        <w:t>Hermann von Helmholtz</w:t>
      </w:r>
      <w:r>
        <w:rPr>
          <w:rFonts w:ascii="Arial" w:hAnsi="Arial" w:cs="Arial"/>
          <w:shd w:val="clear" w:color="auto" w:fill="FFFFFF"/>
        </w:rPr>
        <w:t xml:space="preserve"> first recognising the phenomenon in his 1863 </w:t>
      </w:r>
      <w:r w:rsidRPr="001B5EDF">
        <w:rPr>
          <w:rFonts w:ascii="Arial" w:hAnsi="Arial" w:cs="Arial"/>
          <w:i/>
          <w:highlight w:val="red"/>
          <w:shd w:val="clear" w:color="auto" w:fill="FFFFFF"/>
        </w:rPr>
        <w:t xml:space="preserve">On </w:t>
      </w:r>
      <w:proofErr w:type="gramStart"/>
      <w:r w:rsidRPr="001B5EDF">
        <w:rPr>
          <w:rFonts w:ascii="Arial" w:hAnsi="Arial" w:cs="Arial"/>
          <w:i/>
          <w:highlight w:val="red"/>
          <w:shd w:val="clear" w:color="auto" w:fill="FFFFFF"/>
        </w:rPr>
        <w:t>The</w:t>
      </w:r>
      <w:proofErr w:type="gramEnd"/>
      <w:r w:rsidRPr="001B5EDF">
        <w:rPr>
          <w:rFonts w:ascii="Arial" w:hAnsi="Arial" w:cs="Arial"/>
          <w:i/>
          <w:highlight w:val="red"/>
          <w:shd w:val="clear" w:color="auto" w:fill="FFFFFF"/>
        </w:rPr>
        <w:t xml:space="preserve"> Sensations Of Tone,</w:t>
      </w:r>
      <w:r w:rsidRPr="001B5EDF">
        <w:rPr>
          <w:rFonts w:ascii="Arial" w:hAnsi="Arial" w:cs="Arial"/>
          <w:i/>
          <w:shd w:val="clear" w:color="auto" w:fill="FFFFFF"/>
        </w:rPr>
        <w:t xml:space="preserve"> </w:t>
      </w:r>
      <w:r>
        <w:rPr>
          <w:rFonts w:ascii="Arial" w:hAnsi="Arial" w:cs="Arial"/>
          <w:shd w:val="clear" w:color="auto" w:fill="FFFFFF"/>
        </w:rPr>
        <w:t xml:space="preserve">specifying his findings attributed to male tenor singers during a </w:t>
      </w:r>
      <w:r w:rsidRPr="00D147F8">
        <w:rPr>
          <w:rFonts w:ascii="Arial" w:hAnsi="Arial" w:cs="Arial"/>
          <w:shd w:val="clear" w:color="auto" w:fill="FFFFFF"/>
        </w:rPr>
        <w:t>forte</w:t>
      </w:r>
      <w:r>
        <w:rPr>
          <w:rFonts w:ascii="Arial" w:hAnsi="Arial" w:cs="Arial"/>
          <w:i/>
          <w:shd w:val="clear" w:color="auto" w:fill="FFFFFF"/>
        </w:rPr>
        <w:t xml:space="preserve"> </w:t>
      </w:r>
      <w:r>
        <w:rPr>
          <w:rFonts w:ascii="Arial" w:hAnsi="Arial" w:cs="Arial"/>
          <w:shd w:val="clear" w:color="auto" w:fill="FFFFFF"/>
        </w:rPr>
        <w:t xml:space="preserve">phrase of singing. </w:t>
      </w:r>
      <w:r w:rsidRPr="001B5EDF">
        <w:rPr>
          <w:rFonts w:ascii="Arial" w:hAnsi="Arial" w:cs="Arial"/>
          <w:shd w:val="clear" w:color="auto" w:fill="FFFFFF"/>
        </w:rPr>
        <w:t>Helmholtz</w:t>
      </w:r>
      <w:r>
        <w:rPr>
          <w:rFonts w:ascii="Arial" w:hAnsi="Arial" w:cs="Arial"/>
          <w:shd w:val="clear" w:color="auto" w:fill="FFFFFF"/>
        </w:rPr>
        <w:t xml:space="preserve"> supplements his perception “</w:t>
      </w:r>
      <w:r w:rsidRPr="001B5EDF">
        <w:rPr>
          <w:rFonts w:ascii="Arial" w:hAnsi="Arial" w:cs="Arial"/>
          <w:shd w:val="clear" w:color="auto" w:fill="FFFFFF"/>
        </w:rPr>
        <w:t>these partial tones sound like a clear tinkling of little bells, accompanying the voice, and are most audible in choruses, when the singers sho</w:t>
      </w:r>
      <w:r>
        <w:rPr>
          <w:rFonts w:ascii="Arial" w:hAnsi="Arial" w:cs="Arial"/>
          <w:shd w:val="clear" w:color="auto" w:fill="FFFFFF"/>
        </w:rPr>
        <w:t>uts</w:t>
      </w:r>
      <w:r w:rsidRPr="001B5EDF">
        <w:rPr>
          <w:rFonts w:ascii="Arial" w:hAnsi="Arial" w:cs="Arial"/>
          <w:shd w:val="clear" w:color="auto" w:fill="FFFFFF"/>
        </w:rPr>
        <w:t xml:space="preserve"> a little</w:t>
      </w:r>
      <w:r>
        <w:rPr>
          <w:rFonts w:ascii="Arial" w:hAnsi="Arial" w:cs="Arial"/>
          <w:shd w:val="clear" w:color="auto" w:fill="FFFFFF"/>
        </w:rPr>
        <w:t xml:space="preserve">” </w:t>
      </w:r>
      <w:r w:rsidRPr="00D147F8">
        <w:rPr>
          <w:rFonts w:ascii="Arial" w:hAnsi="Arial" w:cs="Arial"/>
          <w:highlight w:val="red"/>
          <w:shd w:val="clear" w:color="auto" w:fill="FFFFFF"/>
        </w:rPr>
        <w:t>REFERENCE HERE.</w:t>
      </w:r>
      <w:r>
        <w:rPr>
          <w:rFonts w:ascii="Arial" w:hAnsi="Arial" w:cs="Arial"/>
          <w:shd w:val="clear" w:color="auto" w:fill="FFFFFF"/>
        </w:rPr>
        <w:t xml:space="preserve"> </w:t>
      </w:r>
    </w:p>
    <w:p w:rsidR="005D671C" w:rsidRDefault="005D671C" w:rsidP="005D671C">
      <w:pPr>
        <w:pStyle w:val="NormalWeb"/>
        <w:spacing w:line="360" w:lineRule="auto"/>
        <w:ind w:left="720"/>
        <w:rPr>
          <w:rFonts w:ascii="Arial" w:hAnsi="Arial" w:cs="Arial"/>
          <w:color w:val="000000" w:themeColor="text1"/>
        </w:rPr>
      </w:pPr>
      <w:r w:rsidRPr="00573B61">
        <w:rPr>
          <w:rFonts w:ascii="Arial" w:hAnsi="Arial" w:cs="Arial"/>
          <w:color w:val="000000" w:themeColor="text1"/>
          <w:shd w:val="clear" w:color="auto" w:fill="FFFFFF"/>
        </w:rPr>
        <w:t xml:space="preserve">Yanagisawa, </w:t>
      </w:r>
      <w:proofErr w:type="spellStart"/>
      <w:r w:rsidRPr="00573B61">
        <w:rPr>
          <w:rFonts w:ascii="Arial" w:hAnsi="Arial" w:cs="Arial"/>
          <w:color w:val="000000" w:themeColor="text1"/>
          <w:shd w:val="clear" w:color="auto" w:fill="FFFFFF"/>
        </w:rPr>
        <w:t>Estill</w:t>
      </w:r>
      <w:proofErr w:type="spellEnd"/>
      <w:r w:rsidRPr="00573B61">
        <w:rPr>
          <w:rFonts w:ascii="Arial" w:hAnsi="Arial" w:cs="Arial"/>
          <w:color w:val="000000" w:themeColor="text1"/>
          <w:shd w:val="clear" w:color="auto" w:fill="FFFFFF"/>
        </w:rPr>
        <w:t xml:space="preserve"> and co. conducted an endoscopic study in 1989 that saw five singers of professional status demonstrating twang to establish whether there was aryepiglottic reduction during the manoeuvre</w:t>
      </w:r>
      <w:r>
        <w:rPr>
          <w:rFonts w:ascii="Arial" w:hAnsi="Arial" w:cs="Arial"/>
          <w:color w:val="000000" w:themeColor="text1"/>
          <w:shd w:val="clear" w:color="auto" w:fill="FFFFFF"/>
        </w:rPr>
        <w:t xml:space="preserve"> of twang.</w:t>
      </w:r>
      <w:r w:rsidRPr="00573B61">
        <w:rPr>
          <w:rFonts w:ascii="Arial" w:hAnsi="Arial" w:cs="Arial"/>
          <w:color w:val="000000" w:themeColor="text1"/>
          <w:shd w:val="clear" w:color="auto" w:fill="FFFFFF"/>
        </w:rPr>
        <w:t xml:space="preserve"> The parameter of the study was to perform </w:t>
      </w:r>
      <w:r w:rsidRPr="009827DC">
        <w:rPr>
          <w:rFonts w:ascii="Arial" w:hAnsi="Arial" w:cs="Arial"/>
          <w:i/>
          <w:color w:val="000000" w:themeColor="text1"/>
          <w:shd w:val="clear" w:color="auto" w:fill="FFFFFF"/>
        </w:rPr>
        <w:t>Happy Birthday</w:t>
      </w:r>
      <w:r>
        <w:rPr>
          <w:rFonts w:ascii="Arial" w:hAnsi="Arial" w:cs="Arial"/>
          <w:color w:val="000000" w:themeColor="text1"/>
          <w:shd w:val="clear" w:color="auto" w:fill="FFFFFF"/>
        </w:rPr>
        <w:t xml:space="preserve">, </w:t>
      </w:r>
      <w:r w:rsidRPr="009827DC">
        <w:rPr>
          <w:rFonts w:ascii="Arial" w:hAnsi="Arial" w:cs="Arial"/>
          <w:color w:val="000000" w:themeColor="text1"/>
          <w:shd w:val="clear" w:color="auto" w:fill="FFFFFF"/>
        </w:rPr>
        <w:t>trad</w:t>
      </w:r>
      <w:r>
        <w:rPr>
          <w:rFonts w:ascii="Arial" w:hAnsi="Arial" w:cs="Arial"/>
          <w:i/>
          <w:color w:val="000000" w:themeColor="text1"/>
          <w:shd w:val="clear" w:color="auto" w:fill="FFFFFF"/>
        </w:rPr>
        <w:t xml:space="preserve">. </w:t>
      </w:r>
      <w:r w:rsidRPr="00573B61">
        <w:rPr>
          <w:rFonts w:ascii="Arial" w:hAnsi="Arial" w:cs="Arial"/>
          <w:color w:val="000000" w:themeColor="text1"/>
          <w:shd w:val="clear" w:color="auto" w:fill="FFFFFF"/>
        </w:rPr>
        <w:t>and a series of phrases of</w:t>
      </w:r>
      <w:r>
        <w:rPr>
          <w:rFonts w:ascii="Arial" w:hAnsi="Arial" w:cs="Arial"/>
          <w:color w:val="000000" w:themeColor="text1"/>
          <w:shd w:val="clear" w:color="auto" w:fill="FFFFFF"/>
        </w:rPr>
        <w:t xml:space="preserve"> </w:t>
      </w:r>
      <w:r w:rsidRPr="009827DC">
        <w:rPr>
          <w:rFonts w:ascii="Arial" w:hAnsi="Arial" w:cs="Arial"/>
          <w:color w:val="000000" w:themeColor="text1"/>
          <w:shd w:val="clear" w:color="auto" w:fill="FFFFFF"/>
        </w:rPr>
        <w:t>Salisbury and Stafford Smith</w:t>
      </w:r>
      <w:r>
        <w:rPr>
          <w:rFonts w:ascii="Arial" w:hAnsi="Arial" w:cs="Arial"/>
          <w:color w:val="000000" w:themeColor="text1"/>
          <w:shd w:val="clear" w:color="auto" w:fill="FFFFFF"/>
        </w:rPr>
        <w:t>’s:</w:t>
      </w:r>
      <w:r w:rsidRPr="00573B61">
        <w:rPr>
          <w:rFonts w:ascii="Arial" w:hAnsi="Arial" w:cs="Arial"/>
          <w:color w:val="000000" w:themeColor="text1"/>
          <w:shd w:val="clear" w:color="auto" w:fill="FFFFFF"/>
        </w:rPr>
        <w:t xml:space="preserve"> </w:t>
      </w:r>
      <w:r w:rsidRPr="009827DC">
        <w:rPr>
          <w:rFonts w:ascii="Arial" w:hAnsi="Arial" w:cs="Arial"/>
          <w:i/>
          <w:color w:val="000000" w:themeColor="text1"/>
          <w:shd w:val="clear" w:color="auto" w:fill="FFFFFF"/>
        </w:rPr>
        <w:t>Star Spangled Banner</w:t>
      </w:r>
      <w:r w:rsidRPr="00573B61">
        <w:rPr>
          <w:rFonts w:ascii="Arial" w:hAnsi="Arial" w:cs="Arial"/>
          <w:color w:val="000000" w:themeColor="text1"/>
          <w:shd w:val="clear" w:color="auto" w:fill="FFFFFF"/>
        </w:rPr>
        <w:t xml:space="preserve"> </w:t>
      </w:r>
      <w:r>
        <w:rPr>
          <w:rFonts w:ascii="Arial" w:hAnsi="Arial" w:cs="Arial"/>
          <w:color w:val="000000" w:themeColor="text1"/>
          <w:highlight w:val="red"/>
          <w:shd w:val="clear" w:color="auto" w:fill="FFFFFF"/>
        </w:rPr>
        <w:t>(</w:t>
      </w:r>
      <w:r w:rsidRPr="00453A32">
        <w:rPr>
          <w:rFonts w:ascii="Arial" w:hAnsi="Arial" w:cs="Arial"/>
          <w:color w:val="000000" w:themeColor="text1"/>
          <w:highlight w:val="red"/>
          <w:shd w:val="clear" w:color="auto" w:fill="FFFFFF"/>
        </w:rPr>
        <w:t>Yanagisawa et al., 1989).</w:t>
      </w:r>
      <w:r w:rsidRPr="00573B61">
        <w:rPr>
          <w:rFonts w:ascii="Arial" w:hAnsi="Arial" w:cs="Arial"/>
          <w:color w:val="000000" w:themeColor="text1"/>
          <w:shd w:val="clear" w:color="auto" w:fill="FFFFFF"/>
        </w:rPr>
        <w:t xml:space="preserve"> The study sees researchers drawing upon three key questions that they wish to measure. “</w:t>
      </w:r>
      <w:r w:rsidRPr="00573B61">
        <w:rPr>
          <w:rFonts w:ascii="Arial" w:hAnsi="Arial" w:cs="Arial"/>
          <w:color w:val="000000" w:themeColor="text1"/>
        </w:rPr>
        <w:t xml:space="preserve"> (a) is this aryepiglottic constriction a legitimate and consistent feature of a particular voice quality or a particular singer? (b) Is it typical of all types of singing in general? (c) Is it eviden</w:t>
      </w:r>
      <w:r>
        <w:rPr>
          <w:rFonts w:ascii="Arial" w:hAnsi="Arial" w:cs="Arial"/>
          <w:color w:val="000000" w:themeColor="text1"/>
        </w:rPr>
        <w:t>t</w:t>
      </w:r>
      <w:r w:rsidRPr="00573B61">
        <w:rPr>
          <w:rFonts w:ascii="Arial" w:hAnsi="Arial" w:cs="Arial"/>
          <w:color w:val="000000" w:themeColor="text1"/>
        </w:rPr>
        <w:t xml:space="preserve"> of abnormal laryngeal function for which corrective action should be taken</w:t>
      </w:r>
      <w:r>
        <w:rPr>
          <w:rFonts w:ascii="Arial" w:hAnsi="Arial" w:cs="Arial"/>
          <w:color w:val="000000" w:themeColor="text1"/>
        </w:rPr>
        <w:t>?” Study subjects were given autonomy over pitch during the investigation, though researchers required participants to use /</w:t>
      </w:r>
      <w:proofErr w:type="spellStart"/>
      <w:r>
        <w:rPr>
          <w:rFonts w:ascii="Arial" w:hAnsi="Arial" w:cs="Arial"/>
          <w:color w:val="000000" w:themeColor="text1"/>
        </w:rPr>
        <w:t>i</w:t>
      </w:r>
      <w:proofErr w:type="spellEnd"/>
      <w:r>
        <w:rPr>
          <w:rFonts w:ascii="Arial" w:hAnsi="Arial" w:cs="Arial"/>
          <w:color w:val="000000" w:themeColor="text1"/>
        </w:rPr>
        <w:t xml:space="preserve">/ as the selected sound, due to the naturally forward epiglottic position </w:t>
      </w:r>
      <w:r w:rsidRPr="0053672E">
        <w:rPr>
          <w:rFonts w:ascii="Arial" w:hAnsi="Arial" w:cs="Arial"/>
          <w:color w:val="000000" w:themeColor="text1"/>
          <w:highlight w:val="red"/>
        </w:rPr>
        <w:t>ENTER A REFERENCE HERE ABOUT A FRONTED EPI POSITION.</w:t>
      </w:r>
      <w:r>
        <w:rPr>
          <w:rFonts w:ascii="Arial" w:hAnsi="Arial" w:cs="Arial"/>
          <w:color w:val="000000" w:themeColor="text1"/>
        </w:rPr>
        <w:t xml:space="preserve"> The results of the endoscopic inquiry consisted of five participants (three male baritones with the average age of 46 </w:t>
      </w:r>
      <w:r>
        <w:rPr>
          <w:rFonts w:ascii="Arial" w:hAnsi="Arial" w:cs="Arial"/>
          <w:color w:val="000000" w:themeColor="text1"/>
        </w:rPr>
        <w:lastRenderedPageBreak/>
        <w:t xml:space="preserve">and two females with the average age being 28). Researchers observed a decrease in the aryepiglottic space, specifically in the anteroposterior direction (AP), noting a distinct posterior movement of the epiglottis during twang. The study further concludes that there was visible narrowing of the aryepiglottic orifice during phonation at the 3 kHz region, also referred as the ‘singers formant’, a concept written by Sundberg and is defined as a “high spectrum envelope peak near 2.8 kHz” </w:t>
      </w:r>
      <w:r w:rsidRPr="008764A2">
        <w:rPr>
          <w:rFonts w:ascii="Arial" w:hAnsi="Arial" w:cs="Arial"/>
          <w:color w:val="000000" w:themeColor="text1"/>
          <w:highlight w:val="red"/>
        </w:rPr>
        <w:t>(Sundberg 1974</w:t>
      </w:r>
      <w:r>
        <w:rPr>
          <w:rFonts w:ascii="Arial" w:hAnsi="Arial" w:cs="Arial"/>
          <w:color w:val="000000" w:themeColor="text1"/>
        </w:rPr>
        <w:t xml:space="preserve">). </w:t>
      </w:r>
    </w:p>
    <w:p w:rsidR="005D671C" w:rsidRDefault="005D671C" w:rsidP="005D671C">
      <w:pPr>
        <w:pStyle w:val="NormalWeb"/>
        <w:spacing w:line="360" w:lineRule="auto"/>
        <w:ind w:left="720"/>
        <w:rPr>
          <w:rFonts w:ascii="Arial" w:hAnsi="Arial" w:cs="Arial"/>
          <w:color w:val="000000" w:themeColor="text1"/>
          <w:highlight w:val="red"/>
        </w:rPr>
      </w:pPr>
      <w:r w:rsidRPr="008038D7">
        <w:rPr>
          <w:rFonts w:ascii="Arial" w:hAnsi="Arial" w:cs="Arial"/>
          <w:color w:val="000000" w:themeColor="text1"/>
          <w:highlight w:val="red"/>
        </w:rPr>
        <w:t>(</w:t>
      </w:r>
      <w:proofErr w:type="spellStart"/>
      <w:r w:rsidRPr="008038D7">
        <w:rPr>
          <w:rFonts w:ascii="Arial" w:hAnsi="Arial" w:cs="Arial"/>
          <w:color w:val="000000" w:themeColor="text1"/>
          <w:highlight w:val="red"/>
        </w:rPr>
        <w:t>Titze</w:t>
      </w:r>
      <w:proofErr w:type="spellEnd"/>
      <w:r w:rsidRPr="008038D7">
        <w:rPr>
          <w:rFonts w:ascii="Arial" w:hAnsi="Arial" w:cs="Arial"/>
          <w:color w:val="000000" w:themeColor="text1"/>
          <w:highlight w:val="red"/>
        </w:rPr>
        <w:t xml:space="preserve"> et al., 2003)</w:t>
      </w:r>
      <w:r>
        <w:rPr>
          <w:rFonts w:ascii="Arial" w:hAnsi="Arial" w:cs="Arial"/>
          <w:color w:val="000000" w:themeColor="text1"/>
        </w:rPr>
        <w:t xml:space="preserve"> led a perception-based study using computer synthesised samples that were assessed by a panel of volunteers, all with varying musical abilities. This study measured the judge’s perception of twang on a scale of 1-10. The research discusses the findings and gives emphasises on the degree of open quotient. Volunteers associated twang with a greater closed quotient, this is evident in the results in </w:t>
      </w:r>
      <w:r w:rsidRPr="00453A32">
        <w:rPr>
          <w:rFonts w:ascii="Arial" w:hAnsi="Arial" w:cs="Arial"/>
          <w:color w:val="000000" w:themeColor="text1"/>
          <w:highlight w:val="red"/>
        </w:rPr>
        <w:t>previous</w:t>
      </w:r>
      <w:r>
        <w:rPr>
          <w:rFonts w:ascii="Arial" w:hAnsi="Arial" w:cs="Arial"/>
          <w:color w:val="000000" w:themeColor="text1"/>
        </w:rPr>
        <w:t xml:space="preserve"> studies </w:t>
      </w:r>
      <w:r w:rsidRPr="00F646CF">
        <w:rPr>
          <w:rFonts w:ascii="Arial" w:hAnsi="Arial" w:cs="Arial"/>
          <w:color w:val="000000" w:themeColor="text1"/>
        </w:rPr>
        <w:t xml:space="preserve">(Sundberg and </w:t>
      </w:r>
      <w:proofErr w:type="spellStart"/>
      <w:r w:rsidRPr="00F646CF">
        <w:rPr>
          <w:rFonts w:ascii="Arial" w:hAnsi="Arial" w:cs="Arial"/>
          <w:color w:val="000000" w:themeColor="text1"/>
        </w:rPr>
        <w:t>Thalén</w:t>
      </w:r>
      <w:proofErr w:type="spellEnd"/>
      <w:r w:rsidRPr="00F646CF">
        <w:rPr>
          <w:rFonts w:ascii="Arial" w:hAnsi="Arial" w:cs="Arial"/>
          <w:color w:val="000000" w:themeColor="text1"/>
        </w:rPr>
        <w:t>, 2010)</w:t>
      </w:r>
      <w:r>
        <w:rPr>
          <w:rFonts w:ascii="Arial" w:hAnsi="Arial" w:cs="Arial"/>
          <w:color w:val="000000" w:themeColor="text1"/>
        </w:rPr>
        <w:t xml:space="preserve">, furthermore listeners correlate twang with a narrowed pharyngeal area, which supports previous researcher’s </w:t>
      </w:r>
      <w:r w:rsidRPr="0021238C">
        <w:rPr>
          <w:rFonts w:ascii="Arial" w:hAnsi="Arial" w:cs="Arial"/>
          <w:color w:val="000000" w:themeColor="text1"/>
        </w:rPr>
        <w:t>hypothesis</w:t>
      </w:r>
      <w:r>
        <w:rPr>
          <w:rFonts w:ascii="Arial" w:hAnsi="Arial" w:cs="Arial"/>
          <w:color w:val="000000" w:themeColor="text1"/>
        </w:rPr>
        <w:t xml:space="preserve"> (</w:t>
      </w:r>
      <w:r w:rsidRPr="0021238C">
        <w:rPr>
          <w:rFonts w:ascii="Arial" w:hAnsi="Arial" w:cs="Arial"/>
          <w:color w:val="000000" w:themeColor="text1"/>
          <w:highlight w:val="red"/>
        </w:rPr>
        <w:t>Paget 1930</w:t>
      </w:r>
      <w:r>
        <w:rPr>
          <w:rFonts w:ascii="Arial" w:hAnsi="Arial" w:cs="Arial"/>
          <w:color w:val="000000" w:themeColor="text1"/>
          <w:highlight w:val="red"/>
        </w:rPr>
        <w:t>)</w:t>
      </w:r>
      <w:r>
        <w:rPr>
          <w:rFonts w:ascii="Arial" w:hAnsi="Arial" w:cs="Arial"/>
          <w:color w:val="000000" w:themeColor="text1"/>
        </w:rPr>
        <w:t xml:space="preserve">. In addition to this, </w:t>
      </w:r>
      <w:proofErr w:type="spellStart"/>
      <w:r>
        <w:rPr>
          <w:rFonts w:ascii="Arial" w:hAnsi="Arial" w:cs="Arial"/>
          <w:color w:val="000000" w:themeColor="text1"/>
        </w:rPr>
        <w:t>Titze</w:t>
      </w:r>
      <w:proofErr w:type="spellEnd"/>
      <w:r>
        <w:rPr>
          <w:rFonts w:ascii="Arial" w:hAnsi="Arial" w:cs="Arial"/>
          <w:color w:val="000000" w:themeColor="text1"/>
        </w:rPr>
        <w:t xml:space="preserve"> explores a further factor relating to the vocal tract length; listeners identified twang with a shorter vocal tract. </w:t>
      </w:r>
      <w:proofErr w:type="spellStart"/>
      <w:r w:rsidRPr="00BD2DD7">
        <w:rPr>
          <w:rFonts w:ascii="Arial" w:hAnsi="Arial" w:cs="Arial"/>
          <w:color w:val="000000" w:themeColor="text1"/>
        </w:rPr>
        <w:t>Titze</w:t>
      </w:r>
      <w:proofErr w:type="spellEnd"/>
      <w:r>
        <w:rPr>
          <w:rFonts w:ascii="Arial" w:hAnsi="Arial" w:cs="Arial"/>
          <w:color w:val="000000" w:themeColor="text1"/>
        </w:rPr>
        <w:t xml:space="preserve"> accepts the limitations of this study and explains “the results do not exclude the possibility that other parameters may contribute to the perceptions of these qualities, but given that the selected parameters capture many of that physiologic changes observed endoscopically, some confidence in the results is warranted”</w:t>
      </w:r>
      <w:r w:rsidRPr="00BD2DD7">
        <w:rPr>
          <w:rFonts w:ascii="Arial" w:hAnsi="Arial" w:cs="Arial"/>
          <w:color w:val="000000" w:themeColor="text1"/>
          <w:highlight w:val="red"/>
        </w:rPr>
        <w:t xml:space="preserve"> </w:t>
      </w:r>
      <w:r w:rsidRPr="008038D7">
        <w:rPr>
          <w:rFonts w:ascii="Arial" w:hAnsi="Arial" w:cs="Arial"/>
          <w:color w:val="000000" w:themeColor="text1"/>
          <w:highlight w:val="red"/>
        </w:rPr>
        <w:t>(</w:t>
      </w:r>
      <w:proofErr w:type="spellStart"/>
      <w:r w:rsidRPr="008038D7">
        <w:rPr>
          <w:rFonts w:ascii="Arial" w:hAnsi="Arial" w:cs="Arial"/>
          <w:color w:val="000000" w:themeColor="text1"/>
          <w:highlight w:val="red"/>
        </w:rPr>
        <w:t>Titze</w:t>
      </w:r>
      <w:proofErr w:type="spellEnd"/>
      <w:r w:rsidRPr="008038D7">
        <w:rPr>
          <w:rFonts w:ascii="Arial" w:hAnsi="Arial" w:cs="Arial"/>
          <w:color w:val="000000" w:themeColor="text1"/>
          <w:highlight w:val="red"/>
        </w:rPr>
        <w:t xml:space="preserve"> et al., 2003</w:t>
      </w:r>
      <w:r w:rsidR="00662979">
        <w:rPr>
          <w:rFonts w:ascii="Arial" w:hAnsi="Arial" w:cs="Arial"/>
          <w:color w:val="000000" w:themeColor="text1"/>
          <w:highlight w:val="red"/>
        </w:rPr>
        <w:t>,</w:t>
      </w:r>
      <w:r>
        <w:rPr>
          <w:rFonts w:ascii="Arial" w:hAnsi="Arial" w:cs="Arial"/>
          <w:color w:val="000000" w:themeColor="text1"/>
          <w:highlight w:val="red"/>
        </w:rPr>
        <w:t xml:space="preserve"> </w:t>
      </w:r>
      <w:r w:rsidR="00662979">
        <w:rPr>
          <w:rFonts w:ascii="Arial" w:hAnsi="Arial" w:cs="Arial"/>
          <w:color w:val="000000" w:themeColor="text1"/>
          <w:highlight w:val="red"/>
        </w:rPr>
        <w:t>p</w:t>
      </w:r>
      <w:bookmarkStart w:id="0" w:name="_GoBack"/>
      <w:bookmarkEnd w:id="0"/>
      <w:r w:rsidR="00662979">
        <w:rPr>
          <w:rFonts w:ascii="Arial" w:hAnsi="Arial" w:cs="Arial"/>
          <w:color w:val="000000" w:themeColor="text1"/>
          <w:highlight w:val="red"/>
        </w:rPr>
        <w:t xml:space="preserve">. </w:t>
      </w:r>
      <w:r>
        <w:rPr>
          <w:rFonts w:ascii="Arial" w:hAnsi="Arial" w:cs="Arial"/>
          <w:color w:val="000000" w:themeColor="text1"/>
          <w:highlight w:val="red"/>
        </w:rPr>
        <w:t>155</w:t>
      </w:r>
      <w:r w:rsidRPr="008038D7">
        <w:rPr>
          <w:rFonts w:ascii="Arial" w:hAnsi="Arial" w:cs="Arial"/>
          <w:color w:val="000000" w:themeColor="text1"/>
          <w:highlight w:val="red"/>
        </w:rPr>
        <w:t>)</w:t>
      </w:r>
      <w:r>
        <w:rPr>
          <w:rFonts w:ascii="Arial" w:hAnsi="Arial" w:cs="Arial"/>
          <w:color w:val="000000" w:themeColor="text1"/>
          <w:highlight w:val="red"/>
        </w:rPr>
        <w:t xml:space="preserve">. </w:t>
      </w:r>
    </w:p>
    <w:p w:rsidR="005D671C" w:rsidRDefault="005D671C" w:rsidP="005D671C">
      <w:pPr>
        <w:pStyle w:val="NormalWeb"/>
        <w:spacing w:line="360" w:lineRule="auto"/>
        <w:ind w:left="720"/>
        <w:rPr>
          <w:rFonts w:ascii="Arial" w:hAnsi="Arial" w:cs="Arial"/>
          <w:color w:val="000000" w:themeColor="text1"/>
        </w:rPr>
      </w:pPr>
      <w:r w:rsidRPr="00544611">
        <w:rPr>
          <w:rFonts w:ascii="Arial" w:hAnsi="Arial" w:cs="Arial"/>
          <w:color w:val="000000" w:themeColor="text1"/>
          <w:highlight w:val="red"/>
        </w:rPr>
        <w:t xml:space="preserve">(Sundberg and </w:t>
      </w:r>
      <w:proofErr w:type="spellStart"/>
      <w:r w:rsidRPr="00544611">
        <w:rPr>
          <w:rFonts w:ascii="Arial" w:hAnsi="Arial" w:cs="Arial"/>
          <w:color w:val="000000" w:themeColor="text1"/>
          <w:highlight w:val="red"/>
        </w:rPr>
        <w:t>Thalén</w:t>
      </w:r>
      <w:proofErr w:type="spellEnd"/>
      <w:r w:rsidRPr="00544611">
        <w:rPr>
          <w:rFonts w:ascii="Arial" w:hAnsi="Arial" w:cs="Arial"/>
          <w:color w:val="000000" w:themeColor="text1"/>
          <w:highlight w:val="red"/>
        </w:rPr>
        <w:t>, 2010)</w:t>
      </w:r>
      <w:r>
        <w:rPr>
          <w:rFonts w:ascii="Arial" w:hAnsi="Arial" w:cs="Arial"/>
          <w:color w:val="000000" w:themeColor="text1"/>
        </w:rPr>
        <w:t xml:space="preserve"> conducted a perception test, with a limiting participation pool of one female. The study consisted of six listeners, all either singers or teachers “well acquainted with “twang””</w:t>
      </w:r>
      <w:r w:rsidRPr="00544611">
        <w:rPr>
          <w:rFonts w:ascii="Arial" w:hAnsi="Arial" w:cs="Arial"/>
          <w:color w:val="000000" w:themeColor="text1"/>
        </w:rPr>
        <w:t xml:space="preserve"> </w:t>
      </w:r>
      <w:r w:rsidRPr="00544611">
        <w:rPr>
          <w:rFonts w:ascii="Arial" w:hAnsi="Arial" w:cs="Arial"/>
          <w:color w:val="000000" w:themeColor="text1"/>
          <w:highlight w:val="red"/>
        </w:rPr>
        <w:t xml:space="preserve">(Sundberg and </w:t>
      </w:r>
      <w:proofErr w:type="spellStart"/>
      <w:r w:rsidRPr="00544611">
        <w:rPr>
          <w:rFonts w:ascii="Arial" w:hAnsi="Arial" w:cs="Arial"/>
          <w:color w:val="000000" w:themeColor="text1"/>
          <w:highlight w:val="red"/>
        </w:rPr>
        <w:t>Thalén</w:t>
      </w:r>
      <w:proofErr w:type="spellEnd"/>
      <w:r w:rsidRPr="00544611">
        <w:rPr>
          <w:rFonts w:ascii="Arial" w:hAnsi="Arial" w:cs="Arial"/>
          <w:color w:val="000000" w:themeColor="text1"/>
          <w:highlight w:val="red"/>
        </w:rPr>
        <w:t>, 2010</w:t>
      </w:r>
      <w:r>
        <w:rPr>
          <w:rFonts w:ascii="Arial" w:hAnsi="Arial" w:cs="Arial"/>
          <w:color w:val="000000" w:themeColor="text1"/>
          <w:highlight w:val="red"/>
        </w:rPr>
        <w:t>, P. 655</w:t>
      </w:r>
      <w:r w:rsidRPr="00544611">
        <w:rPr>
          <w:rFonts w:ascii="Arial" w:hAnsi="Arial" w:cs="Arial"/>
          <w:color w:val="000000" w:themeColor="text1"/>
          <w:highlight w:val="red"/>
        </w:rPr>
        <w:t>).</w:t>
      </w:r>
      <w:r>
        <w:rPr>
          <w:rFonts w:ascii="Arial" w:hAnsi="Arial" w:cs="Arial"/>
          <w:color w:val="000000" w:themeColor="text1"/>
        </w:rPr>
        <w:t xml:space="preserve"> The study aimed to provide support to </w:t>
      </w:r>
      <w:r>
        <w:rPr>
          <w:rFonts w:ascii="Arial" w:hAnsi="Arial" w:cs="Arial"/>
          <w:shd w:val="clear" w:color="auto" w:fill="FFFFFF"/>
        </w:rPr>
        <w:t xml:space="preserve">Yanagisawa, </w:t>
      </w:r>
      <w:proofErr w:type="spellStart"/>
      <w:r>
        <w:rPr>
          <w:rFonts w:ascii="Arial" w:hAnsi="Arial" w:cs="Arial"/>
          <w:shd w:val="clear" w:color="auto" w:fill="FFFFFF"/>
        </w:rPr>
        <w:t>Estill</w:t>
      </w:r>
      <w:proofErr w:type="spellEnd"/>
      <w:r>
        <w:rPr>
          <w:rFonts w:ascii="Arial" w:hAnsi="Arial" w:cs="Arial"/>
          <w:shd w:val="clear" w:color="auto" w:fill="FFFFFF"/>
        </w:rPr>
        <w:t xml:space="preserve"> and the work of </w:t>
      </w:r>
      <w:proofErr w:type="spellStart"/>
      <w:r w:rsidRPr="00D147F8">
        <w:rPr>
          <w:rFonts w:ascii="Arial" w:hAnsi="Arial" w:cs="Arial"/>
          <w:highlight w:val="red"/>
          <w:shd w:val="clear" w:color="auto" w:fill="FFFFFF"/>
        </w:rPr>
        <w:t>Titze</w:t>
      </w:r>
      <w:proofErr w:type="spellEnd"/>
      <w:r w:rsidRPr="00D147F8">
        <w:rPr>
          <w:rFonts w:ascii="Arial" w:hAnsi="Arial" w:cs="Arial"/>
          <w:highlight w:val="red"/>
          <w:shd w:val="clear" w:color="auto" w:fill="FFFFFF"/>
        </w:rPr>
        <w:t xml:space="preserve"> et al.</w:t>
      </w:r>
      <w:r>
        <w:rPr>
          <w:rFonts w:ascii="Arial" w:hAnsi="Arial" w:cs="Arial"/>
          <w:shd w:val="clear" w:color="auto" w:fill="FFFFFF"/>
        </w:rPr>
        <w:t xml:space="preserve"> Researchers instructed the female jazz and pop professional to sing pitches C4, E4, G4 and C5 in twang as well as phrases from </w:t>
      </w:r>
      <w:proofErr w:type="spellStart"/>
      <w:r>
        <w:rPr>
          <w:rFonts w:ascii="Arial" w:hAnsi="Arial" w:cs="Arial"/>
          <w:shd w:val="clear" w:color="auto" w:fill="FFFFFF"/>
        </w:rPr>
        <w:t>Wolinski’s</w:t>
      </w:r>
      <w:proofErr w:type="spellEnd"/>
      <w:r>
        <w:rPr>
          <w:rFonts w:ascii="Arial" w:hAnsi="Arial" w:cs="Arial"/>
          <w:shd w:val="clear" w:color="auto" w:fill="FFFFFF"/>
        </w:rPr>
        <w:t xml:space="preserve"> “</w:t>
      </w:r>
      <w:proofErr w:type="spellStart"/>
      <w:r>
        <w:rPr>
          <w:rFonts w:ascii="Arial" w:hAnsi="Arial" w:cs="Arial"/>
          <w:i/>
          <w:shd w:val="clear" w:color="auto" w:fill="FFFFFF"/>
        </w:rPr>
        <w:t>Ain’t</w:t>
      </w:r>
      <w:proofErr w:type="spellEnd"/>
      <w:r>
        <w:rPr>
          <w:rFonts w:ascii="Arial" w:hAnsi="Arial" w:cs="Arial"/>
          <w:i/>
          <w:shd w:val="clear" w:color="auto" w:fill="FFFFFF"/>
        </w:rPr>
        <w:t xml:space="preserve"> Nobody”. </w:t>
      </w:r>
      <w:r>
        <w:rPr>
          <w:rFonts w:ascii="Arial" w:hAnsi="Arial" w:cs="Arial"/>
          <w:shd w:val="clear" w:color="auto" w:fill="FFFFFF"/>
        </w:rPr>
        <w:t xml:space="preserve">The latter component was to be sung with the intended lyrics intact and a further instruction of singing the pitch on a </w:t>
      </w:r>
      <w:r w:rsidRPr="002C059D">
        <w:rPr>
          <w:rFonts w:ascii="Arial" w:hAnsi="Arial" w:cs="Arial"/>
          <w:color w:val="000000" w:themeColor="text1"/>
          <w:shd w:val="clear" w:color="auto" w:fill="FFFFFF"/>
        </w:rPr>
        <w:t>/</w:t>
      </w:r>
      <w:proofErr w:type="spellStart"/>
      <w:r w:rsidRPr="002C059D">
        <w:rPr>
          <w:rFonts w:ascii="Arial" w:hAnsi="Arial" w:cs="Arial"/>
          <w:color w:val="000000" w:themeColor="text1"/>
          <w:shd w:val="clear" w:color="auto" w:fill="FFFFFF"/>
        </w:rPr>
        <w:t>pæ</w:t>
      </w:r>
      <w:proofErr w:type="spellEnd"/>
      <w:r w:rsidRPr="002C059D">
        <w:rPr>
          <w:rFonts w:ascii="Arial" w:hAnsi="Arial" w:cs="Arial"/>
          <w:color w:val="000000" w:themeColor="text1"/>
          <w:shd w:val="clear" w:color="auto" w:fill="FFFFFF"/>
        </w:rPr>
        <w:t>/</w:t>
      </w:r>
      <w:r>
        <w:rPr>
          <w:rFonts w:ascii="Arial" w:hAnsi="Arial" w:cs="Arial"/>
          <w:color w:val="000000" w:themeColor="text1"/>
          <w:shd w:val="clear" w:color="auto" w:fill="FFFFFF"/>
        </w:rPr>
        <w:t xml:space="preserve"> sound. In short, researchers Sundberg and </w:t>
      </w:r>
      <w:proofErr w:type="spellStart"/>
      <w:r w:rsidRPr="00F646CF">
        <w:rPr>
          <w:rFonts w:ascii="Arial" w:hAnsi="Arial" w:cs="Arial"/>
          <w:color w:val="000000" w:themeColor="text1"/>
        </w:rPr>
        <w:t>Thalén</w:t>
      </w:r>
      <w:proofErr w:type="spellEnd"/>
      <w:r>
        <w:rPr>
          <w:rFonts w:ascii="Arial" w:hAnsi="Arial" w:cs="Arial"/>
          <w:color w:val="000000" w:themeColor="text1"/>
        </w:rPr>
        <w:t xml:space="preserve"> found that their listeners, with the exception of one rating, recognised the intended twang in the voice of </w:t>
      </w:r>
      <w:r>
        <w:rPr>
          <w:rFonts w:ascii="Arial" w:hAnsi="Arial" w:cs="Arial"/>
          <w:color w:val="000000" w:themeColor="text1"/>
        </w:rPr>
        <w:lastRenderedPageBreak/>
        <w:t xml:space="preserve">their female singer. In addition to these findings, researchers observed the lowering of </w:t>
      </w:r>
      <w:r w:rsidRPr="00D147F8">
        <w:rPr>
          <w:rFonts w:ascii="Arial" w:hAnsi="Arial" w:cs="Arial"/>
          <w:color w:val="000000" w:themeColor="text1"/>
          <w:highlight w:val="red"/>
        </w:rPr>
        <w:t>F</w:t>
      </w:r>
      <w:r w:rsidRPr="00D147F8">
        <w:rPr>
          <w:rFonts w:ascii="Arial" w:hAnsi="Arial" w:cs="Arial"/>
          <w:color w:val="000000" w:themeColor="text1"/>
          <w:sz w:val="15"/>
          <w:highlight w:val="red"/>
        </w:rPr>
        <w:t>3</w:t>
      </w:r>
      <w:r>
        <w:rPr>
          <w:rFonts w:ascii="Arial" w:hAnsi="Arial" w:cs="Arial"/>
          <w:color w:val="000000" w:themeColor="text1"/>
          <w:sz w:val="15"/>
          <w:highlight w:val="red"/>
        </w:rPr>
        <w:t xml:space="preserve"> (DEFINE THIS)</w:t>
      </w:r>
      <w:r w:rsidRPr="00DA1CEC">
        <w:rPr>
          <w:rFonts w:ascii="Arial" w:hAnsi="Arial" w:cs="Arial"/>
          <w:color w:val="000000" w:themeColor="text1"/>
        </w:rPr>
        <w:t>, theorising tha</w:t>
      </w:r>
      <w:r>
        <w:rPr>
          <w:rFonts w:ascii="Arial" w:hAnsi="Arial" w:cs="Arial"/>
          <w:color w:val="000000" w:themeColor="text1"/>
        </w:rPr>
        <w:t xml:space="preserve">t some adjustment is made in the cavity that locates the tip of the tongue and the lower incisors. Sundberg and </w:t>
      </w:r>
      <w:proofErr w:type="spellStart"/>
      <w:r w:rsidRPr="00F646CF">
        <w:rPr>
          <w:rFonts w:ascii="Arial" w:hAnsi="Arial" w:cs="Arial"/>
          <w:color w:val="000000" w:themeColor="text1"/>
        </w:rPr>
        <w:t>Thalén</w:t>
      </w:r>
      <w:proofErr w:type="spellEnd"/>
      <w:r>
        <w:rPr>
          <w:rFonts w:ascii="Arial" w:hAnsi="Arial" w:cs="Arial"/>
          <w:color w:val="000000" w:themeColor="text1"/>
        </w:rPr>
        <w:t xml:space="preserve"> finally conclude with the potential benefits of using twang as a vocal hygiene strategy, which coincides published work </w:t>
      </w:r>
      <w:r w:rsidRPr="00AA7FD7">
        <w:rPr>
          <w:rFonts w:ascii="Arial" w:hAnsi="Arial" w:cs="Arial"/>
          <w:color w:val="000000" w:themeColor="text1"/>
          <w:highlight w:val="red"/>
        </w:rPr>
        <w:t xml:space="preserve">(Lombard and </w:t>
      </w:r>
      <w:proofErr w:type="spellStart"/>
      <w:r w:rsidRPr="00AA7FD7">
        <w:rPr>
          <w:rFonts w:ascii="Arial" w:hAnsi="Arial" w:cs="Arial"/>
          <w:color w:val="000000" w:themeColor="text1"/>
          <w:highlight w:val="red"/>
        </w:rPr>
        <w:t>Steinhauer</w:t>
      </w:r>
      <w:proofErr w:type="spellEnd"/>
      <w:r w:rsidRPr="00AA7FD7">
        <w:rPr>
          <w:rFonts w:ascii="Arial" w:hAnsi="Arial" w:cs="Arial"/>
          <w:color w:val="000000" w:themeColor="text1"/>
          <w:highlight w:val="red"/>
        </w:rPr>
        <w:t>, 2007)</w:t>
      </w:r>
      <w:r>
        <w:rPr>
          <w:rFonts w:ascii="Arial" w:hAnsi="Arial" w:cs="Arial"/>
          <w:color w:val="000000" w:themeColor="text1"/>
          <w:highlight w:val="red"/>
        </w:rPr>
        <w:t>,</w:t>
      </w:r>
      <w:r>
        <w:rPr>
          <w:rFonts w:ascii="Arial" w:hAnsi="Arial" w:cs="Arial"/>
          <w:color w:val="000000" w:themeColor="text1"/>
        </w:rPr>
        <w:t xml:space="preserve"> that conclude in their paper that twang has the clinical capability to provide hypophonic patients with assistance.</w:t>
      </w:r>
    </w:p>
    <w:p w:rsidR="005D671C" w:rsidRDefault="005D671C" w:rsidP="005D671C">
      <w:pPr>
        <w:pStyle w:val="NormalWeb"/>
        <w:spacing w:line="360" w:lineRule="auto"/>
        <w:ind w:left="720"/>
        <w:rPr>
          <w:rFonts w:ascii="Arial" w:hAnsi="Arial" w:cs="Arial"/>
          <w:color w:val="000000" w:themeColor="text1"/>
        </w:rPr>
      </w:pPr>
      <w:r>
        <w:rPr>
          <w:rFonts w:ascii="Arial" w:hAnsi="Arial" w:cs="Arial"/>
          <w:color w:val="000000" w:themeColor="text1"/>
        </w:rPr>
        <w:t xml:space="preserve"> Agreeing with the opportunity of using twang in a clinical setting, </w:t>
      </w:r>
      <w:r w:rsidRPr="00AA7FD7">
        <w:rPr>
          <w:rFonts w:ascii="Arial" w:hAnsi="Arial" w:cs="Arial"/>
          <w:color w:val="000000" w:themeColor="text1"/>
          <w:highlight w:val="red"/>
        </w:rPr>
        <w:t>(Perta, Bae and Obert, 2020)</w:t>
      </w:r>
      <w:r>
        <w:rPr>
          <w:rFonts w:ascii="Arial" w:hAnsi="Arial" w:cs="Arial"/>
          <w:color w:val="000000" w:themeColor="text1"/>
        </w:rPr>
        <w:t xml:space="preserve"> investigated the physiological changes to the vocal tract through </w:t>
      </w:r>
      <w:r w:rsidRPr="00B379EC">
        <w:rPr>
          <w:rFonts w:ascii="Arial" w:hAnsi="Arial" w:cs="Arial"/>
          <w:color w:val="000000" w:themeColor="text1"/>
        </w:rPr>
        <w:t xml:space="preserve">Magnetic </w:t>
      </w:r>
      <w:r>
        <w:rPr>
          <w:rFonts w:ascii="Arial" w:hAnsi="Arial" w:cs="Arial"/>
          <w:color w:val="000000" w:themeColor="text1"/>
        </w:rPr>
        <w:t>R</w:t>
      </w:r>
      <w:r w:rsidRPr="00B379EC">
        <w:rPr>
          <w:rFonts w:ascii="Arial" w:hAnsi="Arial" w:cs="Arial"/>
          <w:color w:val="000000" w:themeColor="text1"/>
        </w:rPr>
        <w:t xml:space="preserve">esonance </w:t>
      </w:r>
      <w:r>
        <w:rPr>
          <w:rFonts w:ascii="Arial" w:hAnsi="Arial" w:cs="Arial"/>
          <w:color w:val="000000" w:themeColor="text1"/>
        </w:rPr>
        <w:t>I</w:t>
      </w:r>
      <w:r w:rsidRPr="00B379EC">
        <w:rPr>
          <w:rFonts w:ascii="Arial" w:hAnsi="Arial" w:cs="Arial"/>
          <w:color w:val="000000" w:themeColor="text1"/>
        </w:rPr>
        <w:t>maging</w:t>
      </w:r>
      <w:r>
        <w:rPr>
          <w:rFonts w:ascii="Arial" w:hAnsi="Arial" w:cs="Arial"/>
          <w:color w:val="000000" w:themeColor="text1"/>
        </w:rPr>
        <w:t xml:space="preserve"> (MRI), with the view of clarifying previous submissions of what constitutes as twang. Whilst the use of an MRI scanner isn’t a newly found approach to voice science, the researchers of this 2020 study are the first of their kind to undergo twang investigation through the means of an MRI. Such means of examination allows the participant to manipulate freely, with no internal obstruction from inspection equipment. This inquiry saw researchers working with five participants (three females and two males) with the age range of 47-61 years. For assuring results, all participants boasted of a wealth of qualification and experience within the professional voice industry. In addition to formal qualification, all partakers were qualified in some capacity with the </w:t>
      </w:r>
      <w:proofErr w:type="spellStart"/>
      <w:r>
        <w:rPr>
          <w:rFonts w:ascii="Arial" w:hAnsi="Arial" w:cs="Arial"/>
          <w:color w:val="000000" w:themeColor="text1"/>
        </w:rPr>
        <w:t>Estill</w:t>
      </w:r>
      <w:proofErr w:type="spellEnd"/>
      <w:r>
        <w:rPr>
          <w:rFonts w:ascii="Arial" w:hAnsi="Arial" w:cs="Arial"/>
          <w:color w:val="000000" w:themeColor="text1"/>
        </w:rPr>
        <w:t xml:space="preserve"> Voice Training programme. The study was perceptually rated, with two panellists rating their perception of twang (%). Researchers prescribed all subjects with a laryngoscopy examination prior to MRI screening. Contributing members performed oral twang, rather than nasal twang whilst laying horizontal in the MRI scanner. Work previously published </w:t>
      </w:r>
      <w:r w:rsidRPr="00AA7FD7">
        <w:rPr>
          <w:rFonts w:ascii="Arial" w:hAnsi="Arial" w:cs="Arial"/>
          <w:color w:val="000000" w:themeColor="text1"/>
          <w:highlight w:val="red"/>
        </w:rPr>
        <w:t>(</w:t>
      </w:r>
      <w:proofErr w:type="spellStart"/>
      <w:r w:rsidRPr="00AA7FD7">
        <w:rPr>
          <w:rFonts w:ascii="Arial" w:hAnsi="Arial" w:cs="Arial"/>
          <w:color w:val="000000" w:themeColor="text1"/>
          <w:highlight w:val="red"/>
        </w:rPr>
        <w:t>Steinhauer</w:t>
      </w:r>
      <w:proofErr w:type="spellEnd"/>
      <w:r w:rsidRPr="00AA7FD7">
        <w:rPr>
          <w:rFonts w:ascii="Arial" w:hAnsi="Arial" w:cs="Arial"/>
          <w:color w:val="000000" w:themeColor="text1"/>
          <w:highlight w:val="red"/>
        </w:rPr>
        <w:t xml:space="preserve">, Mary </w:t>
      </w:r>
      <w:proofErr w:type="spellStart"/>
      <w:r w:rsidRPr="00AA7FD7">
        <w:rPr>
          <w:rFonts w:ascii="Arial" w:hAnsi="Arial" w:cs="Arial"/>
          <w:color w:val="000000" w:themeColor="text1"/>
          <w:highlight w:val="red"/>
        </w:rPr>
        <w:t>Mcdonald</w:t>
      </w:r>
      <w:proofErr w:type="spellEnd"/>
      <w:r w:rsidRPr="00AA7FD7">
        <w:rPr>
          <w:rFonts w:ascii="Arial" w:hAnsi="Arial" w:cs="Arial"/>
          <w:color w:val="000000" w:themeColor="text1"/>
          <w:highlight w:val="red"/>
        </w:rPr>
        <w:t xml:space="preserve"> Klimek and </w:t>
      </w:r>
      <w:proofErr w:type="spellStart"/>
      <w:r w:rsidRPr="00AA7FD7">
        <w:rPr>
          <w:rFonts w:ascii="Arial" w:hAnsi="Arial" w:cs="Arial"/>
          <w:color w:val="000000" w:themeColor="text1"/>
          <w:highlight w:val="red"/>
        </w:rPr>
        <w:t>Estill</w:t>
      </w:r>
      <w:proofErr w:type="spellEnd"/>
      <w:r w:rsidRPr="00AA7FD7">
        <w:rPr>
          <w:rFonts w:ascii="Arial" w:hAnsi="Arial" w:cs="Arial"/>
          <w:color w:val="000000" w:themeColor="text1"/>
          <w:highlight w:val="red"/>
        </w:rPr>
        <w:t>, 2017)</w:t>
      </w:r>
      <w:r>
        <w:rPr>
          <w:rFonts w:ascii="Arial" w:hAnsi="Arial" w:cs="Arial"/>
          <w:color w:val="000000" w:themeColor="text1"/>
          <w:shd w:val="clear" w:color="auto" w:fill="FFFFFF"/>
        </w:rPr>
        <w:t xml:space="preserve"> provides an understanding of both nasal and oral twang with the differentiation being the location of the inferior tip of the soft palate, located posteriorly from the hard palate. Researchers collected the MRI data of two successful participants, whilst the remaining three participants failed to complete the full, necessary brief. They add “d</w:t>
      </w:r>
      <w:r w:rsidRPr="009F3A24">
        <w:rPr>
          <w:rFonts w:ascii="Arial" w:hAnsi="Arial" w:cs="Arial"/>
          <w:color w:val="000000" w:themeColor="text1"/>
          <w:shd w:val="clear" w:color="auto" w:fill="FFFFFF"/>
        </w:rPr>
        <w:t>ifficulties experienced by the participants included inability to sustain the voicing tasks for the entire 18-s scan duration (two females) or produce the targeted twang quality adequately (one male), partly attributable to the lack of auditory feedback due to intense MRI noise</w:t>
      </w:r>
      <w:r>
        <w:rPr>
          <w:rFonts w:ascii="Arial" w:hAnsi="Arial" w:cs="Arial"/>
          <w:color w:val="000000" w:themeColor="text1"/>
          <w:shd w:val="clear" w:color="auto" w:fill="FFFFFF"/>
        </w:rPr>
        <w:t xml:space="preserve">”. This study gives </w:t>
      </w:r>
      <w:r>
        <w:rPr>
          <w:rFonts w:ascii="Arial" w:hAnsi="Arial" w:cs="Arial"/>
          <w:color w:val="000000" w:themeColor="text1"/>
          <w:shd w:val="clear" w:color="auto" w:fill="FFFFFF"/>
        </w:rPr>
        <w:lastRenderedPageBreak/>
        <w:t>confirmation to previous work</w:t>
      </w:r>
      <w:r w:rsidRPr="008038D7">
        <w:rPr>
          <w:rFonts w:ascii="Arial" w:hAnsi="Arial" w:cs="Arial"/>
          <w:color w:val="000000" w:themeColor="text1"/>
          <w:highlight w:val="red"/>
        </w:rPr>
        <w:t>(</w:t>
      </w:r>
      <w:proofErr w:type="spellStart"/>
      <w:r w:rsidRPr="008038D7">
        <w:rPr>
          <w:rFonts w:ascii="Arial" w:hAnsi="Arial" w:cs="Arial"/>
          <w:color w:val="000000" w:themeColor="text1"/>
          <w:highlight w:val="red"/>
        </w:rPr>
        <w:t>Titze</w:t>
      </w:r>
      <w:proofErr w:type="spellEnd"/>
      <w:r w:rsidRPr="008038D7">
        <w:rPr>
          <w:rFonts w:ascii="Arial" w:hAnsi="Arial" w:cs="Arial"/>
          <w:color w:val="000000" w:themeColor="text1"/>
          <w:highlight w:val="red"/>
        </w:rPr>
        <w:t xml:space="preserve"> et al., 2003</w:t>
      </w:r>
      <w:r w:rsidR="00662979">
        <w:rPr>
          <w:rFonts w:ascii="Arial" w:hAnsi="Arial" w:cs="Arial"/>
          <w:color w:val="000000" w:themeColor="text1"/>
          <w:highlight w:val="red"/>
        </w:rPr>
        <w:t xml:space="preserve">; </w:t>
      </w:r>
      <w:r w:rsidRPr="00544611">
        <w:rPr>
          <w:rFonts w:ascii="Arial" w:hAnsi="Arial" w:cs="Arial"/>
          <w:color w:val="000000" w:themeColor="text1"/>
          <w:highlight w:val="red"/>
        </w:rPr>
        <w:t xml:space="preserve">Sundberg and </w:t>
      </w:r>
      <w:proofErr w:type="spellStart"/>
      <w:r w:rsidRPr="00544611">
        <w:rPr>
          <w:rFonts w:ascii="Arial" w:hAnsi="Arial" w:cs="Arial"/>
          <w:color w:val="000000" w:themeColor="text1"/>
          <w:highlight w:val="red"/>
        </w:rPr>
        <w:t>Thalén</w:t>
      </w:r>
      <w:proofErr w:type="spellEnd"/>
      <w:r w:rsidRPr="00544611">
        <w:rPr>
          <w:rFonts w:ascii="Arial" w:hAnsi="Arial" w:cs="Arial"/>
          <w:color w:val="000000" w:themeColor="text1"/>
          <w:highlight w:val="red"/>
        </w:rPr>
        <w:t>, 2010</w:t>
      </w:r>
      <w:r>
        <w:rPr>
          <w:rFonts w:ascii="Arial" w:hAnsi="Arial" w:cs="Arial"/>
          <w:color w:val="000000" w:themeColor="text1"/>
          <w:highlight w:val="red"/>
        </w:rPr>
        <w:t>)</w:t>
      </w:r>
      <w:r>
        <w:rPr>
          <w:rFonts w:ascii="Arial" w:hAnsi="Arial" w:cs="Arial"/>
          <w:color w:val="000000" w:themeColor="text1"/>
          <w:shd w:val="clear" w:color="auto" w:fill="FFFFFF"/>
        </w:rPr>
        <w:t xml:space="preserve"> regarding an elevated vocal tract during twang. Investigators </w:t>
      </w:r>
      <w:r w:rsidRPr="004B07E1">
        <w:rPr>
          <w:rFonts w:ascii="Arial" w:hAnsi="Arial" w:cs="Arial"/>
          <w:color w:val="000000" w:themeColor="text1"/>
        </w:rPr>
        <w:t>Perta, Bae and Obert</w:t>
      </w:r>
      <w:r>
        <w:rPr>
          <w:rFonts w:ascii="Arial" w:hAnsi="Arial" w:cs="Arial"/>
          <w:color w:val="000000" w:themeColor="text1"/>
        </w:rPr>
        <w:t xml:space="preserve"> </w:t>
      </w:r>
      <w:r w:rsidRPr="002D68CE">
        <w:rPr>
          <w:rFonts w:ascii="Arial" w:hAnsi="Arial" w:cs="Arial"/>
          <w:color w:val="000000" w:themeColor="text1"/>
          <w:highlight w:val="green"/>
        </w:rPr>
        <w:t>analysed the velar height.</w:t>
      </w:r>
      <w:r>
        <w:rPr>
          <w:rFonts w:ascii="Arial" w:hAnsi="Arial" w:cs="Arial"/>
          <w:color w:val="000000" w:themeColor="text1"/>
        </w:rPr>
        <w:t xml:space="preserve"> </w:t>
      </w:r>
      <w:r>
        <w:rPr>
          <w:rFonts w:ascii="Arial" w:hAnsi="Arial" w:cs="Arial"/>
          <w:color w:val="000000" w:themeColor="text1"/>
          <w:shd w:val="clear" w:color="auto" w:fill="FFFFFF"/>
        </w:rPr>
        <w:t xml:space="preserve"> This research also endorses the submission by </w:t>
      </w:r>
      <w:r w:rsidRPr="008038D7">
        <w:rPr>
          <w:rFonts w:ascii="Arial" w:hAnsi="Arial" w:cs="Arial"/>
          <w:color w:val="000000" w:themeColor="text1"/>
          <w:highlight w:val="red"/>
        </w:rPr>
        <w:t>(</w:t>
      </w:r>
      <w:proofErr w:type="spellStart"/>
      <w:r w:rsidRPr="008038D7">
        <w:rPr>
          <w:rFonts w:ascii="Arial" w:hAnsi="Arial" w:cs="Arial"/>
          <w:color w:val="000000" w:themeColor="text1"/>
          <w:highlight w:val="red"/>
        </w:rPr>
        <w:t>Titze</w:t>
      </w:r>
      <w:proofErr w:type="spellEnd"/>
      <w:r w:rsidRPr="008038D7">
        <w:rPr>
          <w:rFonts w:ascii="Arial" w:hAnsi="Arial" w:cs="Arial"/>
          <w:color w:val="000000" w:themeColor="text1"/>
          <w:highlight w:val="red"/>
        </w:rPr>
        <w:t xml:space="preserve"> et al., 2003</w:t>
      </w:r>
      <w:r>
        <w:rPr>
          <w:rFonts w:ascii="Arial" w:hAnsi="Arial" w:cs="Arial"/>
          <w:color w:val="000000" w:themeColor="text1"/>
          <w:highlight w:val="red"/>
        </w:rPr>
        <w:t>),</w:t>
      </w:r>
      <w:r>
        <w:rPr>
          <w:rFonts w:ascii="Arial" w:hAnsi="Arial" w:cs="Arial"/>
          <w:color w:val="000000" w:themeColor="text1"/>
          <w:shd w:val="clear" w:color="auto" w:fill="FFFFFF"/>
        </w:rPr>
        <w:t xml:space="preserve"> noting that there is evident lateral pharyngeal narrowing during twang, giving debate to</w:t>
      </w:r>
      <w:r w:rsidR="00662979">
        <w:rPr>
          <w:rFonts w:ascii="Arial" w:hAnsi="Arial" w:cs="Arial"/>
          <w:color w:val="000000" w:themeColor="text1"/>
          <w:shd w:val="clear" w:color="auto" w:fill="FFFFFF"/>
        </w:rPr>
        <w:t xml:space="preserve"> previous work (</w:t>
      </w:r>
      <w:r w:rsidR="00662979" w:rsidRPr="00544611">
        <w:rPr>
          <w:rFonts w:ascii="Arial" w:hAnsi="Arial" w:cs="Arial"/>
          <w:color w:val="000000" w:themeColor="text1"/>
          <w:highlight w:val="red"/>
        </w:rPr>
        <w:t xml:space="preserve">Sundberg and </w:t>
      </w:r>
      <w:proofErr w:type="spellStart"/>
      <w:r w:rsidR="00662979" w:rsidRPr="00544611">
        <w:rPr>
          <w:rFonts w:ascii="Arial" w:hAnsi="Arial" w:cs="Arial"/>
          <w:color w:val="000000" w:themeColor="text1"/>
          <w:highlight w:val="red"/>
        </w:rPr>
        <w:t>Thalén</w:t>
      </w:r>
      <w:proofErr w:type="spellEnd"/>
      <w:r w:rsidR="00662979" w:rsidRPr="00544611">
        <w:rPr>
          <w:rFonts w:ascii="Arial" w:hAnsi="Arial" w:cs="Arial"/>
          <w:color w:val="000000" w:themeColor="text1"/>
          <w:highlight w:val="red"/>
        </w:rPr>
        <w:t>, 2010</w:t>
      </w:r>
      <w:r w:rsidR="00662979">
        <w:rPr>
          <w:rFonts w:ascii="Arial" w:hAnsi="Arial" w:cs="Arial"/>
          <w:color w:val="000000" w:themeColor="text1"/>
          <w:highlight w:val="red"/>
        </w:rPr>
        <w:t xml:space="preserve">). </w:t>
      </w:r>
      <w:r>
        <w:rPr>
          <w:rFonts w:ascii="Arial" w:hAnsi="Arial" w:cs="Arial"/>
          <w:color w:val="000000" w:themeColor="text1"/>
          <w:shd w:val="clear" w:color="auto" w:fill="FFFFFF"/>
        </w:rPr>
        <w:t>The study discusses the possibility of using consistent terminology to describe the new physiological findings, proposing the use of “</w:t>
      </w:r>
      <w:proofErr w:type="spellStart"/>
      <w:r>
        <w:rPr>
          <w:rFonts w:ascii="Arial" w:hAnsi="Arial" w:cs="Arial"/>
          <w:color w:val="000000" w:themeColor="text1"/>
          <w:shd w:val="clear" w:color="auto" w:fill="FFFFFF"/>
        </w:rPr>
        <w:t>supralaryngeal</w:t>
      </w:r>
      <w:proofErr w:type="spellEnd"/>
      <w:r>
        <w:rPr>
          <w:rFonts w:ascii="Arial" w:hAnsi="Arial" w:cs="Arial"/>
          <w:color w:val="000000" w:themeColor="text1"/>
          <w:shd w:val="clear" w:color="auto" w:fill="FFFFFF"/>
        </w:rPr>
        <w:t xml:space="preserve"> narrowing”, which is a shift in research from previous findings </w:t>
      </w:r>
      <w:r w:rsidRPr="00AA7FD7">
        <w:rPr>
          <w:rFonts w:ascii="Arial" w:hAnsi="Arial" w:cs="Arial"/>
          <w:color w:val="000000" w:themeColor="text1"/>
          <w:highlight w:val="red"/>
        </w:rPr>
        <w:t>(</w:t>
      </w:r>
      <w:proofErr w:type="spellStart"/>
      <w:r w:rsidRPr="00AA7FD7">
        <w:rPr>
          <w:rFonts w:ascii="Arial" w:hAnsi="Arial" w:cs="Arial"/>
          <w:color w:val="000000" w:themeColor="text1"/>
          <w:highlight w:val="red"/>
        </w:rPr>
        <w:t>Steinhauer</w:t>
      </w:r>
      <w:proofErr w:type="spellEnd"/>
      <w:r w:rsidRPr="00AA7FD7">
        <w:rPr>
          <w:rFonts w:ascii="Arial" w:hAnsi="Arial" w:cs="Arial"/>
          <w:color w:val="000000" w:themeColor="text1"/>
          <w:highlight w:val="red"/>
        </w:rPr>
        <w:t xml:space="preserve">, Mary </w:t>
      </w:r>
      <w:proofErr w:type="spellStart"/>
      <w:r w:rsidRPr="00AA7FD7">
        <w:rPr>
          <w:rFonts w:ascii="Arial" w:hAnsi="Arial" w:cs="Arial"/>
          <w:color w:val="000000" w:themeColor="text1"/>
          <w:highlight w:val="red"/>
        </w:rPr>
        <w:t>Mcdonald</w:t>
      </w:r>
      <w:proofErr w:type="spellEnd"/>
      <w:r w:rsidRPr="00AA7FD7">
        <w:rPr>
          <w:rFonts w:ascii="Arial" w:hAnsi="Arial" w:cs="Arial"/>
          <w:color w:val="000000" w:themeColor="text1"/>
          <w:highlight w:val="red"/>
        </w:rPr>
        <w:t xml:space="preserve"> Klimek and </w:t>
      </w:r>
      <w:proofErr w:type="spellStart"/>
      <w:r w:rsidRPr="00AA7FD7">
        <w:rPr>
          <w:rFonts w:ascii="Arial" w:hAnsi="Arial" w:cs="Arial"/>
          <w:color w:val="000000" w:themeColor="text1"/>
          <w:highlight w:val="red"/>
        </w:rPr>
        <w:t>Estill</w:t>
      </w:r>
      <w:proofErr w:type="spellEnd"/>
      <w:r w:rsidRPr="00AA7FD7">
        <w:rPr>
          <w:rFonts w:ascii="Arial" w:hAnsi="Arial" w:cs="Arial"/>
          <w:color w:val="000000" w:themeColor="text1"/>
          <w:highlight w:val="red"/>
        </w:rPr>
        <w:t>, 2017)</w:t>
      </w:r>
      <w:r>
        <w:rPr>
          <w:rFonts w:ascii="Arial" w:hAnsi="Arial" w:cs="Arial"/>
          <w:color w:val="000000" w:themeColor="text1"/>
          <w:highlight w:val="red"/>
        </w:rPr>
        <w:t xml:space="preserve"> </w:t>
      </w:r>
      <w:r>
        <w:rPr>
          <w:rFonts w:ascii="Arial" w:hAnsi="Arial" w:cs="Arial"/>
          <w:color w:val="000000" w:themeColor="text1"/>
          <w:shd w:val="clear" w:color="auto" w:fill="FFFFFF"/>
        </w:rPr>
        <w:t xml:space="preserve">that give support to the notion of aryepiglottic constriction. Contributing to twang theory, the researchers observed the disappearance of the vallecular void during twang. The perception test component of the study found that both judges identified the intended twang samples within the pool of deliberate, randomised samples of varying vocal placements. Authors discuss their limitations, which gives scope for further study “the supine position of the subjects in the typical MRI environment may affect the position of the larynx and the jaw during the voicing tasks, with the larynx more elevated and the jaw more protruded than in the upright position. Thus, the degree of laryngeal elevation in the present study might have been attenuated because the larynx was already heightened </w:t>
      </w:r>
      <w:r w:rsidRPr="002D68CE">
        <w:rPr>
          <w:rFonts w:ascii="Arial" w:hAnsi="Arial" w:cs="Arial"/>
          <w:color w:val="000000" w:themeColor="text1"/>
          <w:shd w:val="clear" w:color="auto" w:fill="FFFFFF"/>
        </w:rPr>
        <w:t>by</w:t>
      </w:r>
      <w:r>
        <w:rPr>
          <w:rFonts w:ascii="Arial" w:hAnsi="Arial" w:cs="Arial"/>
          <w:color w:val="000000" w:themeColor="text1"/>
          <w:shd w:val="clear" w:color="auto" w:fill="FFFFFF"/>
        </w:rPr>
        <w:t xml:space="preserve"> nature of the supine position” </w:t>
      </w:r>
      <w:r w:rsidRPr="00AA7FD7">
        <w:rPr>
          <w:rFonts w:ascii="Arial" w:hAnsi="Arial" w:cs="Arial"/>
          <w:color w:val="000000" w:themeColor="text1"/>
          <w:highlight w:val="red"/>
        </w:rPr>
        <w:t>(Perta, Bae and Obert, 2020</w:t>
      </w:r>
      <w:r w:rsidR="00662979">
        <w:rPr>
          <w:rFonts w:ascii="Arial" w:hAnsi="Arial" w:cs="Arial"/>
          <w:color w:val="000000" w:themeColor="text1"/>
          <w:highlight w:val="red"/>
        </w:rPr>
        <w:t>,</w:t>
      </w:r>
      <w:r>
        <w:rPr>
          <w:rFonts w:ascii="Arial" w:hAnsi="Arial" w:cs="Arial"/>
          <w:color w:val="000000" w:themeColor="text1"/>
          <w:highlight w:val="red"/>
        </w:rPr>
        <w:t xml:space="preserve"> </w:t>
      </w:r>
      <w:r w:rsidR="00662979">
        <w:rPr>
          <w:rFonts w:ascii="Arial" w:hAnsi="Arial" w:cs="Arial"/>
          <w:color w:val="000000" w:themeColor="text1"/>
          <w:highlight w:val="red"/>
        </w:rPr>
        <w:t>p</w:t>
      </w:r>
      <w:r>
        <w:rPr>
          <w:rFonts w:ascii="Arial" w:hAnsi="Arial" w:cs="Arial"/>
          <w:color w:val="000000" w:themeColor="text1"/>
          <w:highlight w:val="red"/>
        </w:rPr>
        <w:t>.</w:t>
      </w:r>
      <w:r w:rsidR="00662979">
        <w:rPr>
          <w:rFonts w:ascii="Arial" w:hAnsi="Arial" w:cs="Arial"/>
          <w:color w:val="000000" w:themeColor="text1"/>
          <w:highlight w:val="red"/>
        </w:rPr>
        <w:t xml:space="preserve"> </w:t>
      </w:r>
      <w:r>
        <w:rPr>
          <w:rFonts w:ascii="Arial" w:hAnsi="Arial" w:cs="Arial"/>
          <w:color w:val="000000" w:themeColor="text1"/>
          <w:highlight w:val="red"/>
        </w:rPr>
        <w:t>6</w:t>
      </w:r>
      <w:r w:rsidRPr="00AA7FD7">
        <w:rPr>
          <w:rFonts w:ascii="Arial" w:hAnsi="Arial" w:cs="Arial"/>
          <w:color w:val="000000" w:themeColor="text1"/>
          <w:highlight w:val="red"/>
        </w:rPr>
        <w:t>)</w:t>
      </w:r>
      <w:r>
        <w:rPr>
          <w:rFonts w:ascii="Arial" w:hAnsi="Arial" w:cs="Arial"/>
          <w:color w:val="000000" w:themeColor="text1"/>
          <w:highlight w:val="red"/>
        </w:rPr>
        <w:t xml:space="preserve">. </w:t>
      </w:r>
      <w:r>
        <w:rPr>
          <w:rFonts w:ascii="Arial" w:hAnsi="Arial" w:cs="Arial"/>
          <w:color w:val="000000" w:themeColor="text1"/>
        </w:rPr>
        <w:t xml:space="preserve">Recognising this limitation doesn’t detract from previous findings </w:t>
      </w:r>
      <w:r w:rsidRPr="0071622C">
        <w:rPr>
          <w:rFonts w:ascii="Arial" w:hAnsi="Arial" w:cs="Arial"/>
          <w:color w:val="000000" w:themeColor="text1"/>
          <w:highlight w:val="red"/>
          <w:shd w:val="clear" w:color="auto" w:fill="FFFFFF"/>
        </w:rPr>
        <w:t>(Yanagisawa et al., 1989)</w:t>
      </w:r>
      <w:r>
        <w:rPr>
          <w:rFonts w:ascii="Arial" w:hAnsi="Arial" w:cs="Arial"/>
          <w:color w:val="000000" w:themeColor="text1"/>
        </w:rPr>
        <w:t>that correlate laryngeal height with twang. It is noted that an examination of the aryepiglottic territory whilst the subject is performing twang through the means of an MRI would offer further clarification as to whether the subject uses aryepiglottic narrowing.</w:t>
      </w:r>
    </w:p>
    <w:p w:rsidR="00742AD9" w:rsidRDefault="00742AD9" w:rsidP="005D671C">
      <w:pPr>
        <w:pStyle w:val="NormalWeb"/>
        <w:spacing w:line="360" w:lineRule="auto"/>
        <w:ind w:left="720"/>
        <w:rPr>
          <w:rFonts w:ascii="Arial" w:hAnsi="Arial" w:cs="Arial"/>
          <w:color w:val="000000" w:themeColor="text1"/>
        </w:rPr>
      </w:pPr>
    </w:p>
    <w:p w:rsidR="00742AD9" w:rsidRDefault="00742AD9" w:rsidP="005D671C">
      <w:pPr>
        <w:pStyle w:val="NormalWeb"/>
        <w:spacing w:line="360" w:lineRule="auto"/>
        <w:ind w:left="720"/>
        <w:rPr>
          <w:rFonts w:ascii="Arial" w:hAnsi="Arial" w:cs="Arial"/>
          <w:color w:val="000000" w:themeColor="text1"/>
        </w:rPr>
      </w:pPr>
    </w:p>
    <w:p w:rsidR="00742AD9" w:rsidRDefault="00742AD9" w:rsidP="005D671C">
      <w:pPr>
        <w:pStyle w:val="NormalWeb"/>
        <w:spacing w:line="360" w:lineRule="auto"/>
        <w:ind w:left="720"/>
        <w:rPr>
          <w:rFonts w:ascii="Arial" w:hAnsi="Arial" w:cs="Arial"/>
          <w:color w:val="000000" w:themeColor="text1"/>
        </w:rPr>
      </w:pPr>
    </w:p>
    <w:p w:rsidR="00742AD9" w:rsidRDefault="00742AD9" w:rsidP="005D671C">
      <w:pPr>
        <w:pStyle w:val="NormalWeb"/>
        <w:spacing w:line="360" w:lineRule="auto"/>
        <w:ind w:left="720"/>
        <w:rPr>
          <w:rFonts w:ascii="Arial" w:hAnsi="Arial" w:cs="Arial"/>
          <w:color w:val="000000" w:themeColor="text1"/>
        </w:rPr>
      </w:pPr>
    </w:p>
    <w:p w:rsidR="00414A16" w:rsidRDefault="00414A16" w:rsidP="00F11967">
      <w:pPr>
        <w:pStyle w:val="NormalWeb"/>
        <w:spacing w:line="360" w:lineRule="auto"/>
        <w:ind w:left="720"/>
        <w:rPr>
          <w:rFonts w:ascii="Arial" w:hAnsi="Arial" w:cs="Arial"/>
          <w:color w:val="000000" w:themeColor="text1"/>
        </w:rPr>
      </w:pPr>
      <w:r>
        <w:rPr>
          <w:rFonts w:ascii="Arial" w:hAnsi="Arial" w:cs="Arial"/>
          <w:color w:val="000000" w:themeColor="text1"/>
        </w:rPr>
        <w:lastRenderedPageBreak/>
        <w:t>Synthesising the studies above from key theorists, we can summarise their hypothesis and findings:</w:t>
      </w:r>
    </w:p>
    <w:p w:rsidR="00F11967" w:rsidRPr="00F11967" w:rsidRDefault="00F11967" w:rsidP="00F11967">
      <w:pPr>
        <w:pStyle w:val="NormalWeb"/>
        <w:numPr>
          <w:ilvl w:val="0"/>
          <w:numId w:val="3"/>
        </w:numPr>
        <w:spacing w:line="360" w:lineRule="auto"/>
        <w:rPr>
          <w:rFonts w:ascii="Arial" w:hAnsi="Arial" w:cs="Arial"/>
          <w:color w:val="000000" w:themeColor="text1"/>
        </w:rPr>
      </w:pPr>
      <w:r w:rsidRPr="00BD35EE">
        <w:rPr>
          <w:rFonts w:ascii="Arial" w:hAnsi="Arial" w:cs="Arial"/>
          <w:b/>
          <w:color w:val="000000" w:themeColor="text1"/>
        </w:rPr>
        <w:t>Paget, 1930</w:t>
      </w:r>
      <w:r w:rsidR="00742AD9">
        <w:rPr>
          <w:rFonts w:ascii="Arial" w:hAnsi="Arial" w:cs="Arial"/>
          <w:color w:val="000000" w:themeColor="text1"/>
        </w:rPr>
        <w:br/>
      </w:r>
      <w:r w:rsidR="00742AD9">
        <w:rPr>
          <w:rFonts w:ascii="Arial" w:hAnsi="Arial" w:cs="Arial"/>
          <w:color w:val="000000" w:themeColor="text1"/>
        </w:rPr>
        <w:t>- Defining this new phenomenon as ‘nasal quality’</w:t>
      </w:r>
      <w:r w:rsidR="00742AD9">
        <w:rPr>
          <w:rFonts w:ascii="Arial" w:hAnsi="Arial" w:cs="Arial"/>
          <w:color w:val="000000" w:themeColor="text1"/>
        </w:rPr>
        <w:t>;</w:t>
      </w:r>
      <w:r w:rsidRPr="00F11967">
        <w:rPr>
          <w:rFonts w:ascii="Arial" w:hAnsi="Arial" w:cs="Arial"/>
          <w:color w:val="000000" w:themeColor="text1"/>
        </w:rPr>
        <w:br/>
        <w:t>- Narrowing of some pharyngeal space</w:t>
      </w:r>
      <w:r w:rsidR="00742AD9">
        <w:rPr>
          <w:rFonts w:ascii="Arial" w:hAnsi="Arial" w:cs="Arial"/>
          <w:color w:val="000000" w:themeColor="text1"/>
        </w:rPr>
        <w:t>;</w:t>
      </w:r>
      <w:r>
        <w:rPr>
          <w:rFonts w:ascii="Arial" w:hAnsi="Arial" w:cs="Arial"/>
          <w:color w:val="000000" w:themeColor="text1"/>
        </w:rPr>
        <w:br/>
        <w:t xml:space="preserve">- </w:t>
      </w:r>
      <w:r w:rsidR="00742AD9">
        <w:rPr>
          <w:rFonts w:ascii="Arial" w:hAnsi="Arial" w:cs="Arial"/>
          <w:color w:val="000000" w:themeColor="text1"/>
        </w:rPr>
        <w:t>Experimented with a rubber model, representing the human voice components.</w:t>
      </w:r>
      <w:r w:rsidR="00742AD9">
        <w:rPr>
          <w:rFonts w:ascii="Arial" w:hAnsi="Arial" w:cs="Arial"/>
          <w:color w:val="000000" w:themeColor="text1"/>
        </w:rPr>
        <w:br/>
      </w:r>
    </w:p>
    <w:p w:rsidR="00BD35EE" w:rsidRPr="00BD35EE" w:rsidRDefault="00F11967" w:rsidP="00BD35EE">
      <w:pPr>
        <w:pStyle w:val="NormalWeb"/>
        <w:numPr>
          <w:ilvl w:val="0"/>
          <w:numId w:val="3"/>
        </w:numPr>
        <w:spacing w:line="360" w:lineRule="auto"/>
        <w:rPr>
          <w:rFonts w:ascii="Arial" w:hAnsi="Arial" w:cs="Arial"/>
          <w:color w:val="000000" w:themeColor="text1"/>
        </w:rPr>
      </w:pPr>
      <w:r w:rsidRPr="00BD35EE">
        <w:rPr>
          <w:rFonts w:ascii="Arial" w:hAnsi="Arial" w:cs="Arial"/>
          <w:b/>
          <w:color w:val="000000" w:themeColor="text1"/>
          <w:shd w:val="clear" w:color="auto" w:fill="FFFFFF"/>
        </w:rPr>
        <w:t>Yanagisawa et al., 1989</w:t>
      </w:r>
      <w:r w:rsidR="00742AD9">
        <w:rPr>
          <w:rFonts w:ascii="Arial" w:hAnsi="Arial" w:cs="Arial"/>
          <w:color w:val="000000" w:themeColor="text1"/>
          <w:shd w:val="clear" w:color="auto" w:fill="FFFFFF"/>
        </w:rPr>
        <w:br/>
        <w:t>- Endoscopic study with five subjects;</w:t>
      </w:r>
      <w:r w:rsidR="00742AD9">
        <w:rPr>
          <w:rFonts w:ascii="Arial" w:hAnsi="Arial" w:cs="Arial"/>
          <w:color w:val="000000" w:themeColor="text1"/>
        </w:rPr>
        <w:br/>
        <w:t>- Discovered aryepiglottic constriction</w:t>
      </w:r>
      <w:r w:rsidR="00BD35EE">
        <w:rPr>
          <w:rFonts w:ascii="Arial" w:hAnsi="Arial" w:cs="Arial"/>
          <w:color w:val="000000" w:themeColor="text1"/>
        </w:rPr>
        <w:t>;</w:t>
      </w:r>
      <w:r w:rsidR="00BD35EE">
        <w:rPr>
          <w:rFonts w:ascii="Arial" w:hAnsi="Arial" w:cs="Arial"/>
          <w:color w:val="000000" w:themeColor="text1"/>
        </w:rPr>
        <w:br/>
        <w:t>- Suggests twang can be the result of some tubercle or epiglottis    movement, posteriorly;</w:t>
      </w:r>
      <w:r w:rsidR="00BD35EE">
        <w:rPr>
          <w:rFonts w:ascii="Arial" w:hAnsi="Arial" w:cs="Arial"/>
          <w:color w:val="000000" w:themeColor="text1"/>
        </w:rPr>
        <w:br/>
        <w:t>- Promotes high tongue, with a retracted tongue base;</w:t>
      </w:r>
      <w:r w:rsidR="00BD35EE">
        <w:rPr>
          <w:rFonts w:ascii="Arial" w:hAnsi="Arial" w:cs="Arial"/>
          <w:color w:val="000000" w:themeColor="text1"/>
        </w:rPr>
        <w:br/>
        <w:t>- Associated with hillbilly singing.</w:t>
      </w:r>
      <w:r w:rsidR="00BD35EE">
        <w:rPr>
          <w:rFonts w:ascii="Arial" w:hAnsi="Arial" w:cs="Arial"/>
          <w:color w:val="000000" w:themeColor="text1"/>
        </w:rPr>
        <w:br/>
      </w:r>
    </w:p>
    <w:p w:rsidR="00F11967" w:rsidRPr="00BD35EE" w:rsidRDefault="00F11967" w:rsidP="00BD35EE">
      <w:pPr>
        <w:pStyle w:val="NormalWeb"/>
        <w:numPr>
          <w:ilvl w:val="0"/>
          <w:numId w:val="3"/>
        </w:numPr>
        <w:spacing w:line="360" w:lineRule="auto"/>
        <w:rPr>
          <w:rFonts w:ascii="Arial" w:hAnsi="Arial" w:cs="Arial"/>
          <w:color w:val="000000" w:themeColor="text1"/>
        </w:rPr>
      </w:pPr>
      <w:proofErr w:type="spellStart"/>
      <w:r w:rsidRPr="00916A81">
        <w:rPr>
          <w:rFonts w:ascii="Arial" w:hAnsi="Arial" w:cs="Arial"/>
          <w:b/>
          <w:color w:val="000000" w:themeColor="text1"/>
        </w:rPr>
        <w:t>Titze</w:t>
      </w:r>
      <w:proofErr w:type="spellEnd"/>
      <w:r w:rsidRPr="00916A81">
        <w:rPr>
          <w:rFonts w:ascii="Arial" w:hAnsi="Arial" w:cs="Arial"/>
          <w:b/>
          <w:color w:val="000000" w:themeColor="text1"/>
        </w:rPr>
        <w:t xml:space="preserve"> et al., 2003</w:t>
      </w:r>
      <w:r w:rsidR="00BD35EE">
        <w:rPr>
          <w:rFonts w:ascii="Arial" w:hAnsi="Arial" w:cs="Arial"/>
          <w:color w:val="000000" w:themeColor="text1"/>
        </w:rPr>
        <w:br/>
        <w:t>- Computer generated model, perceptually tested;</w:t>
      </w:r>
      <w:r w:rsidR="00BD35EE">
        <w:rPr>
          <w:rFonts w:ascii="Arial" w:hAnsi="Arial" w:cs="Arial"/>
          <w:color w:val="000000" w:themeColor="text1"/>
        </w:rPr>
        <w:br/>
        <w:t>- Greater closed quotient;</w:t>
      </w:r>
      <w:r w:rsidR="00BD35EE">
        <w:rPr>
          <w:rFonts w:ascii="Arial" w:hAnsi="Arial" w:cs="Arial"/>
          <w:color w:val="000000" w:themeColor="text1"/>
        </w:rPr>
        <w:br/>
        <w:t>- Medial narrowing of the pharyngeal wall;</w:t>
      </w:r>
      <w:r w:rsidR="00C4359A">
        <w:rPr>
          <w:rFonts w:ascii="Arial" w:hAnsi="Arial" w:cs="Arial"/>
          <w:color w:val="000000" w:themeColor="text1"/>
        </w:rPr>
        <w:br/>
        <w:t>- Shorter vocal tract.</w:t>
      </w:r>
      <w:r w:rsidR="00BD35EE">
        <w:rPr>
          <w:rFonts w:ascii="Arial" w:hAnsi="Arial" w:cs="Arial"/>
          <w:color w:val="000000" w:themeColor="text1"/>
        </w:rPr>
        <w:br/>
      </w:r>
    </w:p>
    <w:p w:rsidR="00916A81" w:rsidRPr="00916A81" w:rsidRDefault="00F11967" w:rsidP="00916A81">
      <w:pPr>
        <w:pStyle w:val="NormalWeb"/>
        <w:numPr>
          <w:ilvl w:val="0"/>
          <w:numId w:val="3"/>
        </w:numPr>
        <w:spacing w:line="360" w:lineRule="auto"/>
        <w:rPr>
          <w:rFonts w:ascii="Arial" w:hAnsi="Arial" w:cs="Arial"/>
          <w:color w:val="000000" w:themeColor="text1"/>
        </w:rPr>
      </w:pPr>
      <w:r w:rsidRPr="00F11967">
        <w:rPr>
          <w:rFonts w:ascii="Arial" w:hAnsi="Arial" w:cs="Arial"/>
          <w:color w:val="000000" w:themeColor="text1"/>
        </w:rPr>
        <w:t xml:space="preserve">Sundberg and </w:t>
      </w:r>
      <w:proofErr w:type="spellStart"/>
      <w:r w:rsidRPr="00F11967">
        <w:rPr>
          <w:rFonts w:ascii="Arial" w:hAnsi="Arial" w:cs="Arial"/>
          <w:color w:val="000000" w:themeColor="text1"/>
        </w:rPr>
        <w:t>Thalén</w:t>
      </w:r>
      <w:proofErr w:type="spellEnd"/>
      <w:r w:rsidRPr="00F11967">
        <w:rPr>
          <w:rFonts w:ascii="Arial" w:hAnsi="Arial" w:cs="Arial"/>
          <w:color w:val="000000" w:themeColor="text1"/>
        </w:rPr>
        <w:t>, 2010</w:t>
      </w:r>
      <w:r w:rsidR="00916A81">
        <w:rPr>
          <w:rFonts w:ascii="Arial" w:hAnsi="Arial" w:cs="Arial"/>
          <w:color w:val="000000" w:themeColor="text1"/>
        </w:rPr>
        <w:br/>
        <w:t xml:space="preserve">- Perceptually rated study (six </w:t>
      </w:r>
      <w:proofErr w:type="spellStart"/>
      <w:r w:rsidR="00916A81">
        <w:rPr>
          <w:rFonts w:ascii="Arial" w:hAnsi="Arial" w:cs="Arial"/>
          <w:color w:val="000000" w:themeColor="text1"/>
        </w:rPr>
        <w:t>panallists</w:t>
      </w:r>
      <w:proofErr w:type="spellEnd"/>
      <w:r w:rsidR="00916A81">
        <w:rPr>
          <w:rFonts w:ascii="Arial" w:hAnsi="Arial" w:cs="Arial"/>
          <w:color w:val="000000" w:themeColor="text1"/>
        </w:rPr>
        <w:t>);</w:t>
      </w:r>
      <w:r w:rsidR="00916A81">
        <w:rPr>
          <w:rFonts w:ascii="Arial" w:hAnsi="Arial" w:cs="Arial"/>
          <w:color w:val="000000" w:themeColor="text1"/>
        </w:rPr>
        <w:br/>
        <w:t>- One female subject;</w:t>
      </w:r>
      <w:r w:rsidR="00916A81">
        <w:rPr>
          <w:rFonts w:ascii="Arial" w:hAnsi="Arial" w:cs="Arial"/>
          <w:color w:val="000000" w:themeColor="text1"/>
        </w:rPr>
        <w:br/>
        <w:t>- AP pharyngeal narrowing;</w:t>
      </w:r>
      <w:r w:rsidR="00916A81">
        <w:rPr>
          <w:rFonts w:ascii="Arial" w:hAnsi="Arial" w:cs="Arial"/>
          <w:color w:val="000000" w:themeColor="text1"/>
        </w:rPr>
        <w:br/>
        <w:t>- Greater closed quotient</w:t>
      </w:r>
      <w:r w:rsidR="00916A81">
        <w:rPr>
          <w:rFonts w:ascii="Arial" w:hAnsi="Arial" w:cs="Arial"/>
          <w:color w:val="000000" w:themeColor="text1"/>
        </w:rPr>
        <w:br/>
        <w:t>- Suggestion of an additional factor to twang that involves the cavity between the tongue and the lower</w:t>
      </w:r>
      <w:r w:rsidR="00916A81" w:rsidRPr="00916A81">
        <w:rPr>
          <w:rFonts w:ascii="Arial" w:hAnsi="Arial" w:cs="Arial"/>
          <w:color w:val="000000" w:themeColor="text1"/>
        </w:rPr>
        <w:t xml:space="preserve"> </w:t>
      </w:r>
      <w:r w:rsidR="00916A81">
        <w:rPr>
          <w:rFonts w:ascii="Arial" w:hAnsi="Arial" w:cs="Arial"/>
          <w:color w:val="000000" w:themeColor="text1"/>
        </w:rPr>
        <w:t>incisors</w:t>
      </w:r>
      <w:r w:rsidR="00916A81">
        <w:rPr>
          <w:rFonts w:ascii="Arial" w:hAnsi="Arial" w:cs="Arial"/>
          <w:color w:val="000000" w:themeColor="text1"/>
        </w:rPr>
        <w:t>;</w:t>
      </w:r>
      <w:r w:rsidR="00916A81">
        <w:rPr>
          <w:rFonts w:ascii="Arial" w:hAnsi="Arial" w:cs="Arial"/>
          <w:color w:val="000000" w:themeColor="text1"/>
        </w:rPr>
        <w:br/>
      </w:r>
    </w:p>
    <w:p w:rsidR="00916A81" w:rsidRPr="00916A81" w:rsidRDefault="00F11967" w:rsidP="00916A81">
      <w:pPr>
        <w:pStyle w:val="NormalWeb"/>
        <w:numPr>
          <w:ilvl w:val="0"/>
          <w:numId w:val="3"/>
        </w:numPr>
        <w:spacing w:line="360" w:lineRule="auto"/>
        <w:rPr>
          <w:rFonts w:ascii="Arial" w:hAnsi="Arial" w:cs="Arial"/>
          <w:color w:val="000000" w:themeColor="text1"/>
        </w:rPr>
      </w:pPr>
      <w:r w:rsidRPr="00F11967">
        <w:rPr>
          <w:rFonts w:ascii="Arial" w:hAnsi="Arial" w:cs="Arial"/>
          <w:color w:val="000000" w:themeColor="text1"/>
        </w:rPr>
        <w:t>Perta, Bae and Obert, 2020</w:t>
      </w:r>
      <w:r w:rsidR="00916A81">
        <w:rPr>
          <w:rFonts w:ascii="Arial" w:hAnsi="Arial" w:cs="Arial"/>
          <w:color w:val="000000" w:themeColor="text1"/>
        </w:rPr>
        <w:br/>
        <w:t>- MRI investigation with five subjects (two of which were counted as successful data in the results);</w:t>
      </w:r>
      <w:r w:rsidR="00916A81">
        <w:rPr>
          <w:rFonts w:ascii="Arial" w:hAnsi="Arial" w:cs="Arial"/>
          <w:color w:val="000000" w:themeColor="text1"/>
        </w:rPr>
        <w:br/>
      </w:r>
      <w:r w:rsidR="00916A81">
        <w:rPr>
          <w:rFonts w:ascii="Arial" w:hAnsi="Arial" w:cs="Arial"/>
          <w:color w:val="000000" w:themeColor="text1"/>
        </w:rPr>
        <w:lastRenderedPageBreak/>
        <w:t>- Short vocal tract;</w:t>
      </w:r>
      <w:r w:rsidR="00916A81">
        <w:rPr>
          <w:rFonts w:ascii="Arial" w:hAnsi="Arial" w:cs="Arial"/>
          <w:color w:val="000000" w:themeColor="text1"/>
        </w:rPr>
        <w:br/>
        <w:t>- Medial pharyngeal narrowing;</w:t>
      </w:r>
      <w:r w:rsidR="00916A81">
        <w:rPr>
          <w:rFonts w:ascii="Arial" w:hAnsi="Arial" w:cs="Arial"/>
          <w:color w:val="000000" w:themeColor="text1"/>
        </w:rPr>
        <w:br/>
      </w:r>
      <w:r w:rsidR="00916A81">
        <w:rPr>
          <w:rFonts w:ascii="Arial" w:hAnsi="Arial" w:cs="Arial"/>
          <w:color w:val="000000" w:themeColor="text1"/>
        </w:rPr>
        <w:t>- Greater closed quotient</w:t>
      </w:r>
      <w:r w:rsidR="00916A81">
        <w:rPr>
          <w:rFonts w:ascii="Arial" w:hAnsi="Arial" w:cs="Arial"/>
          <w:color w:val="000000" w:themeColor="text1"/>
        </w:rPr>
        <w:t>;</w:t>
      </w:r>
      <w:r w:rsidR="00916A81">
        <w:rPr>
          <w:rFonts w:ascii="Arial" w:hAnsi="Arial" w:cs="Arial"/>
          <w:color w:val="000000" w:themeColor="text1"/>
        </w:rPr>
        <w:br/>
        <w:t>- Tongue retraction.</w:t>
      </w:r>
    </w:p>
    <w:p w:rsidR="005D671C" w:rsidRDefault="005D671C" w:rsidP="005D671C">
      <w:pPr>
        <w:pStyle w:val="NormalWeb"/>
        <w:spacing w:line="360" w:lineRule="auto"/>
        <w:ind w:left="720"/>
        <w:rPr>
          <w:rFonts w:ascii="Arial" w:hAnsi="Arial" w:cs="Arial"/>
          <w:color w:val="000000" w:themeColor="text1"/>
        </w:rPr>
      </w:pPr>
      <w:r>
        <w:rPr>
          <w:rFonts w:ascii="Arial" w:hAnsi="Arial" w:cs="Arial"/>
          <w:color w:val="000000" w:themeColor="text1"/>
        </w:rPr>
        <w:t>I accept findings from all scientific studies, though through research I find the following the most useful to take forward into my own practice, but not limiting to:</w:t>
      </w:r>
    </w:p>
    <w:p w:rsidR="005D671C" w:rsidRPr="004563E9" w:rsidRDefault="005D671C" w:rsidP="005D671C">
      <w:pPr>
        <w:pStyle w:val="NormalWeb"/>
        <w:numPr>
          <w:ilvl w:val="0"/>
          <w:numId w:val="1"/>
        </w:numPr>
        <w:spacing w:line="360" w:lineRule="auto"/>
        <w:rPr>
          <w:rFonts w:ascii="Arial" w:hAnsi="Arial" w:cs="Arial"/>
          <w:color w:val="000000" w:themeColor="text1"/>
        </w:rPr>
      </w:pPr>
      <w:r w:rsidRPr="004563E9">
        <w:rPr>
          <w:rFonts w:ascii="Arial" w:hAnsi="Arial" w:cs="Arial"/>
          <w:b/>
          <w:color w:val="000000" w:themeColor="text1"/>
        </w:rPr>
        <w:t>Vocal tract height</w:t>
      </w:r>
      <w:r>
        <w:rPr>
          <w:rFonts w:ascii="Arial" w:hAnsi="Arial" w:cs="Arial"/>
          <w:color w:val="000000" w:themeColor="text1"/>
        </w:rPr>
        <w:t xml:space="preserve"> </w:t>
      </w:r>
      <w:r>
        <w:rPr>
          <w:rFonts w:ascii="Arial" w:hAnsi="Arial" w:cs="Arial"/>
          <w:color w:val="000000" w:themeColor="text1"/>
        </w:rPr>
        <w:br/>
        <w:t xml:space="preserve">I recognise from recent research </w:t>
      </w:r>
      <w:r w:rsidRPr="003E5457">
        <w:rPr>
          <w:rFonts w:ascii="Arial" w:hAnsi="Arial" w:cs="Arial"/>
          <w:color w:val="000000" w:themeColor="text1"/>
        </w:rPr>
        <w:t>(Perta, Bae and Obert, 2020</w:t>
      </w:r>
      <w:r>
        <w:rPr>
          <w:rFonts w:ascii="Arial" w:hAnsi="Arial" w:cs="Arial"/>
          <w:color w:val="000000" w:themeColor="text1"/>
        </w:rPr>
        <w:t>) the importance of laryngeal height during the placement of twang.</w:t>
      </w:r>
    </w:p>
    <w:p w:rsidR="005D671C" w:rsidRPr="003E5457" w:rsidRDefault="005D671C" w:rsidP="005D671C">
      <w:pPr>
        <w:pStyle w:val="NormalWeb"/>
        <w:spacing w:line="360" w:lineRule="auto"/>
        <w:ind w:left="1440"/>
        <w:rPr>
          <w:rFonts w:ascii="Arial" w:hAnsi="Arial" w:cs="Arial"/>
          <w:color w:val="000000" w:themeColor="text1"/>
        </w:rPr>
      </w:pPr>
    </w:p>
    <w:p w:rsidR="005D671C" w:rsidRDefault="005D671C" w:rsidP="005D671C">
      <w:pPr>
        <w:pStyle w:val="NormalWeb"/>
        <w:numPr>
          <w:ilvl w:val="0"/>
          <w:numId w:val="1"/>
        </w:numPr>
        <w:spacing w:line="360" w:lineRule="auto"/>
        <w:rPr>
          <w:rFonts w:ascii="Arial" w:hAnsi="Arial" w:cs="Arial"/>
          <w:color w:val="000000" w:themeColor="text1"/>
        </w:rPr>
      </w:pPr>
      <w:r w:rsidRPr="004563E9">
        <w:rPr>
          <w:rFonts w:ascii="Arial" w:hAnsi="Arial" w:cs="Arial"/>
          <w:b/>
          <w:color w:val="000000" w:themeColor="text1"/>
        </w:rPr>
        <w:t>Narrowed pharyngeal space</w:t>
      </w:r>
      <w:r>
        <w:rPr>
          <w:rFonts w:ascii="Arial" w:hAnsi="Arial" w:cs="Arial"/>
          <w:color w:val="000000" w:themeColor="text1"/>
        </w:rPr>
        <w:br/>
        <w:t xml:space="preserve">This leading concept has been dominant in works </w:t>
      </w:r>
      <w:r w:rsidRPr="00A04A3C">
        <w:rPr>
          <w:rFonts w:ascii="Arial" w:hAnsi="Arial" w:cs="Arial"/>
          <w:color w:val="000000" w:themeColor="text1"/>
          <w:highlight w:val="red"/>
        </w:rPr>
        <w:t>(Paget, 1930</w:t>
      </w:r>
      <w:r w:rsidRPr="00A04A3C">
        <w:rPr>
          <w:rFonts w:ascii="Arial" w:hAnsi="Arial" w:cs="Arial"/>
          <w:color w:val="000000" w:themeColor="text1"/>
          <w:highlight w:val="red"/>
          <w:shd w:val="clear" w:color="auto" w:fill="FFFFFF"/>
        </w:rPr>
        <w:t xml:space="preserve">; </w:t>
      </w:r>
      <w:proofErr w:type="spellStart"/>
      <w:r w:rsidRPr="00A04A3C">
        <w:rPr>
          <w:rFonts w:ascii="Arial" w:hAnsi="Arial" w:cs="Arial"/>
          <w:color w:val="000000" w:themeColor="text1"/>
          <w:highlight w:val="red"/>
        </w:rPr>
        <w:t>Titze</w:t>
      </w:r>
      <w:proofErr w:type="spellEnd"/>
      <w:r w:rsidRPr="00A04A3C">
        <w:rPr>
          <w:rFonts w:ascii="Arial" w:hAnsi="Arial" w:cs="Arial"/>
          <w:color w:val="000000" w:themeColor="text1"/>
          <w:highlight w:val="red"/>
        </w:rPr>
        <w:t xml:space="preserve"> et al., 2003; Sundberg and </w:t>
      </w:r>
      <w:proofErr w:type="spellStart"/>
      <w:r w:rsidRPr="00A04A3C">
        <w:rPr>
          <w:rFonts w:ascii="Arial" w:hAnsi="Arial" w:cs="Arial"/>
          <w:color w:val="000000" w:themeColor="text1"/>
          <w:highlight w:val="red"/>
        </w:rPr>
        <w:t>Thalén</w:t>
      </w:r>
      <w:proofErr w:type="spellEnd"/>
      <w:r w:rsidRPr="00A04A3C">
        <w:rPr>
          <w:rFonts w:ascii="Arial" w:hAnsi="Arial" w:cs="Arial"/>
          <w:color w:val="000000" w:themeColor="text1"/>
          <w:highlight w:val="red"/>
        </w:rPr>
        <w:t>, 2010; Perta, Bae and Obert, 2020</w:t>
      </w:r>
      <w:r w:rsidRPr="004563E9">
        <w:rPr>
          <w:rFonts w:ascii="Arial" w:hAnsi="Arial" w:cs="Arial"/>
          <w:color w:val="000000" w:themeColor="text1"/>
        </w:rPr>
        <w:t>)</w:t>
      </w:r>
      <w:r>
        <w:rPr>
          <w:rFonts w:ascii="Arial" w:hAnsi="Arial" w:cs="Arial"/>
          <w:color w:val="000000" w:themeColor="text1"/>
        </w:rPr>
        <w:t>. Though there is still effort to clarify if there is AP or medial narrowing, regardless there is clear evidence in the studies above of some form of “</w:t>
      </w:r>
      <w:proofErr w:type="spellStart"/>
      <w:r>
        <w:rPr>
          <w:rFonts w:ascii="Arial" w:hAnsi="Arial" w:cs="Arial"/>
          <w:color w:val="000000" w:themeColor="text1"/>
        </w:rPr>
        <w:t>supralaryngeal</w:t>
      </w:r>
      <w:proofErr w:type="spellEnd"/>
      <w:r>
        <w:rPr>
          <w:rFonts w:ascii="Arial" w:hAnsi="Arial" w:cs="Arial"/>
          <w:color w:val="000000" w:themeColor="text1"/>
        </w:rPr>
        <w:t xml:space="preserve"> narrowing”, a newly found proposed definition from recent work </w:t>
      </w:r>
      <w:r w:rsidRPr="00A04A3C">
        <w:rPr>
          <w:rFonts w:ascii="Arial" w:hAnsi="Arial" w:cs="Arial"/>
          <w:color w:val="000000" w:themeColor="text1"/>
          <w:highlight w:val="red"/>
        </w:rPr>
        <w:t>(Perta, Bae and Obert, 2020, p. 6)</w:t>
      </w:r>
      <w:r>
        <w:rPr>
          <w:rFonts w:ascii="Arial" w:hAnsi="Arial" w:cs="Arial"/>
          <w:color w:val="000000" w:themeColor="text1"/>
          <w:highlight w:val="red"/>
        </w:rPr>
        <w:t>.</w:t>
      </w:r>
    </w:p>
    <w:p w:rsidR="005D671C" w:rsidRDefault="005D671C" w:rsidP="005D671C">
      <w:pPr>
        <w:pStyle w:val="NormalWeb"/>
        <w:spacing w:line="360" w:lineRule="auto"/>
        <w:ind w:left="1440"/>
        <w:rPr>
          <w:rFonts w:ascii="Arial" w:hAnsi="Arial" w:cs="Arial"/>
          <w:color w:val="000000" w:themeColor="text1"/>
        </w:rPr>
      </w:pPr>
    </w:p>
    <w:p w:rsidR="005D671C" w:rsidRDefault="005D671C" w:rsidP="005D671C">
      <w:pPr>
        <w:pStyle w:val="NormalWeb"/>
        <w:numPr>
          <w:ilvl w:val="0"/>
          <w:numId w:val="1"/>
        </w:numPr>
        <w:spacing w:line="360" w:lineRule="auto"/>
        <w:rPr>
          <w:rFonts w:ascii="Arial" w:hAnsi="Arial" w:cs="Arial"/>
          <w:color w:val="000000" w:themeColor="text1"/>
        </w:rPr>
      </w:pPr>
      <w:r w:rsidRPr="00A04A3C">
        <w:rPr>
          <w:rFonts w:ascii="Arial" w:hAnsi="Arial" w:cs="Arial"/>
          <w:b/>
          <w:color w:val="000000" w:themeColor="text1"/>
        </w:rPr>
        <w:t>Fronted, heightened tongue position</w:t>
      </w:r>
      <w:r>
        <w:rPr>
          <w:rFonts w:ascii="Arial" w:hAnsi="Arial" w:cs="Arial"/>
          <w:color w:val="000000" w:themeColor="text1"/>
        </w:rPr>
        <w:br/>
        <w:t>Complementing the notion of a shorter vocal tract, the fronted, heightened tongue (</w:t>
      </w:r>
      <w:r w:rsidRPr="0071622C">
        <w:rPr>
          <w:rFonts w:ascii="Arial" w:hAnsi="Arial" w:cs="Arial"/>
          <w:color w:val="000000" w:themeColor="text1"/>
          <w:highlight w:val="red"/>
          <w:shd w:val="clear" w:color="auto" w:fill="FFFFFF"/>
        </w:rPr>
        <w:t>Yanagisawa et al., 1989</w:t>
      </w:r>
      <w:r>
        <w:rPr>
          <w:rFonts w:ascii="Arial" w:hAnsi="Arial" w:cs="Arial"/>
          <w:color w:val="000000" w:themeColor="text1"/>
          <w:highlight w:val="red"/>
          <w:shd w:val="clear" w:color="auto" w:fill="FFFFFF"/>
        </w:rPr>
        <w:t>;</w:t>
      </w:r>
      <w:r>
        <w:rPr>
          <w:rFonts w:ascii="Arial" w:hAnsi="Arial" w:cs="Arial"/>
          <w:color w:val="000000" w:themeColor="text1"/>
        </w:rPr>
        <w:t xml:space="preserve"> </w:t>
      </w:r>
      <w:proofErr w:type="spellStart"/>
      <w:r w:rsidRPr="00AA7FD7">
        <w:rPr>
          <w:rFonts w:ascii="Arial" w:hAnsi="Arial" w:cs="Arial"/>
          <w:color w:val="000000" w:themeColor="text1"/>
          <w:highlight w:val="red"/>
        </w:rPr>
        <w:t>Steinhauer</w:t>
      </w:r>
      <w:proofErr w:type="spellEnd"/>
      <w:r w:rsidRPr="00AA7FD7">
        <w:rPr>
          <w:rFonts w:ascii="Arial" w:hAnsi="Arial" w:cs="Arial"/>
          <w:color w:val="000000" w:themeColor="text1"/>
          <w:highlight w:val="red"/>
        </w:rPr>
        <w:t xml:space="preserve">, Mary </w:t>
      </w:r>
      <w:proofErr w:type="spellStart"/>
      <w:r w:rsidRPr="00AA7FD7">
        <w:rPr>
          <w:rFonts w:ascii="Arial" w:hAnsi="Arial" w:cs="Arial"/>
          <w:color w:val="000000" w:themeColor="text1"/>
          <w:highlight w:val="red"/>
        </w:rPr>
        <w:t>Mcdonald</w:t>
      </w:r>
      <w:proofErr w:type="spellEnd"/>
      <w:r w:rsidRPr="00AA7FD7">
        <w:rPr>
          <w:rFonts w:ascii="Arial" w:hAnsi="Arial" w:cs="Arial"/>
          <w:color w:val="000000" w:themeColor="text1"/>
          <w:highlight w:val="red"/>
        </w:rPr>
        <w:t xml:space="preserve"> Klimek and </w:t>
      </w:r>
      <w:proofErr w:type="spellStart"/>
      <w:r w:rsidRPr="00AA7FD7">
        <w:rPr>
          <w:rFonts w:ascii="Arial" w:hAnsi="Arial" w:cs="Arial"/>
          <w:color w:val="000000" w:themeColor="text1"/>
          <w:highlight w:val="red"/>
        </w:rPr>
        <w:t>Estill</w:t>
      </w:r>
      <w:proofErr w:type="spellEnd"/>
      <w:r w:rsidRPr="00AA7FD7">
        <w:rPr>
          <w:rFonts w:ascii="Arial" w:hAnsi="Arial" w:cs="Arial"/>
          <w:color w:val="000000" w:themeColor="text1"/>
          <w:highlight w:val="red"/>
        </w:rPr>
        <w:t>, 2017</w:t>
      </w:r>
      <w:r>
        <w:rPr>
          <w:rFonts w:ascii="Arial" w:hAnsi="Arial" w:cs="Arial"/>
          <w:color w:val="000000" w:themeColor="text1"/>
          <w:highlight w:val="red"/>
        </w:rPr>
        <w:t xml:space="preserve">) </w:t>
      </w:r>
      <w:r>
        <w:rPr>
          <w:rFonts w:ascii="Arial" w:hAnsi="Arial" w:cs="Arial"/>
          <w:color w:val="000000" w:themeColor="text1"/>
        </w:rPr>
        <w:t>has been documented to help the perception of twang</w:t>
      </w:r>
      <w:r w:rsidRPr="00A04A3C">
        <w:rPr>
          <w:rFonts w:ascii="Arial" w:hAnsi="Arial" w:cs="Arial"/>
          <w:color w:val="000000" w:themeColor="text1"/>
        </w:rPr>
        <w:t xml:space="preserve"> </w:t>
      </w:r>
      <w:r>
        <w:rPr>
          <w:rFonts w:ascii="Arial" w:hAnsi="Arial" w:cs="Arial"/>
          <w:color w:val="000000" w:themeColor="text1"/>
          <w:highlight w:val="red"/>
        </w:rPr>
        <w:t>(</w:t>
      </w:r>
      <w:r w:rsidRPr="00A04A3C">
        <w:rPr>
          <w:rFonts w:ascii="Arial" w:hAnsi="Arial" w:cs="Arial"/>
          <w:color w:val="000000" w:themeColor="text1"/>
          <w:highlight w:val="red"/>
        </w:rPr>
        <w:t>Perta, Bae and Obert, 2020</w:t>
      </w:r>
      <w:r>
        <w:rPr>
          <w:rFonts w:ascii="Arial" w:hAnsi="Arial" w:cs="Arial"/>
          <w:color w:val="000000" w:themeColor="text1"/>
          <w:highlight w:val="red"/>
        </w:rPr>
        <w:t xml:space="preserve">). </w:t>
      </w:r>
      <w:r w:rsidRPr="000D5D21">
        <w:rPr>
          <w:rFonts w:ascii="Arial" w:hAnsi="Arial" w:cs="Arial"/>
          <w:color w:val="000000" w:themeColor="text1"/>
        </w:rPr>
        <w:t xml:space="preserve">It would </w:t>
      </w:r>
      <w:r>
        <w:rPr>
          <w:rFonts w:ascii="Arial" w:hAnsi="Arial" w:cs="Arial"/>
          <w:color w:val="000000" w:themeColor="text1"/>
        </w:rPr>
        <w:t xml:space="preserve">seem logical to include a retracted tongue base to aid the shortening of the vocal tract. </w:t>
      </w:r>
    </w:p>
    <w:p w:rsidR="005D671C" w:rsidRPr="000D5D21" w:rsidRDefault="005D671C" w:rsidP="005D671C">
      <w:pPr>
        <w:pStyle w:val="NormalWeb"/>
        <w:spacing w:line="360" w:lineRule="auto"/>
        <w:rPr>
          <w:rFonts w:ascii="Arial" w:hAnsi="Arial" w:cs="Arial"/>
          <w:color w:val="000000" w:themeColor="text1"/>
        </w:rPr>
      </w:pPr>
    </w:p>
    <w:p w:rsidR="005D671C" w:rsidRPr="00E25283" w:rsidRDefault="005D671C" w:rsidP="005D671C">
      <w:pPr>
        <w:pStyle w:val="NormalWeb"/>
        <w:numPr>
          <w:ilvl w:val="0"/>
          <w:numId w:val="1"/>
        </w:numPr>
        <w:spacing w:line="360" w:lineRule="auto"/>
        <w:rPr>
          <w:rFonts w:ascii="Arial" w:hAnsi="Arial" w:cs="Arial"/>
          <w:b/>
          <w:color w:val="000000" w:themeColor="text1"/>
        </w:rPr>
      </w:pPr>
      <w:r w:rsidRPr="00E25283">
        <w:rPr>
          <w:rFonts w:ascii="Arial" w:hAnsi="Arial" w:cs="Arial"/>
          <w:b/>
          <w:color w:val="000000" w:themeColor="text1"/>
        </w:rPr>
        <w:lastRenderedPageBreak/>
        <w:t xml:space="preserve">Greater closed quotient </w:t>
      </w:r>
      <w:r>
        <w:rPr>
          <w:rFonts w:ascii="Arial" w:hAnsi="Arial" w:cs="Arial"/>
          <w:b/>
          <w:color w:val="000000" w:themeColor="text1"/>
        </w:rPr>
        <w:br/>
      </w:r>
      <w:r>
        <w:rPr>
          <w:rFonts w:ascii="Arial" w:hAnsi="Arial" w:cs="Arial"/>
          <w:color w:val="000000" w:themeColor="text1"/>
        </w:rPr>
        <w:t>Research promotes the degree of closed quotient as a component of twang (</w:t>
      </w:r>
      <w:proofErr w:type="spellStart"/>
      <w:r w:rsidRPr="00A04A3C">
        <w:rPr>
          <w:rFonts w:ascii="Arial" w:hAnsi="Arial" w:cs="Arial"/>
          <w:color w:val="000000" w:themeColor="text1"/>
          <w:highlight w:val="red"/>
        </w:rPr>
        <w:t>Titze</w:t>
      </w:r>
      <w:proofErr w:type="spellEnd"/>
      <w:r w:rsidRPr="00A04A3C">
        <w:rPr>
          <w:rFonts w:ascii="Arial" w:hAnsi="Arial" w:cs="Arial"/>
          <w:color w:val="000000" w:themeColor="text1"/>
          <w:highlight w:val="red"/>
        </w:rPr>
        <w:t xml:space="preserve"> et al., 2003;</w:t>
      </w:r>
      <w:r>
        <w:rPr>
          <w:rFonts w:ascii="Arial" w:hAnsi="Arial" w:cs="Arial"/>
          <w:color w:val="000000" w:themeColor="text1"/>
        </w:rPr>
        <w:t xml:space="preserve"> </w:t>
      </w:r>
      <w:r w:rsidRPr="00A04A3C">
        <w:rPr>
          <w:rFonts w:ascii="Arial" w:hAnsi="Arial" w:cs="Arial"/>
          <w:color w:val="000000" w:themeColor="text1"/>
          <w:highlight w:val="red"/>
        </w:rPr>
        <w:t xml:space="preserve">Sundberg and </w:t>
      </w:r>
      <w:proofErr w:type="spellStart"/>
      <w:r w:rsidRPr="00A04A3C">
        <w:rPr>
          <w:rFonts w:ascii="Arial" w:hAnsi="Arial" w:cs="Arial"/>
          <w:color w:val="000000" w:themeColor="text1"/>
          <w:highlight w:val="red"/>
        </w:rPr>
        <w:t>Thalén</w:t>
      </w:r>
      <w:proofErr w:type="spellEnd"/>
      <w:r w:rsidRPr="00A04A3C">
        <w:rPr>
          <w:rFonts w:ascii="Arial" w:hAnsi="Arial" w:cs="Arial"/>
          <w:color w:val="000000" w:themeColor="text1"/>
          <w:highlight w:val="red"/>
        </w:rPr>
        <w:t>, 2010</w:t>
      </w:r>
      <w:r>
        <w:rPr>
          <w:rFonts w:ascii="Arial" w:hAnsi="Arial" w:cs="Arial"/>
          <w:color w:val="000000" w:themeColor="text1"/>
          <w:highlight w:val="red"/>
        </w:rPr>
        <w:t xml:space="preserve">). </w:t>
      </w:r>
      <w:r>
        <w:rPr>
          <w:rFonts w:ascii="Arial" w:hAnsi="Arial" w:cs="Arial"/>
          <w:color w:val="000000" w:themeColor="text1"/>
        </w:rPr>
        <w:t>These findings are endorsed in most works (</w:t>
      </w:r>
      <w:proofErr w:type="spellStart"/>
      <w:r w:rsidRPr="00E25283">
        <w:rPr>
          <w:rFonts w:ascii="Arial" w:hAnsi="Arial" w:cs="Arial"/>
          <w:color w:val="000000" w:themeColor="text1"/>
        </w:rPr>
        <w:t>Saldías</w:t>
      </w:r>
      <w:proofErr w:type="spellEnd"/>
      <w:r w:rsidRPr="00E25283">
        <w:rPr>
          <w:rFonts w:ascii="Arial" w:hAnsi="Arial" w:cs="Arial"/>
          <w:color w:val="000000" w:themeColor="text1"/>
        </w:rPr>
        <w:t xml:space="preserve"> et al., 2020</w:t>
      </w:r>
      <w:r>
        <w:rPr>
          <w:rFonts w:ascii="Arial" w:hAnsi="Arial" w:cs="Arial"/>
          <w:color w:val="000000" w:themeColor="text1"/>
        </w:rPr>
        <w:t xml:space="preserve">; </w:t>
      </w:r>
      <w:r w:rsidRPr="00A04A3C">
        <w:rPr>
          <w:rFonts w:ascii="Arial" w:hAnsi="Arial" w:cs="Arial"/>
          <w:color w:val="000000" w:themeColor="text1"/>
          <w:highlight w:val="red"/>
        </w:rPr>
        <w:t>Perta, Bae and Obert, 2020</w:t>
      </w:r>
      <w:r>
        <w:rPr>
          <w:rFonts w:ascii="Arial" w:hAnsi="Arial" w:cs="Arial"/>
          <w:color w:val="000000" w:themeColor="text1"/>
          <w:highlight w:val="red"/>
        </w:rPr>
        <w:t>).</w:t>
      </w:r>
      <w:r>
        <w:rPr>
          <w:rFonts w:ascii="Arial" w:hAnsi="Arial" w:cs="Arial"/>
          <w:color w:val="000000" w:themeColor="text1"/>
        </w:rPr>
        <w:t xml:space="preserve"> With researchers (</w:t>
      </w:r>
      <w:r w:rsidRPr="00A04A3C">
        <w:rPr>
          <w:rFonts w:ascii="Arial" w:hAnsi="Arial" w:cs="Arial"/>
          <w:color w:val="000000" w:themeColor="text1"/>
          <w:highlight w:val="red"/>
        </w:rPr>
        <w:t>Perta, Bae and Obert, 2020</w:t>
      </w:r>
      <w:r>
        <w:rPr>
          <w:rFonts w:ascii="Arial" w:hAnsi="Arial" w:cs="Arial"/>
          <w:color w:val="000000" w:themeColor="text1"/>
          <w:highlight w:val="red"/>
        </w:rPr>
        <w:t>)</w:t>
      </w:r>
      <w:r>
        <w:rPr>
          <w:rFonts w:ascii="Arial" w:hAnsi="Arial" w:cs="Arial"/>
          <w:color w:val="000000" w:themeColor="text1"/>
        </w:rPr>
        <w:t xml:space="preserve"> adding their view of a smaller quotient complements the control of airflow; voicing a decrease of breathiness in the sound.</w:t>
      </w:r>
    </w:p>
    <w:p w:rsidR="0073278F" w:rsidRDefault="00662979"/>
    <w:sectPr w:rsidR="0073278F" w:rsidSect="002E5B71">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C486ECF"/>
    <w:multiLevelType w:val="hybridMultilevel"/>
    <w:tmpl w:val="A5AC5E7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 w15:restartNumberingAfterBreak="0">
    <w:nsid w:val="35ED7B0D"/>
    <w:multiLevelType w:val="hybridMultilevel"/>
    <w:tmpl w:val="C896C460"/>
    <w:lvl w:ilvl="0" w:tplc="04090001">
      <w:start w:val="1"/>
      <w:numFmt w:val="bullet"/>
      <w:lvlText w:val=""/>
      <w:lvlJc w:val="left"/>
      <w:pPr>
        <w:ind w:left="1440" w:hanging="360"/>
      </w:pPr>
      <w:rPr>
        <w:rFonts w:ascii="Symbol" w:hAnsi="Symbol" w:hint="default"/>
      </w:rPr>
    </w:lvl>
    <w:lvl w:ilvl="1" w:tplc="04090003">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15:restartNumberingAfterBreak="0">
    <w:nsid w:val="459102BB"/>
    <w:multiLevelType w:val="hybridMultilevel"/>
    <w:tmpl w:val="F758AF82"/>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1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671C"/>
    <w:rsid w:val="002E5B71"/>
    <w:rsid w:val="00414A16"/>
    <w:rsid w:val="005D671C"/>
    <w:rsid w:val="00662979"/>
    <w:rsid w:val="00742AD9"/>
    <w:rsid w:val="00916A81"/>
    <w:rsid w:val="00BD35EE"/>
    <w:rsid w:val="00C4359A"/>
    <w:rsid w:val="00D87425"/>
    <w:rsid w:val="00F119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251842C"/>
  <w15:chartTrackingRefBased/>
  <w15:docId w15:val="{99EE8CB5-7D56-144D-AE0C-FE57CB7AC7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D671C"/>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D671C"/>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38</TotalTime>
  <Pages>8</Pages>
  <Words>2099</Words>
  <Characters>11970</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4</cp:revision>
  <dcterms:created xsi:type="dcterms:W3CDTF">2020-10-22T12:31:00Z</dcterms:created>
  <dcterms:modified xsi:type="dcterms:W3CDTF">2020-10-22T13:24:00Z</dcterms:modified>
</cp:coreProperties>
</file>