
<file path=[Content_Types].xml><?xml version="1.0" encoding="utf-8"?>
<Types xmlns="http://schemas.openxmlformats.org/package/2006/content-types">
  <Default ContentType="image/png" Extension="png"/>
  <Default ContentType="image/jpeg" Extension="jpeg"/>
  <Default ContentType="image/jpeg" Extension="jpg"/>
  <Default ContentType="image/bmp" Extension="bmp"/>
  <Default ContentType="image/gif" Extension="gif"/>
  <Default ContentType="image/svg+xml" Extension="svg"/>
  <Default ContentType="application/vnd.openxmlformats-package.relationships+xml" Extension="rels"/>
  <Default ContentType="application/xml" Extension="xml"/>
  <Default ContentType="application/vnd.openxmlformats-officedocument.obfuscatedFont" Extension="odttf"/>
  <Override ContentType="application/vnd.openxmlformats-officedocument.wordprocessingml.document.main+xml" PartName="/word/document.xml"/>
  <Override ContentType="application/vnd.openxmlformats-officedocument.wordprocessingml.styles+xml" PartName="/word/styles.xml"/>
  <Override ContentType="application/vnd.openxmlformats-package.core-properties+xml" PartName="/docProps/core.xml"/>
  <Override ContentType="application/vnd.openxmlformats-officedocument.custom-properties+xml" PartName="/docProps/custom.xml"/>
  <Override ContentType="application/vnd.openxmlformats-officedocument.extended-properties+xml" PartName="/docProps/app.xml"/>
  <Override ContentType="application/vnd.openxmlformats-officedocument.wordprocessingml.numbering+xml" PartName="/word/numbering.xml"/>
  <Override ContentType="application/vnd.openxmlformats-officedocument.wordprocessingml.footnotes+xml" PartName="/word/footnotes.xml"/>
  <Override ContentType="application/vnd.openxmlformats-officedocument.wordprocessingml.endnotes+xml" PartName="/word/endnotes.xml"/>
  <Override ContentType="application/vnd.openxmlformats-officedocument.wordprocessingml.settings+xml" PartName="/word/settings.xml"/>
  <Override ContentType="application/vnd.openxmlformats-officedocument.wordprocessingml.comments+xml" PartName="/word/comments.xml"/>
  <Override ContentType="application/vnd.openxmlformats-officedocument.wordprocessingml.fontTable+xml" PartName="/word/fontTable.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tbl>
      <w:tblPr>
        <w:tblW w:type="dxa" w:w="9026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>
        <w:tc>
          <w:tcPr>
            <w:tcW w:type="dxa" w:w="9026"/>
            <w:tcBorders>
              <w:top w:val="none"/>
              <w:left w:val="none"/>
              <w:bottom w:val="none"/>
              <w:right w:val="none"/>
            </w:tcBorders>
            <w:shd w:fill="1B2A4A" w:val="clear"/>
            <w:tcMar>
              <w:top w:type="dxa" w:w="140"/>
              <w:left w:type="dxa" w:w="240"/>
              <w:bottom w:type="dxa" w:w="140"/>
              <w:right w:type="dxa" w:w="240"/>
            </w:tcMar>
          </w:tcPr>
          <w:p>
            <w:pPr>
              <w:spacing w:after="0" w:before="0"/>
            </w:pPr>
            <w:r>
              <w:rPr>
                <w:rFonts w:ascii="Cambria" w:cs="Cambria" w:eastAsia="Cambria" w:hAnsi="Cambria"/>
                <w:b/>
                <w:bCs/>
                <w:color w:val="FFFFFF"/>
                <w:sz w:val="28"/>
                <w:szCs w:val="28"/>
              </w:rPr>
              <w:t xml:space="preserve">LCDB7007  |  Theory and the Pilot Study  |  Activity 2 Handout</w:t>
            </w:r>
          </w:p>
        </w:tc>
      </w:tr>
    </w:tbl>
    <w:p>
      <w:pPr>
        <w:spacing w:after="120" w:before="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/>
      </w:r>
    </w:p>
    <w:p>
      <w:pPr>
        <w:pStyle w:val="Heading1"/>
        <w:spacing w:after="160" w:before="0"/>
      </w:pPr>
      <w:r>
        <w:rPr>
          <w:rFonts w:ascii="Cambria" w:cs="Cambria" w:eastAsia="Cambria" w:hAnsi="Cambria"/>
          <w:b/>
          <w:bCs/>
          <w:color w:val="1B2A4A"/>
          <w:sz w:val="34"/>
          <w:szCs w:val="34"/>
        </w:rPr>
        <w:t xml:space="preserve">Handout A: Evaluating a Multi-Theoretical Framework</w:t>
      </w:r>
    </w:p>
    <w:p>
      <w:pPr>
        <w:spacing w:after="120" w:before="60"/>
      </w:pPr>
      <w:r>
        <w:rPr>
          <w:rFonts w:ascii="Calibri" w:cs="Calibri" w:eastAsia="Calibri" w:hAnsi="Calibri"/>
          <w:color w:val="607085"/>
          <w:sz w:val="22"/>
          <w:szCs w:val="22"/>
        </w:rPr>
        <w:t xml:space="preserve">Read the following theoretical framework extract carefully. It is drawn from a fictional doctoral research proposal on responsible gambling. After reading, complete the evaluation task on the final page.</w:t>
      </w:r>
    </w:p>
    <w:p>
      <w:pPr>
        <w:spacing w:after="120" w:before="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/>
      </w:r>
    </w:p>
    <w:tbl>
      <w:tblPr>
        <w:tblW w:type="dxa" w:w="9026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>
        <w:tc>
          <w:tcPr>
            <w:tcW w:type="dxa" w:w="9026"/>
            <w:tcBorders>
              <w:top w:val="single" w:color="006D77" w:sz="2"/>
              <w:left w:val="single" w:color="006D77" w:sz="2"/>
              <w:bottom w:val="single" w:color="006D77" w:sz="2"/>
              <w:right w:val="single" w:color="006D77" w:sz="2"/>
            </w:tcBorders>
            <w:shd w:fill="EEF4F4" w:val="clear"/>
            <w:tcMar>
              <w:top w:type="dxa" w:w="160"/>
              <w:left w:type="dxa" w:w="240"/>
              <w:bottom w:type="dxa" w:w="160"/>
              <w:right w:type="dxa" w:w="240"/>
            </w:tcMar>
          </w:tcPr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006D77"/>
                <w:sz w:val="22"/>
                <w:szCs w:val="22"/>
              </w:rPr>
              <w:t xml:space="preserve">Research topic: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The ethics and corporate social responsibility of gambling operators in relation to responsible gambling strategies in the UK.</w:t>
            </w:r>
          </w:p>
          <w:p>
            <w:pPr>
              <w:spacing w:after="60" w:before="0"/>
            </w:pPr>
            <w:r>
              <w:rPr>
                <w:rFonts w:ascii="Calibri" w:cs="Calibri" w:eastAsia="Calibri" w:hAnsi="Calibri"/>
                <w:b/>
                <w:bCs/>
                <w:color w:val="006D77"/>
                <w:sz w:val="22"/>
                <w:szCs w:val="22"/>
              </w:rPr>
              <w:t xml:space="preserve">Paradigm: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Interpretivist. The researcher seeks to understand how operators, policy-makers and gamblers construct meaning around responsible gambling.</w:t>
            </w:r>
          </w:p>
          <w:p>
            <w:pPr>
              <w:spacing w:after="60" w:before="0"/>
            </w:pPr>
            <w:r>
              <w:rPr>
                <w:rFonts w:ascii="Calibri" w:cs="Calibri" w:eastAsia="Calibri" w:hAnsi="Calibri"/>
                <w:b/>
                <w:bCs/>
                <w:color w:val="006D77"/>
                <w:sz w:val="22"/>
                <w:szCs w:val="22"/>
              </w:rPr>
              <w:t xml:space="preserve">Methodology: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Qualitative. Semi-structured interviews with 12 stakeholders across operator, regulatory and advocacy organisations.</w:t>
            </w:r>
          </w:p>
        </w:tc>
      </w:tr>
    </w:tbl>
    <w:p>
      <w:pPr>
        <w:spacing w:after="120" w:before="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/>
      </w:r>
    </w:p>
    <w:p>
      <w:pPr>
        <w:pStyle w:val="Heading2"/>
        <w:spacing w:after="120" w:before="240"/>
      </w:pPr>
      <w:r>
        <w:rPr>
          <w:rFonts w:ascii="Cambria" w:cs="Cambria" w:eastAsia="Cambria" w:hAnsi="Cambria"/>
          <w:b/>
          <w:bCs/>
          <w:color w:val="006D77"/>
          <w:sz w:val="26"/>
          <w:szCs w:val="26"/>
        </w:rPr>
        <w:t xml:space="preserve">Theoretical Framework Extract</w:t>
      </w:r>
    </w:p>
    <w:p>
      <w:pPr>
        <w:spacing w:after="120" w:before="6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>The following is drawn from the doctoral candidate’s methodology chapter:</w:t>
      </w:r>
    </w:p>
    <w:p>
      <w:pPr>
        <w:spacing w:after="120" w:before="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/>
      </w:r>
    </w:p>
    <w:tbl>
      <w:tblPr>
        <w:tblW w:type="dxa" w:w="9026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>
        <w:tc>
          <w:tcPr>
            <w:tcW w:type="dxa" w:w="9026"/>
            <w:tcBorders>
              <w:top w:val="single" w:color="E07B39" w:sz="2"/>
              <w:left w:val="single" w:color="E07B39" w:sz="2"/>
              <w:bottom w:val="single" w:color="E07B39" w:sz="2"/>
              <w:right w:val="single" w:color="E07B39" w:sz="2"/>
            </w:tcBorders>
            <w:shd w:fill="FFF9F0" w:val="clear"/>
            <w:tcMar>
              <w:top w:type="dxa" w:w="160"/>
              <w:left w:type="dxa" w:w="240"/>
              <w:bottom w:type="dxa" w:w="160"/>
              <w:right w:type="dxa" w:w="240"/>
            </w:tcMar>
          </w:tcPr>
          <w:p>
            <w:pPr>
              <w:spacing w:after="8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This study draws on a multi-theoretical framework comprising thirteen theories across ethical, sociological, psychological, and policy domains. This breadth is justified by the complexity of responsible gambling as a phenomenon, which sits at the intersection of individual behaviour, corporate practice, and regulatory governance.</w:t>
            </w:r>
          </w:p>
          <w:p>
            <w:pPr>
              <w:spacing w:after="12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/>
            </w:r>
          </w:p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1A1A2E"/>
                <w:sz w:val="22"/>
                <w:szCs w:val="22"/>
              </w:rPr>
              <w:t xml:space="preserve">Ethical theories (Aristotle, Kant, Mill, Rawls):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Virtue Ethics, Utilitarianism, Deontology and Rights Theories together provide a comprehensive moral framework. Each tradition asks a different question of the operator: what kind of character should an operator have (virtue); does gambling maximise overall wellbeing (utilitarian); what duties does an operator owe a gambler regardless of consequences (deontological); and are gamblers’ rights being respected (rights theory).</w:t>
            </w:r>
          </w:p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1A1A2E"/>
                <w:sz w:val="22"/>
                <w:szCs w:val="22"/>
              </w:rPr>
              <w:t xml:space="preserve">Corporate Social Responsibility (Carroll, Freeman, Friedman):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Four CSR traditions — instrumental, political, integrative and ethical — allow the researcher to examine whether operator CSR is genuine social commitment or profit-driven performance. Friedman’s stockholder view provides a useful counterpoint to Freeman’s stakeholder model.</w:t>
            </w:r>
          </w:p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1A1A2E"/>
                <w:sz w:val="22"/>
                <w:szCs w:val="22"/>
              </w:rPr>
              <w:t xml:space="preserve">Pathways Model (Blaszczynski and Nower, 2002):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This model maps the three developmental pathways into problem gambling — behaviourally conditioned, emotionally vulnerable, and antisocial impulsivist — providing a framework for understanding which gamblers are most at risk and why.</w:t>
            </w:r>
          </w:p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1A1A2E"/>
                <w:sz w:val="22"/>
                <w:szCs w:val="22"/>
              </w:rPr>
              <w:t xml:space="preserve">Responsible Gambling frameworks (Blaszczynski, Sadinsky, Campbell):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These frameworks evaluate the adequacy of operator-led RG strategies, particularly in relation to informed choice and duty of care obligations.</w:t>
            </w:r>
          </w:p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1A1A2E"/>
                <w:sz w:val="22"/>
                <w:szCs w:val="22"/>
              </w:rPr>
              <w:t xml:space="preserve">Sociological perspectives (Goffman, Beck):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Goffman’s interactional theory and Beck’s Risk Society situate gambling within everyday social life and the normalisation of risk in late modernity.</w:t>
            </w:r>
          </w:p>
          <w:p>
            <w:pPr>
              <w:spacing w:after="80" w:before="0"/>
            </w:pPr>
            <w:r>
              <w:rPr>
                <w:rFonts w:ascii="Calibri" w:cs="Calibri" w:eastAsia="Calibri" w:hAnsi="Calibri"/>
                <w:b/>
                <w:bCs/>
                <w:color w:val="1A1A2E"/>
                <w:sz w:val="22"/>
                <w:szCs w:val="22"/>
              </w:rPr>
              <w:t xml:space="preserve">Gambling Restraint Erosion Theory (Orford, 2012): </w:t>
            </w: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This theory explains how deregulation has systematically dismantled social controls on gambling, creating the structural conditions for harm.</w:t>
            </w:r>
          </w:p>
          <w:p>
            <w:pPr>
              <w:spacing w:after="12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/>
            </w:r>
          </w:p>
          <w:p>
            <w:pPr>
              <w:spacing w:after="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The framework will be applied iteratively during data analysis. The researcher expects that findings will confirm the centrality of CSR theory and the ethical frameworks in explaining operator behaviour. A conceptual model of responsible gambling accountability will be developed once the pilot study is complete, synthesising the relationships between the theories identified above.</w:t>
            </w:r>
          </w:p>
        </w:tc>
      </w:tr>
    </w:tbl>
    <w:p>
      <w:pPr>
        <w:spacing w:after="120" w:before="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/>
      </w:r>
    </w:p>
    <w:tbl>
      <w:tblPr>
        <w:tblW w:type="dxa" w:w="9026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>
        <w:tc>
          <w:tcPr>
            <w:tcW w:type="dxa" w:w="9026"/>
            <w:tcBorders>
              <w:top w:val="single" w:color="E07B39" w:sz="2"/>
              <w:left w:val="single" w:color="E07B39" w:sz="2"/>
              <w:bottom w:val="single" w:color="E07B39" w:sz="2"/>
              <w:right w:val="single" w:color="E07B39" w:sz="2"/>
            </w:tcBorders>
            <w:shd w:fill="FFF9F0" w:val="clear"/>
            <w:tcMar>
              <w:top w:type="dxa" w:w="160"/>
              <w:left w:type="dxa" w:w="240"/>
              <w:bottom w:type="dxa" w:w="160"/>
              <w:right w:type="dxa" w:w="240"/>
            </w:tcMar>
          </w:tcPr>
          <w:p>
            <w:pPr>
              <w:spacing w:after="100" w:before="0"/>
            </w:pPr>
            <w:r>
              <w:rPr>
                <w:rFonts w:ascii="Cambria" w:cs="Cambria" w:eastAsia="Cambria" w:hAnsi="Cambria"/>
                <w:b/>
                <w:bCs/>
                <w:color w:val="E07B39"/>
                <w:sz w:val="24"/>
                <w:szCs w:val="24"/>
              </w:rPr>
              <w:t xml:space="preserve">Activity 2 – Your Evaluation Task  |  20 minutes</w:t>
            </w:r>
          </w:p>
          <w:p>
            <w:pPr>
              <w:spacing w:after="120" w:before="6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Work in pairs. Use the questions and table below.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100" w:before="6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Evaluate the framework using three questions: (a) Is each theory doing distinct analytical work, or are some theories overlapping or redundant? (b) Is there a clear, explainable logic connecting the theories? (c) Are tensions between theories acknowledged?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100" w:before="6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Identify ONE theory in the framework that you believe is not pulling its weight analytically — or is doing work that another theory already does. Justify your choice.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100" w:before="6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Identify the most significant problem with the final paragraph of the extract. What principle does it violate?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100" w:before="6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Compare with another pair. Do you agree on which theory is weakest? What does any disagreement tell you?</w:t>
            </w:r>
          </w:p>
        </w:tc>
      </w:tr>
    </w:tbl>
    <w:p>
      <w:pPr>
        <w:spacing w:after="120" w:before="0"/>
      </w:pPr>
      <w:r>
        <w:rPr>
          <w:rFonts w:ascii="Calibri" w:cs="Calibri" w:eastAsia="Calibri" w:hAnsi="Calibri"/>
          <w:color w:val="1A1A2E"/>
          <w:sz w:val="22"/>
          <w:szCs w:val="22"/>
        </w:rPr>
        <w:t xml:space="preserve"/>
      </w:r>
    </w:p>
    <w:p>
      <w:pPr>
        <w:pStyle w:val="Heading2"/>
        <w:spacing w:after="120" w:before="200"/>
      </w:pPr>
      <w:r>
        <w:rPr>
          <w:rFonts w:ascii="Cambria" w:cs="Cambria" w:eastAsia="Cambria" w:hAnsi="Cambria"/>
          <w:b/>
          <w:bCs/>
          <w:color w:val="006D77"/>
          <w:sz w:val="26"/>
          <w:szCs w:val="26"/>
        </w:rPr>
        <w:t xml:space="preserve">Framework Evaluation Table</w:t>
      </w:r>
    </w:p>
    <w:tbl>
      <w:tblPr>
        <w:tblW w:type="dxa" w:w="9026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3500"/>
        <w:gridCol w:w="5526"/>
      </w:tblGrid>
      <w:tr>
        <w:tc>
          <w:tcPr>
            <w:tcW w:type="dxa" w:w="3500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1B2A4A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b/>
                <w:bCs/>
                <w:color w:val="FFFFFF"/>
                <w:sz w:val="21"/>
                <w:szCs w:val="21"/>
              </w:rPr>
              <w:t xml:space="preserve">Evaluation question</w:t>
            </w:r>
          </w:p>
        </w:tc>
        <w:tc>
          <w:tcPr>
            <w:tcW w:type="dxa" w:w="5526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1B2A4A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b/>
                <w:bCs/>
                <w:color w:val="FFFFFF"/>
                <w:sz w:val="21"/>
                <w:szCs w:val="21"/>
              </w:rPr>
              <w:t xml:space="preserve">Your assessment</w:t>
            </w:r>
          </w:p>
        </w:tc>
      </w:tr>
      <w:tr>
        <w:tc>
          <w:tcPr>
            <w:tcW w:type="dxa" w:w="3500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EEF4F4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Is each theory doing distinct analytical work? Which (if any) overlap?</w:t>
            </w:r>
          </w:p>
        </w:tc>
        <w:tc>
          <w:tcPr>
            <w:tcW w:type="dxa" w:w="5526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</w:tc>
      </w:tr>
      <w:tr>
        <w:tc>
          <w:tcPr>
            <w:tcW w:type="dxa" w:w="3500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Is there a clear logic connecting the theories? Can you explain it in one sentence?</w:t>
            </w:r>
          </w:p>
        </w:tc>
        <w:tc>
          <w:tcPr>
            <w:tcW w:type="dxa" w:w="5526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</w:tc>
      </w:tr>
      <w:tr>
        <w:tc>
          <w:tcPr>
            <w:tcW w:type="dxa" w:w="3500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EEF4F4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Are tensions between theories acknowledged? Should they be?</w:t>
            </w:r>
          </w:p>
        </w:tc>
        <w:tc>
          <w:tcPr>
            <w:tcW w:type="dxa" w:w="5526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</w:tc>
      </w:tr>
      <w:tr>
        <w:tc>
          <w:tcPr>
            <w:tcW w:type="dxa" w:w="3500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Which single theory is weakest? Why?</w:t>
            </w:r>
          </w:p>
        </w:tc>
        <w:tc>
          <w:tcPr>
            <w:tcW w:type="dxa" w:w="5526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</w:tc>
      </w:tr>
      <w:tr>
        <w:tc>
          <w:tcPr>
            <w:tcW w:type="dxa" w:w="3500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EEF4F4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spacing w:after="0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What is the most significant problem in the final paragraph?</w:t>
            </w:r>
          </w:p>
        </w:tc>
        <w:tc>
          <w:tcPr>
            <w:tcW w:type="dxa" w:w="5526"/>
            <w:tcBorders>
              <w:top w:val="single" w:color="CCCCCC" w:sz="1"/>
              <w:left w:val="single" w:color="CCCCCC" w:sz="1"/>
              <w:bottom w:val="single" w:color="CCCCCC" w:sz="1"/>
              <w:right w:val="single" w:color="CCCCCC" w:sz="1"/>
            </w:tcBorders>
            <w:shd w:fill="FFFFFF" w:val="clear"/>
            <w:tcMar>
              <w:top w:type="dxa" w:w="80"/>
              <w:left w:type="dxa" w:w="120"/>
              <w:bottom w:type="dxa" w:w="80"/>
              <w:right w:type="dxa" w:w="120"/>
            </w:tcMar>
          </w:tcPr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  <w:p>
            <w:pPr>
              <w:pBdr>
                <w:bottom w:val="single" w:color="CCCCCC" w:sz="4"/>
              </w:pBdr>
              <w:spacing w:after="4" w:before="0"/>
            </w:pPr>
            <w:r>
              <w:rPr>
                <w:rFonts w:ascii="Calibri" w:cs="Calibri" w:eastAsia="Calibri" w:hAnsi="Calibri"/>
                <w:color w:val="1A1A2E"/>
                <w:sz w:val="22"/>
                <w:szCs w:val="22"/>
              </w:rPr>
              <w:t xml:space="preserve"> </w:t>
            </w:r>
          </w:p>
        </w:tc>
      </w:tr>
    </w:tbl>
    <w:sectPr>
      <w:pgSz w:w="11906" w:h="16838" w:orient="portrait"/>
      <w:pgMar w:top="1134" w:right="1134" w:bottom="1134" w:left="1134" w:header="708" w:footer="708" w:gutter="0"/>
      <w:pgNumType/>
      <w:docGrid w:linePitch="360"/>
    </w:sectPr>
  </w:body>
</w:document>
</file>

<file path=word/comments.xml><?xml version="1.0" encoding="utf-8"?>
<w:comment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/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>
      <w:pPr>
        <w:spacing w:after="0" w:line="240" w:lineRule="auto"/>
      </w:pPr>
      <w:r>
        <w:rPr>
          <w:rStyle w:val="EndnoteReference"/>
        </w:rPr>
        <w:endnoteRef/>
      </w:r>
      <w:r>
        <w:separator/>
      </w:r>
    </w:p>
  </w:endnote>
  <w:endnote w:type="continuationSeparator" w:id="0">
    <w:p>
      <w:pPr>
        <w:spacing w:after="0" w:line="240" w:lineRule="auto"/>
      </w:pPr>
      <w:r>
        <w:rPr>
          <w:rStyle w:val="EndnoteReference"/>
        </w:rPr>
        <w:endnoteRef/>
      </w: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>
      <w:pPr>
        <w:spacing w:after="0" w:line="240" w:lineRule="auto"/>
      </w:pPr>
      <w:r>
        <w:rPr>
          <w:rStyle w:val="FootnoteReference"/>
        </w:rPr>
        <w:footnoteRef/>
      </w:r>
      <w:r>
        <w:separator/>
      </w:r>
    </w:p>
  </w:footnote>
  <w:footnote w:type="continuationSeparator" w:id="0">
    <w:p>
      <w:pPr>
        <w:spacing w:after="0" w:line="240" w:lineRule="auto"/>
      </w:pPr>
      <w:r>
        <w:rPr>
          <w:rStyle w:val="FootnoteReference"/>
        </w:rPr>
        <w:footnoteRef/>
      </w: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abstractNum w:abstractNumId="2" w15:restartNumberingAfterBreak="0">
    <w:multiLevelType w:val="hybridMultilevel"/>
    <w:lvl w:ilvl="0" w15:tentative="1">
      <w:start w:val="1"/>
      <w:numFmt w:val="bullet"/>
      <w:lvlText w:val="•"/>
      <w:lvlJc w:val="left"/>
      <w:pPr>
        <w:ind w:left="720" w:hanging="360"/>
      </w:pPr>
    </w:lvl>
  </w:abstractNum>
  <w:abstractNum w:abstractNumId="3" w15:restartNumberingAfterBreak="0">
    <w:multiLevelType w:val="hybridMultilevel"/>
    <w:lvl w:ilvl="0" w15:tentative="1">
      <w:start w:val="1"/>
      <w:numFmt w:val="decimal"/>
      <w:lvlText w:val="%1."/>
      <w:lvlJc w:val="left"/>
      <w:pPr>
        <w:ind w:left="720" w:hanging="360"/>
      </w:pPr>
    </w:lvl>
  </w:abstractNum>
  <w:abstractNum w:abstractNumId="4" w15:restartNumberingAfterBreak="0">
    <w:multiLevelType w:val="hybridMultilevel"/>
    <w:lvl w:ilvl="0" w15:tentative="1">
      <w:start w:val="1"/>
      <w:numFmt w:val="bullet"/>
      <w:lvlText w:val="•"/>
      <w:lvlJc w:val="left"/>
      <w:pPr>
        <w:ind w:left="720" w:hanging="360"/>
      </w:pPr>
    </w:lvl>
  </w:abstractNum>
  <w:abstractNum w:abstractNumId="5" w15:restartNumberingAfterBreak="0">
    <w:multiLevelType w:val="hybridMultilevel"/>
    <w:lvl w:ilvl="0" w15:tentative="1">
      <w:start w:val="1"/>
      <w:numFmt w:val="decimal"/>
      <w:lvlText w:val="%1."/>
      <w:lvlJc w:val="left"/>
      <w:pPr>
        <w:ind w:left="720" w:hanging="360"/>
      </w:pPr>
    </w:lvl>
  </w:abstractNum>
  <w:num w:numId="1">
    <w:abstractNumId w:val="1"/>
    <w:lvlOverride w:ilvl="0">
      <w:startOverride w:val="1"/>
    </w:lvlOverride>
  </w:num>
  <w:num w:numId="2">
    <w:abstractNumId w:val="3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evenAndOddHeaders w:val="false"/>
  <w:compat>
    <w:compatSetting w:val="15" w:name="compatibilityMode" w:uri="http://schemas.microsoft.com/office/word"/>
  </w:compat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cs="Calibri" w:eastAsia="Calibri" w:hAnsi="Calibri"/>
        <w:sz w:val="22"/>
        <w:szCs w:val="22"/>
      </w:rPr>
    </w:rPrDefault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EndnoteTextChar">
    <w:name w:val="Endnote Text Char"/>
    <w:basedOn w:val="DefaultParagraphFont"/>
    <w:link w:val="EndnoteText"/>
    <w:uiPriority w:val="99"/>
    <w:semiHidden/>
    <w:unhideWhenUsed/>
    <w:rPr>
      <w:sz w:val="20"/>
      <w:szCs w:val="20"/>
    </w:rPr>
  </w:style>
  <w:style w:type="paragraph" w:styleId="Heading1">
    <w:name w:val="Heading 1"/>
    <w:basedOn w:val="Normal"/>
    <w:next w:val="Normal"/>
    <w:qFormat/>
    <w:pPr>
      <w:spacing w:after="160" w:before="360"/>
      <w:outlineLvl w:val="0"/>
    </w:pPr>
    <w:rPr>
      <w:rFonts w:ascii="Cambria" w:cs="Cambria" w:eastAsia="Cambria" w:hAnsi="Cambria"/>
      <w:b/>
      <w:bCs/>
      <w:color w:val="1B2A4A"/>
      <w:sz w:val="34"/>
      <w:szCs w:val="34"/>
    </w:rPr>
  </w:style>
  <w:style w:type="paragraph" w:styleId="Heading2">
    <w:name w:val="Heading 2"/>
    <w:basedOn w:val="Normal"/>
    <w:next w:val="Normal"/>
    <w:qFormat/>
    <w:pPr>
      <w:spacing w:after="120" w:before="240"/>
      <w:outlineLvl w:val="1"/>
    </w:pPr>
    <w:rPr>
      <w:rFonts w:ascii="Cambria" w:cs="Cambria" w:eastAsia="Cambria" w:hAnsi="Cambria"/>
      <w:b/>
      <w:bCs/>
      <w:color w:val="006D77"/>
      <w:sz w:val="26"/>
      <w:szCs w:val="26"/>
    </w:rPr>
  </w:style>
  <w:style w:type="paragraph" w:styleId="Heading3">
    <w:name w:val="Heading 3"/>
    <w:basedOn w:val="Normal"/>
    <w:next w:val="Normal"/>
    <w:qFormat/>
    <w:pPr>
      <w:spacing w:after="80" w:before="180"/>
      <w:outlineLvl w:val="2"/>
    </w:pPr>
    <w:rPr>
      <w:rFonts w:ascii="Calibri" w:cs="Calibri" w:eastAsia="Calibri" w:hAnsi="Calibri"/>
      <w:b/>
      <w:bCs/>
      <w:color w:val="1A1A2E"/>
      <w:sz w:val="22"/>
      <w:szCs w:val="22"/>
    </w:rPr>
  </w:style>
</w:styles>
</file>

<file path=word/_rels/comments.xml.rels><?xml version="1.0" encoding="UTF-8"?><Relationships xmlns="http://schemas.openxmlformats.org/package/2006/relationships"/>
</file>

<file path=word/_rels/document.xml.rels><?xml version="1.0" encoding="UTF-8"?>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otnotes" Target="footnotes.xml"/><Relationship Id="rId4" Type="http://schemas.openxmlformats.org/officeDocument/2006/relationships/endnotes" Target="endnotes.xml"/><Relationship Id="rId5" Type="http://schemas.openxmlformats.org/officeDocument/2006/relationships/settings" Target="settings.xml"/><Relationship Id="rId6" Type="http://schemas.openxmlformats.org/officeDocument/2006/relationships/comments" Target="comments.xml"/><Relationship Id="rId7" Type="http://schemas.openxmlformats.org/officeDocument/2006/relationships/fontTable" Target="fontTable.xml"/></Relationships>
</file>

<file path=word/_rels/endnotes.xml.rels><?xml version="1.0" encoding="UTF-8"?><Relationships xmlns="http://schemas.openxmlformats.org/package/2006/relationships"/>
</file>

<file path=word/_rels/fontTable.xml.rels><?xml version="1.0" encoding="UTF-8"?><Relationships xmlns="http://schemas.openxmlformats.org/package/2006/relationships"/>
</file>

<file path=word/_rels/footnotes.xml.rels><?xml version="1.0" encoding="UTF-8"?><Relationships xmlns="http://schemas.openxmlformats.org/package/2006/relationships"/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Un-named</cp:lastModifiedBy>
  <cp:revision>1</cp:revision>
  <dcterms:created xsi:type="dcterms:W3CDTF">2026-03-18T17:53:54.266Z</dcterms:created>
  <dcterms:modified xsi:type="dcterms:W3CDTF">2026-03-18T17:53:54.268Z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