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jc w:val="center"/>
        <w:rPr>
          <w:rFonts w:ascii="Times New Roman" w:cs="Times New Roman" w:eastAsia="Times New Roman" w:hAnsi="Times New Roman"/>
          <w:b w:val="1"/>
          <w:sz w:val="36"/>
          <w:szCs w:val="36"/>
        </w:rPr>
      </w:pPr>
      <w:bookmarkStart w:colFirst="0" w:colLast="0" w:name="_31jrrgczo7vk" w:id="0"/>
      <w:bookmarkEnd w:id="0"/>
      <w:r w:rsidDel="00000000" w:rsidR="00000000" w:rsidRPr="00000000">
        <w:rPr>
          <w:rFonts w:ascii="Times New Roman" w:cs="Times New Roman" w:eastAsia="Times New Roman" w:hAnsi="Times New Roman"/>
          <w:b w:val="1"/>
          <w:sz w:val="36"/>
          <w:szCs w:val="36"/>
          <w:rtl w:val="0"/>
        </w:rPr>
        <w:t xml:space="preserve">Primary Source Evaluation </w:t>
      </w:r>
      <w:r w:rsidDel="00000000" w:rsidR="00000000" w:rsidRPr="00000000">
        <w:drawing>
          <wp:anchor allowOverlap="1" behindDoc="0" distB="114300" distT="114300" distL="114300" distR="114300" hidden="0" layoutInCell="1" locked="0" relativeHeight="0" simplePos="0">
            <wp:simplePos x="0" y="0"/>
            <wp:positionH relativeFrom="column">
              <wp:posOffset>-123824</wp:posOffset>
            </wp:positionH>
            <wp:positionV relativeFrom="paragraph">
              <wp:posOffset>628650</wp:posOffset>
            </wp:positionV>
            <wp:extent cx="2424113" cy="3529848"/>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2424113" cy="3529848"/>
                    </a:xfrm>
                    <a:prstGeom prst="rect"/>
                    <a:ln/>
                  </pic:spPr>
                </pic:pic>
              </a:graphicData>
            </a:graphic>
          </wp:anchor>
        </w:drawing>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“Destroy this mad brute” is a propaganda poster created in America by H.R Hopps </w:t>
      </w:r>
      <w:r w:rsidDel="00000000" w:rsidR="00000000" w:rsidRPr="00000000">
        <w:rPr>
          <w:rFonts w:ascii="Georgia" w:cs="Georgia" w:eastAsia="Georgia" w:hAnsi="Georgia"/>
          <w:sz w:val="24"/>
          <w:szCs w:val="24"/>
          <w:rtl w:val="0"/>
        </w:rPr>
        <w:t xml:space="preserve">in 1917</w:t>
      </w:r>
      <w:r w:rsidDel="00000000" w:rsidR="00000000" w:rsidRPr="00000000">
        <w:rPr>
          <w:rFonts w:ascii="Georgia" w:cs="Georgia" w:eastAsia="Georgia" w:hAnsi="Georgia"/>
          <w:sz w:val="24"/>
          <w:szCs w:val="24"/>
          <w:rtl w:val="0"/>
        </w:rPr>
        <w:t xml:space="preserve"> as part of the broader effort to encourage enlistment in the military.</w:t>
      </w:r>
      <w:r w:rsidDel="00000000" w:rsidR="00000000" w:rsidRPr="00000000">
        <w:rPr>
          <w:rFonts w:ascii="Georgia" w:cs="Georgia" w:eastAsia="Georgia" w:hAnsi="Georgia"/>
          <w:color w:val="4a86e8"/>
          <w:sz w:val="24"/>
          <w:szCs w:val="24"/>
          <w:rtl w:val="0"/>
        </w:rPr>
        <w:t xml:space="preserve"> </w:t>
      </w:r>
      <w:r w:rsidDel="00000000" w:rsidR="00000000" w:rsidRPr="00000000">
        <w:rPr>
          <w:rFonts w:ascii="Georgia" w:cs="Georgia" w:eastAsia="Georgia" w:hAnsi="Georgia"/>
          <w:sz w:val="24"/>
          <w:szCs w:val="24"/>
          <w:rtl w:val="0"/>
        </w:rPr>
        <w:t xml:space="preserve">It pictures German militarism personified as an ape-like monster. The ape is wearing a helmet known as a pickelhaube traditionally worn by German soldiers and is carrying a bloodstained club</w:t>
      </w:r>
      <w:r w:rsidDel="00000000" w:rsidR="00000000" w:rsidRPr="00000000">
        <w:rPr>
          <w:rFonts w:ascii="Georgia" w:cs="Georgia" w:eastAsia="Georgia" w:hAnsi="Georgia"/>
          <w:color w:val="ffff00"/>
          <w:sz w:val="24"/>
          <w:szCs w:val="24"/>
          <w:rtl w:val="0"/>
        </w:rPr>
        <w:t xml:space="preserve">. </w:t>
      </w:r>
      <w:r w:rsidDel="00000000" w:rsidR="00000000" w:rsidRPr="00000000">
        <w:rPr>
          <w:rFonts w:ascii="Georgia" w:cs="Georgia" w:eastAsia="Georgia" w:hAnsi="Georgia"/>
          <w:sz w:val="24"/>
          <w:szCs w:val="24"/>
          <w:rtl w:val="0"/>
        </w:rPr>
        <w:t xml:space="preserve">The designer H.R Hopps, was born in 1869 and died in 1937.</w:t>
      </w:r>
      <w:r w:rsidDel="00000000" w:rsidR="00000000" w:rsidRPr="00000000">
        <w:rPr>
          <w:rFonts w:ascii="Georgia" w:cs="Georgia" w:eastAsia="Georgia" w:hAnsi="Georgia"/>
          <w:sz w:val="24"/>
          <w:szCs w:val="24"/>
          <w:vertAlign w:val="superscript"/>
        </w:rPr>
        <w:footnoteReference w:customMarkFollows="0" w:id="0"/>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rtl w:val="0"/>
        </w:rPr>
        <w:t xml:space="preserve">He was a businessman and artist who created this popular propaganda poster during the First World War. Propaganda posters like this played a significant role in shaping public perception of the war, rallying support for U.S. involvement and dehumanising the enemy. In this evaluation, I will discuss visual analysis, key themes and ideologies and strengths and weaknesses. </w:t>
      </w:r>
    </w:p>
    <w:p w:rsidR="00000000" w:rsidDel="00000000" w:rsidP="00000000" w:rsidRDefault="00000000" w:rsidRPr="00000000" w14:paraId="0000000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5219700</wp:posOffset>
            </wp:positionH>
            <wp:positionV relativeFrom="paragraph">
              <wp:posOffset>2437254</wp:posOffset>
            </wp:positionV>
            <wp:extent cx="1323975" cy="1397022"/>
            <wp:effectExtent b="0" l="0" r="0" t="0"/>
            <wp:wrapSquare wrapText="bothSides" distB="114300" distT="114300" distL="114300" distR="114300"/>
            <wp:docPr id="3" name="image5.png"/>
            <a:graphic>
              <a:graphicData uri="http://schemas.openxmlformats.org/drawingml/2006/picture">
                <pic:pic>
                  <pic:nvPicPr>
                    <pic:cNvPr id="0" name="image5.png"/>
                    <pic:cNvPicPr preferRelativeResize="0"/>
                  </pic:nvPicPr>
                  <pic:blipFill>
                    <a:blip r:embed="rId8"/>
                    <a:srcRect b="0" l="17679" r="17949" t="0"/>
                    <a:stretch>
                      <a:fillRect/>
                    </a:stretch>
                  </pic:blipFill>
                  <pic:spPr>
                    <a:xfrm>
                      <a:off x="0" y="0"/>
                      <a:ext cx="1323975" cy="1397022"/>
                    </a:xfrm>
                    <a:prstGeom prst="rect"/>
                    <a:ln/>
                  </pic:spPr>
                </pic:pic>
              </a:graphicData>
            </a:graphic>
          </wp:anchor>
        </w:drawing>
      </w:r>
    </w:p>
    <w:tbl>
      <w:tblPr>
        <w:tblStyle w:val="Table1"/>
        <w:tblpPr w:leftFromText="180" w:rightFromText="180" w:topFromText="180" w:bottomFromText="180" w:vertAnchor="text" w:horzAnchor="text" w:tblpX="-180" w:tblpY="455.42138671874966"/>
        <w:tblW w:w="379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795"/>
        <w:tblGridChange w:id="0">
          <w:tblGrid>
            <w:gridCol w:w="3795"/>
          </w:tblGrid>
        </w:tblGridChange>
      </w:tblGrid>
      <w:tr>
        <w:trPr>
          <w:cantSplit w:val="0"/>
          <w:trHeight w:val="735" w:hRule="atLeast"/>
          <w:tblHeader w:val="0"/>
        </w:trPr>
        <w:tc>
          <w:tcPr/>
          <w:p w:rsidR="00000000" w:rsidDel="00000000" w:rsidP="00000000" w:rsidRDefault="00000000" w:rsidRPr="00000000" w14:paraId="00000004">
            <w:pPr>
              <w:widowControl w:val="0"/>
              <w:spacing w:line="240" w:lineRule="auto"/>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“Destroy This Mad Brute”-Poster by Hopps, H R (1917) (American) </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tl w:val="0"/>
              </w:rPr>
            </w:r>
          </w:p>
        </w:tc>
      </w:tr>
    </w:tbl>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By mid 1917, the United States had declared war on Germany and its allies, entering the war after years of neutrality. The reasons for this shift included in the Zimmerman Telegram and economic ties to the Allied Powers. Mobilising troops and public support was critical for the U.S war effort. This poster is an example of how propaganda was used to encourage enlistment and instill a sense of urgency. The propaganda campaigns started when “Wilson created the Committee on Public Information (CPI), to focus on promoting the war effort.”</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Artists and illustrators were recruited to create these images, appealing to emotions such as fear, patriotism and anger. </w:t>
      </w:r>
    </w:p>
    <w:p w:rsidR="00000000" w:rsidDel="00000000" w:rsidP="00000000" w:rsidRDefault="00000000" w:rsidRPr="00000000" w14:paraId="0000000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Visual Analysis </w:t>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tl w:val="0"/>
        </w:rPr>
      </w:r>
    </w:p>
    <w:tbl>
      <w:tblPr>
        <w:tblStyle w:val="Table2"/>
        <w:tblpPr w:leftFromText="180" w:rightFromText="180" w:topFromText="180" w:bottomFromText="180" w:vertAnchor="text" w:horzAnchor="text" w:tblpX="7080" w:tblpY="1386.86279296875"/>
        <w:tblW w:w="3300.0" w:type="dxa"/>
        <w:jc w:val="left"/>
        <w:tblInd w:w="42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300"/>
        <w:tblGridChange w:id="0">
          <w:tblGrid>
            <w:gridCol w:w="3300"/>
          </w:tblGrid>
        </w:tblGridChange>
      </w:tblGrid>
      <w:tr>
        <w:trPr>
          <w:cantSplit w:val="0"/>
          <w:tblHeader w:val="0"/>
        </w:trPr>
        <w:tc>
          <w:tcPr/>
          <w:p w:rsidR="00000000" w:rsidDel="00000000" w:rsidP="00000000" w:rsidRDefault="00000000" w:rsidRPr="00000000" w14:paraId="00000009">
            <w:pPr>
              <w:widowControl w:val="0"/>
              <w:spacing w:line="240" w:lineRule="auto"/>
              <w:rPr>
                <w:rFonts w:ascii="Georgia" w:cs="Georgia" w:eastAsia="Georgia" w:hAnsi="Georgia"/>
                <w:sz w:val="16"/>
                <w:szCs w:val="16"/>
              </w:rPr>
            </w:pPr>
            <w:r w:rsidDel="00000000" w:rsidR="00000000" w:rsidRPr="00000000">
              <w:rPr>
                <w:rFonts w:ascii="Georgia" w:cs="Georgia" w:eastAsia="Georgia" w:hAnsi="Georgia"/>
                <w:sz w:val="16"/>
                <w:szCs w:val="16"/>
                <w:rtl w:val="0"/>
              </w:rPr>
              <w:t xml:space="preserve">The question mark, Norman Lindsay (1918</w:t>
            </w:r>
          </w:p>
        </w:tc>
      </w:tr>
    </w:tbl>
    <w:p w:rsidR="00000000" w:rsidDel="00000000" w:rsidP="00000000" w:rsidRDefault="00000000" w:rsidRPr="00000000" w14:paraId="0000000A">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poster features a monstrous gorilla-like figure representing Germany shown by the pickelhaube. The gorilla was given distinctly barbaric characteristics: its open mouth, wide eyes and hulkling posture suggests an uncontrollable and primal force. The pickelhaube has been labelled “militarism”, a direct reference to German militarism. This helmet became a well known symbol of the German military in propaganda for example “the question mark” (1918) by Norman Lindsay, Australia.</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and “La bête féroce” (1915) French World War One poster. </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In its right hand, the brute wields a blooded club inscribed with the word “kultur”. This term, derived from the German word for ‘culture”, is used sarcastically to mock Germany’s justification for its aggression. </w:t>
      </w:r>
      <w:r w:rsidDel="00000000" w:rsidR="00000000" w:rsidRPr="00000000">
        <w:drawing>
          <wp:anchor allowOverlap="1" behindDoc="0" distB="114300" distT="114300" distL="114300" distR="114300" hidden="0" layoutInCell="1" locked="0" relativeHeight="0" simplePos="0">
            <wp:simplePos x="0" y="0"/>
            <wp:positionH relativeFrom="column">
              <wp:posOffset>-66674</wp:posOffset>
            </wp:positionH>
            <wp:positionV relativeFrom="paragraph">
              <wp:posOffset>1498294</wp:posOffset>
            </wp:positionV>
            <wp:extent cx="1381125" cy="1910719"/>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9"/>
                    <a:srcRect b="0" l="26245" r="26245" t="0"/>
                    <a:stretch>
                      <a:fillRect/>
                    </a:stretch>
                  </pic:blipFill>
                  <pic:spPr>
                    <a:xfrm>
                      <a:off x="0" y="0"/>
                      <a:ext cx="1381125" cy="1910719"/>
                    </a:xfrm>
                    <a:prstGeom prst="rect"/>
                    <a:ln/>
                  </pic:spPr>
                </pic:pic>
              </a:graphicData>
            </a:graphic>
          </wp:anchor>
        </w:drawing>
      </w:r>
    </w:p>
    <w:p w:rsidR="00000000" w:rsidDel="00000000" w:rsidP="00000000" w:rsidRDefault="00000000" w:rsidRPr="00000000" w14:paraId="0000000B">
      <w:pPr>
        <w:rPr>
          <w:rFonts w:ascii="Georgia" w:cs="Georgia" w:eastAsia="Georgia" w:hAnsi="Georgia"/>
          <w:sz w:val="24"/>
          <w:szCs w:val="24"/>
        </w:rPr>
      </w:pPr>
      <w:r w:rsidDel="00000000" w:rsidR="00000000" w:rsidRPr="00000000">
        <w:rPr>
          <w:rtl w:val="0"/>
        </w:rPr>
      </w:r>
    </w:p>
    <w:tbl>
      <w:tblPr>
        <w:tblStyle w:val="Table3"/>
        <w:tblpPr w:leftFromText="180" w:rightFromText="180" w:topFromText="180" w:bottomFromText="180" w:vertAnchor="text" w:horzAnchor="text" w:tblpX="-30" w:tblpY="1509.8027343749993"/>
        <w:tblW w:w="207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70"/>
        <w:tblGridChange w:id="0">
          <w:tblGrid>
            <w:gridCol w:w="2070"/>
          </w:tblGrid>
        </w:tblGridChange>
      </w:tblGrid>
      <w:tr>
        <w:trPr>
          <w:cantSplit w:val="0"/>
          <w:tblHeader w:val="0"/>
        </w:trPr>
        <w:tc>
          <w:tcPr/>
          <w:p w:rsidR="00000000" w:rsidDel="00000000" w:rsidP="00000000" w:rsidRDefault="00000000" w:rsidRPr="00000000" w14:paraId="0000000C">
            <w:pPr>
              <w:rPr>
                <w:rFonts w:ascii="Georgia" w:cs="Georgia" w:eastAsia="Georgia" w:hAnsi="Georgia"/>
                <w:sz w:val="18"/>
                <w:szCs w:val="18"/>
              </w:rPr>
            </w:pPr>
            <w:r w:rsidDel="00000000" w:rsidR="00000000" w:rsidRPr="00000000">
              <w:rPr>
                <w:rFonts w:ascii="Georgia" w:cs="Georgia" w:eastAsia="Georgia" w:hAnsi="Georgia"/>
                <w:sz w:val="18"/>
                <w:szCs w:val="18"/>
                <w:rtl w:val="0"/>
              </w:rPr>
              <w:t xml:space="preserve">La bête féroce” (1915)</w:t>
            </w:r>
          </w:p>
        </w:tc>
      </w:tr>
    </w:tbl>
    <w:p w:rsidR="00000000" w:rsidDel="00000000" w:rsidP="00000000" w:rsidRDefault="00000000" w:rsidRPr="00000000" w14:paraId="0000000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brute carries a vulnerable, half-dressed woman, symbolising innocence, purity and the need for protection. This lady, presumably Lady Liberty, is a very important statue in America, it was built “to celebrate and inspire”</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Fonts w:ascii="Georgia" w:cs="Georgia" w:eastAsia="Georgia" w:hAnsi="Georgia"/>
          <w:sz w:val="24"/>
          <w:szCs w:val="24"/>
          <w:rtl w:val="0"/>
        </w:rPr>
        <w:t xml:space="preserve"> and also as a way of welcoming travellers. This further emphasises that Germany was the enemy by taking a statue of peace and unity.  She appears terrified and helpless, reinforcing the idea that Germany is a direct threat not only in war but also the safety of women and children. </w:t>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background depicts a desolate, war-torn landscape, most likely symbolising Europe’s devastation. The smoke rising in the distance emphasises this destruction, with the brute seemingly emerging from this chaos. The creature stands on American shores as indicated by the word “America” under his feet. The imagery could potentially be seen as a warning that the war could easily spread to the United States, once again installing that fear factor into the Americans. The word “ENLIST” is also used as a persuasion tactic to get men to enlist in the army.</w:t>
      </w:r>
      <w:r w:rsidDel="00000000" w:rsidR="00000000" w:rsidRPr="00000000">
        <w:drawing>
          <wp:anchor allowOverlap="1" behindDoc="0" distB="114300" distT="114300" distL="114300" distR="114300" hidden="0" layoutInCell="1" locked="0" relativeHeight="0" simplePos="0">
            <wp:simplePos x="0" y="0"/>
            <wp:positionH relativeFrom="column">
              <wp:posOffset>5048250</wp:posOffset>
            </wp:positionH>
            <wp:positionV relativeFrom="paragraph">
              <wp:posOffset>1260600</wp:posOffset>
            </wp:positionV>
            <wp:extent cx="1325737" cy="1718887"/>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1325737" cy="1718887"/>
                    </a:xfrm>
                    <a:prstGeom prst="rect"/>
                    <a:ln/>
                  </pic:spPr>
                </pic:pic>
              </a:graphicData>
            </a:graphic>
          </wp:anchor>
        </w:drawing>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tl w:val="0"/>
        </w:rPr>
      </w:r>
    </w:p>
    <w:tbl>
      <w:tblPr>
        <w:tblStyle w:val="Table4"/>
        <w:tblpPr w:leftFromText="180" w:rightFromText="180" w:topFromText="180" w:bottomFromText="180" w:vertAnchor="text" w:horzAnchor="text" w:tblpX="6225" w:tblpY="1953.609375000002"/>
        <w:tblW w:w="39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960"/>
        <w:tblGridChange w:id="0">
          <w:tblGrid>
            <w:gridCol w:w="3960"/>
          </w:tblGrid>
        </w:tblGridChange>
      </w:tblGrid>
      <w:tr>
        <w:trPr>
          <w:cantSplit w:val="0"/>
          <w:tblHeader w:val="0"/>
        </w:trPr>
        <w:tc>
          <w:tcPr/>
          <w:p w:rsidR="00000000" w:rsidDel="00000000" w:rsidP="00000000" w:rsidRDefault="00000000" w:rsidRPr="00000000" w14:paraId="00000010">
            <w:pPr>
              <w:widowControl w:val="0"/>
              <w:spacing w:line="240" w:lineRule="auto"/>
              <w:rPr>
                <w:rFonts w:ascii="Georgia" w:cs="Georgia" w:eastAsia="Georgia" w:hAnsi="Georgia"/>
                <w:sz w:val="18"/>
                <w:szCs w:val="18"/>
              </w:rPr>
            </w:pPr>
            <w:r w:rsidDel="00000000" w:rsidR="00000000" w:rsidRPr="00000000">
              <w:rPr>
                <w:rFonts w:ascii="Georgia" w:cs="Georgia" w:eastAsia="Georgia" w:hAnsi="Georgia"/>
                <w:sz w:val="18"/>
                <w:szCs w:val="18"/>
                <w:rtl w:val="0"/>
              </w:rPr>
              <w:t xml:space="preserve">I want you, James Montgomery Flagg (1917)</w:t>
            </w:r>
          </w:p>
        </w:tc>
      </w:tr>
    </w:tbl>
    <w:p w:rsidR="00000000" w:rsidDel="00000000" w:rsidP="00000000" w:rsidRDefault="00000000" w:rsidRPr="00000000" w14:paraId="00000011">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use of dark, muted tones in the background contrasts with the vivid reds in the brute emphasise the immediate danger and draws attention to how deadly the German soldiers were perceived to be. Furthermore the large, bold letters in “DESTROY THIS MAD BRUTE” conveys the urgency and aggression, and commanding the viewers to take action, similarly the famous propaganda poster “Uncle Sam, I WANT YOU” by James Montgomery Flagg in 1917</w:t>
      </w:r>
      <w:r w:rsidDel="00000000" w:rsidR="00000000" w:rsidRPr="00000000">
        <w:rPr>
          <w:rFonts w:ascii="Georgia" w:cs="Georgia" w:eastAsia="Georgia" w:hAnsi="Georgia"/>
          <w:sz w:val="24"/>
          <w:szCs w:val="24"/>
          <w:vertAlign w:val="superscript"/>
        </w:rPr>
        <w:footnoteReference w:customMarkFollows="0" w:id="6"/>
      </w:r>
      <w:r w:rsidDel="00000000" w:rsidR="00000000" w:rsidRPr="00000000">
        <w:rPr>
          <w:rFonts w:ascii="Georgia" w:cs="Georgia" w:eastAsia="Georgia" w:hAnsi="Georgia"/>
          <w:sz w:val="24"/>
          <w:szCs w:val="24"/>
          <w:rtl w:val="0"/>
        </w:rPr>
        <w:t xml:space="preserve">, uses the same persuasion tactics, making the threat immediate and real. </w:t>
      </w:r>
    </w:p>
    <w:p w:rsidR="00000000" w:rsidDel="00000000" w:rsidP="00000000" w:rsidRDefault="00000000" w:rsidRPr="00000000" w14:paraId="0000001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Themes and ideologies</w:t>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helpless woman carried by the brute can be seen as a reflection of the traditional gender roles at that time. Women were often portrayed as vulnerable victims in propaganda to reinforce the idea that American men had a duty to enlist and fight to protect families and women. Moreover the gorilla stepping onto American shores warns the viewers that the war is no longer a distant conflict confined to Europe, further evoking that fear factor into Americans.  It may suggest that unless Americans take action, the violence and destruction of the war will spread to their country. </w:t>
      </w:r>
    </w:p>
    <w:p w:rsidR="00000000" w:rsidDel="00000000" w:rsidP="00000000" w:rsidRDefault="00000000" w:rsidRPr="00000000" w14:paraId="00000015">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purpose of the poster is to encourage more people to enlist in the war effort. More deeply to enrich the patriotism in the country and to evoke a strong emotional response to German militarism. Propaganda posters like this one were used to indoctrinate people and persuade them that the Germans were the enemy. This became an issue within America due to the large population of German Americans. </w:t>
      </w:r>
    </w:p>
    <w:p w:rsidR="00000000" w:rsidDel="00000000" w:rsidP="00000000" w:rsidRDefault="00000000" w:rsidRPr="00000000" w14:paraId="00000017">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Therefore the audience of this source was the American population, more specifically the men who were eligible to enlist.</w:t>
      </w:r>
    </w:p>
    <w:p w:rsidR="00000000" w:rsidDel="00000000" w:rsidP="00000000" w:rsidRDefault="00000000" w:rsidRPr="00000000" w14:paraId="00000018">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b w:val="1"/>
          <w:sz w:val="32"/>
          <w:szCs w:val="32"/>
          <w:rtl w:val="0"/>
        </w:rPr>
        <w:t xml:space="preserve">Strengths and weaknesses</w:t>
      </w:r>
      <w:r w:rsidDel="00000000" w:rsidR="00000000" w:rsidRPr="00000000">
        <w:rPr>
          <w:rtl w:val="0"/>
        </w:rPr>
      </w:r>
    </w:p>
    <w:p w:rsidR="00000000" w:rsidDel="00000000" w:rsidP="00000000" w:rsidRDefault="00000000" w:rsidRPr="00000000" w14:paraId="0000001A">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strengths and weaknesses will explain the usefulness of this poster as a primary source and how valuable it could be to a historian's research on World War One. It will also take into consideration how the source was used at the time and what strengths and weaknesses it held during the war. </w:t>
      </w:r>
    </w:p>
    <w:p w:rsidR="00000000" w:rsidDel="00000000" w:rsidP="00000000" w:rsidRDefault="00000000" w:rsidRPr="00000000" w14:paraId="0000001B">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This poster is a valuable example of wartime propaganda and the methods used to influence public opinion. Although we cannot accurately guess how many people enlisted from these posters</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rtl w:val="0"/>
        </w:rPr>
        <w:t xml:space="preserve">Christopher Capozzola points out that,</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1C">
      <w:pPr>
        <w:jc w:val="center"/>
        <w:rPr>
          <w:rFonts w:ascii="Georgia" w:cs="Georgia" w:eastAsia="Georgia" w:hAnsi="Georgia"/>
          <w:i w:val="1"/>
          <w:color w:val="434343"/>
          <w:sz w:val="24"/>
          <w:szCs w:val="24"/>
        </w:rPr>
      </w:pPr>
      <w:r w:rsidDel="00000000" w:rsidR="00000000" w:rsidRPr="00000000">
        <w:rPr>
          <w:i w:val="1"/>
          <w:color w:val="737373"/>
          <w:sz w:val="20"/>
          <w:szCs w:val="20"/>
          <w:highlight w:val="white"/>
          <w:rtl w:val="0"/>
        </w:rPr>
        <w:t xml:space="preserve">                </w:t>
      </w:r>
      <w:r w:rsidDel="00000000" w:rsidR="00000000" w:rsidRPr="00000000">
        <w:rPr>
          <w:rFonts w:ascii="Georgia" w:cs="Georgia" w:eastAsia="Georgia" w:hAnsi="Georgia"/>
          <w:i w:val="1"/>
          <w:color w:val="434343"/>
          <w:sz w:val="24"/>
          <w:szCs w:val="24"/>
          <w:rtl w:val="0"/>
        </w:rPr>
        <w:t xml:space="preserve"> One thing we know is that the word obligation was very much on their            minds. During World  War I, when Americans discussed their relationship to the state, they used terms such as duty, sacrifice, and obligation. The language was everywhere: in congressional debates about entry into war, on the posters of military recruiters during the conflict, and even in the parades that marked the war's end. Political obligations energized, mobilized, and divided Americans during World War I.</w:t>
      </w:r>
      <w:r w:rsidDel="00000000" w:rsidR="00000000" w:rsidRPr="00000000">
        <w:rPr>
          <w:rFonts w:ascii="Georgia" w:cs="Georgia" w:eastAsia="Georgia" w:hAnsi="Georgia"/>
          <w:i w:val="1"/>
          <w:color w:val="434343"/>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1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It demonstrates key propaganda techniques, such as, dehumanisation of the enemy, fear and emotional appeal , and call to action. All techniques used to show the imminent danger. The poster also offers insight into the gender norms and societal expectations of the period shown by the woman portrayed as helpless and in need of male protection, her vulnerable, sexualised depiction reinforces the idea that men had a duty to protect women and the nation.       </w:t>
      </w:r>
    </w:p>
    <w:p w:rsidR="00000000" w:rsidDel="00000000" w:rsidP="00000000" w:rsidRDefault="00000000" w:rsidRPr="00000000" w14:paraId="0000001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w:t>
      </w:r>
    </w:p>
    <w:p w:rsidR="00000000" w:rsidDel="00000000" w:rsidP="00000000" w:rsidRDefault="00000000" w:rsidRPr="00000000" w14:paraId="0000001F">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This source is a valuable example of wartime propaganda, reflecting the methods and strategies used by the U.S government to rally support for World War One. It highlights how art and visual culture were weaponised to influence public opinion. However it is only a poster, therefore a lot of the information a viewer could get from it is left to interpretation, without background knowledge this may just come across as an average propaganda poster. On the other hand, at the time this would have been a strength as people were more likely to pay attention to a poster than a book. It's eye-catching and draws your attention, it uses the persuasive technique of speaking directly to the viewer to gain acknowledgement.  Although, as a primary source for historical research, there is no information telling us about the war and clearly has a strong agenda of recruitment therefore is a very biased one-sided source and would be better used with other sources to show a range of opinions and perspectives, for example diaries, documents and other artworks may give a better overall picture of World War One. Artworks such as anti-war propaganda could become very useful when comparing views and opinions surrounding World War One. For example Otto Dix, a German painter who served in the War is known for his harsh ruthless depictions of the war. Most famously a piece called “shock troops advance under gas”(1924)</w:t>
      </w:r>
      <w:r w:rsidDel="00000000" w:rsidR="00000000" w:rsidRPr="00000000">
        <w:rPr>
          <w:rFonts w:ascii="Georgia" w:cs="Georgia" w:eastAsia="Georgia" w:hAnsi="Georgia"/>
          <w:sz w:val="24"/>
          <w:szCs w:val="24"/>
          <w:vertAlign w:val="superscript"/>
        </w:rPr>
        <w:footnoteReference w:customMarkFollows="0" w:id="8"/>
      </w:r>
      <w:r w:rsidDel="00000000" w:rsidR="00000000" w:rsidRPr="00000000">
        <w:rPr>
          <w:rFonts w:ascii="Georgia" w:cs="Georgia" w:eastAsia="Georgia" w:hAnsi="Georgia"/>
          <w:sz w:val="24"/>
          <w:szCs w:val="24"/>
          <w:rtl w:val="0"/>
        </w:rPr>
        <w:t xml:space="preserve">. Just from a quick glance, the viewer can see the extreme differences between these perspectives. Dix’s work is very shocking and disturbing and comes from a first hand account of the war, whereas this propaganda poster is simply what America wanted the population to see about the war.  However the poster does provide insight into early twentieth century American values and beliefs, such as the perception of gender roles and the vilification of Germany. It captures the intense nationalism and fear of invasion that characterised the period. </w:t>
      </w:r>
      <w:r w:rsidDel="00000000" w:rsidR="00000000" w:rsidRPr="00000000">
        <w:drawing>
          <wp:anchor allowOverlap="1" behindDoc="0" distB="114300" distT="114300" distL="114300" distR="114300" hidden="0" layoutInCell="1" locked="0" relativeHeight="0" simplePos="0">
            <wp:simplePos x="0" y="0"/>
            <wp:positionH relativeFrom="column">
              <wp:posOffset>4591050</wp:posOffset>
            </wp:positionH>
            <wp:positionV relativeFrom="paragraph">
              <wp:posOffset>3663244</wp:posOffset>
            </wp:positionV>
            <wp:extent cx="1806999" cy="1248657"/>
            <wp:effectExtent b="0" l="0" r="0" t="0"/>
            <wp:wrapSquare wrapText="bothSides" distB="114300" distT="114300" distL="114300" distR="114300"/>
            <wp:docPr id="5"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1806999" cy="1248657"/>
                    </a:xfrm>
                    <a:prstGeom prst="rect"/>
                    <a:ln/>
                  </pic:spPr>
                </pic:pic>
              </a:graphicData>
            </a:graphic>
          </wp:anchor>
        </w:drawing>
      </w:r>
    </w:p>
    <w:tbl>
      <w:tblPr>
        <w:tblStyle w:val="Table5"/>
        <w:tblpPr w:leftFromText="180" w:rightFromText="180" w:topFromText="180" w:bottomFromText="180" w:vertAnchor="text" w:horzAnchor="text" w:tblpX="6180" w:tblpY="0"/>
        <w:tblW w:w="409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095"/>
        <w:tblGridChange w:id="0">
          <w:tblGrid>
            <w:gridCol w:w="4095"/>
          </w:tblGrid>
        </w:tblGridChange>
      </w:tblGrid>
      <w:tr>
        <w:trPr>
          <w:cantSplit w:val="0"/>
          <w:tblHeader w:val="0"/>
        </w:trPr>
        <w:tc>
          <w:tcPr/>
          <w:p w:rsidR="00000000" w:rsidDel="00000000" w:rsidP="00000000" w:rsidRDefault="00000000" w:rsidRPr="00000000" w14:paraId="00000020">
            <w:pPr>
              <w:widowControl w:val="0"/>
              <w:spacing w:line="240" w:lineRule="auto"/>
              <w:rPr>
                <w:rFonts w:ascii="Georgia" w:cs="Georgia" w:eastAsia="Georgia" w:hAnsi="Georgia"/>
                <w:sz w:val="18"/>
                <w:szCs w:val="18"/>
              </w:rPr>
            </w:pPr>
            <w:r w:rsidDel="00000000" w:rsidR="00000000" w:rsidRPr="00000000">
              <w:rPr>
                <w:rFonts w:ascii="Georgia" w:cs="Georgia" w:eastAsia="Georgia" w:hAnsi="Georgia"/>
                <w:sz w:val="18"/>
                <w:szCs w:val="18"/>
                <w:rtl w:val="0"/>
              </w:rPr>
              <w:t xml:space="preserve">Shock troops advance under gas, Otto Dix (1924)</w:t>
            </w:r>
          </w:p>
        </w:tc>
      </w:tr>
    </w:tbl>
    <w:p w:rsidR="00000000" w:rsidDel="00000000" w:rsidP="00000000" w:rsidRDefault="00000000" w:rsidRPr="00000000" w14:paraId="0000002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2">
      <w:pPr>
        <w:rPr>
          <w:rFonts w:ascii="Georgia" w:cs="Georgia" w:eastAsia="Georgia" w:hAnsi="Georgia"/>
          <w:b w:val="1"/>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b w:val="1"/>
          <w:sz w:val="32"/>
          <w:szCs w:val="32"/>
        </w:rPr>
      </w:pPr>
      <w:r w:rsidDel="00000000" w:rsidR="00000000" w:rsidRPr="00000000">
        <w:rPr>
          <w:rFonts w:ascii="Georgia" w:cs="Georgia" w:eastAsia="Georgia" w:hAnsi="Georgia"/>
          <w:b w:val="1"/>
          <w:sz w:val="24"/>
          <w:szCs w:val="24"/>
          <w:rtl w:val="0"/>
        </w:rPr>
        <w:t xml:space="preserve"> </w:t>
      </w:r>
      <w:r w:rsidDel="00000000" w:rsidR="00000000" w:rsidRPr="00000000">
        <w:rPr>
          <w:rFonts w:ascii="Times New Roman" w:cs="Times New Roman" w:eastAsia="Times New Roman" w:hAnsi="Times New Roman"/>
          <w:b w:val="1"/>
          <w:sz w:val="32"/>
          <w:szCs w:val="32"/>
          <w:rtl w:val="0"/>
        </w:rPr>
        <w:t xml:space="preserve">Conclusion </w:t>
      </w:r>
    </w:p>
    <w:p w:rsidR="00000000" w:rsidDel="00000000" w:rsidP="00000000" w:rsidRDefault="00000000" w:rsidRPr="00000000" w14:paraId="00000024">
      <w:pPr>
        <w:rPr>
          <w:rFonts w:ascii="Times New Roman" w:cs="Times New Roman" w:eastAsia="Times New Roman" w:hAnsi="Times New Roman"/>
          <w:sz w:val="32"/>
          <w:szCs w:val="32"/>
        </w:rPr>
      </w:pPr>
      <w:r w:rsidDel="00000000" w:rsidR="00000000" w:rsidRPr="00000000">
        <w:rPr>
          <w:rFonts w:ascii="Georgia" w:cs="Georgia" w:eastAsia="Georgia" w:hAnsi="Georgia"/>
          <w:sz w:val="24"/>
          <w:szCs w:val="24"/>
          <w:rtl w:val="0"/>
        </w:rPr>
        <w:t xml:space="preserve">This poster is a powerful example of how propaganda was used during World War One to shape public opinion and recruit soldiers. It reflects the political, cultural and social attitudes of America at this time for the population that were pro-war, however it's important to take into account that not everyone supported the U.S. decision to join the war therefore it doesn’t reflect everyone's attitudes. It also shows how effective artwork can be during events such as the war. However, as a piece of propaganda, the poster is inherently biased and offers a one-sided perspective. It cannot be relied upon for factual information about Germany, the causes of the war, or the complexities of the conflict. Therefore when studying it should be used with other sources to provide a more balanced view of the conflict.  </w:t>
      </w:r>
      <w:r w:rsidDel="00000000" w:rsidR="00000000" w:rsidRPr="00000000">
        <w:rPr>
          <w:rtl w:val="0"/>
        </w:rPr>
      </w:r>
    </w:p>
    <w:p w:rsidR="00000000" w:rsidDel="00000000" w:rsidP="00000000" w:rsidRDefault="00000000" w:rsidRPr="00000000" w14:paraId="00000025">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6">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34"/>
          <w:szCs w:val="34"/>
          <w:u w:val="single"/>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Bibliography </w:t>
      </w:r>
    </w:p>
    <w:p w:rsidR="00000000" w:rsidDel="00000000" w:rsidP="00000000" w:rsidRDefault="00000000" w:rsidRPr="00000000" w14:paraId="00000029">
      <w:pPr>
        <w:rPr>
          <w:rFonts w:ascii="Times New Roman" w:cs="Times New Roman" w:eastAsia="Times New Roman" w:hAnsi="Times New Roman"/>
          <w:sz w:val="34"/>
          <w:szCs w:val="34"/>
          <w:u w:val="single"/>
        </w:rPr>
      </w:pPr>
      <w:r w:rsidDel="00000000" w:rsidR="00000000" w:rsidRPr="00000000">
        <w:rPr>
          <w:rtl w:val="0"/>
        </w:rPr>
      </w:r>
    </w:p>
    <w:p w:rsidR="00000000" w:rsidDel="00000000" w:rsidP="00000000" w:rsidRDefault="00000000" w:rsidRPr="00000000" w14:paraId="0000002A">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Alex Collin. (2022). </w:t>
      </w:r>
      <w:r w:rsidDel="00000000" w:rsidR="00000000" w:rsidRPr="00000000">
        <w:rPr>
          <w:rFonts w:ascii="Georgia" w:cs="Georgia" w:eastAsia="Georgia" w:hAnsi="Georgia"/>
          <w:i w:val="1"/>
          <w:sz w:val="24"/>
          <w:szCs w:val="24"/>
          <w:rtl w:val="0"/>
        </w:rPr>
        <w:t xml:space="preserve">10 Anti-German Propaganda Posters from World War One</w:t>
      </w:r>
      <w:r w:rsidDel="00000000" w:rsidR="00000000" w:rsidRPr="00000000">
        <w:rPr>
          <w:rFonts w:ascii="Georgia" w:cs="Georgia" w:eastAsia="Georgia" w:hAnsi="Georgia"/>
          <w:sz w:val="24"/>
          <w:szCs w:val="24"/>
          <w:rtl w:val="0"/>
        </w:rPr>
        <w:t xml:space="preserve">. [Online]. HistoryHit. Available at: </w:t>
      </w:r>
      <w:hyperlink r:id="rId12">
        <w:r w:rsidDel="00000000" w:rsidR="00000000" w:rsidRPr="00000000">
          <w:rPr>
            <w:rFonts w:ascii="Georgia" w:cs="Georgia" w:eastAsia="Georgia" w:hAnsi="Georgia"/>
            <w:sz w:val="24"/>
            <w:szCs w:val="24"/>
            <w:u w:val="single"/>
            <w:rtl w:val="0"/>
          </w:rPr>
          <w:t xml:space="preserve">https://www.historyhit.com/culture/anti-german-propaganda-posters-from-world-war-one/</w:t>
        </w:r>
      </w:hyperlink>
      <w:r w:rsidDel="00000000" w:rsidR="00000000" w:rsidRPr="00000000">
        <w:rPr>
          <w:rFonts w:ascii="Georgia" w:cs="Georgia" w:eastAsia="Georgia" w:hAnsi="Georgia"/>
          <w:sz w:val="24"/>
          <w:szCs w:val="24"/>
          <w:rtl w:val="0"/>
        </w:rPr>
        <w:t xml:space="preserve"> [Accessed 18 January 2025].</w:t>
      </w:r>
    </w:p>
    <w:p w:rsidR="00000000" w:rsidDel="00000000" w:rsidP="00000000" w:rsidRDefault="00000000" w:rsidRPr="00000000" w14:paraId="0000002B">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C">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Capozzola, Christopher, 'Introduction: Uncle Sam Wants You', </w:t>
      </w:r>
      <w:r w:rsidDel="00000000" w:rsidR="00000000" w:rsidRPr="00000000">
        <w:rPr>
          <w:rFonts w:ascii="Georgia" w:cs="Georgia" w:eastAsia="Georgia" w:hAnsi="Georgia"/>
          <w:i w:val="1"/>
          <w:sz w:val="24"/>
          <w:szCs w:val="24"/>
          <w:rtl w:val="0"/>
        </w:rPr>
        <w:t xml:space="preserve">Uncle Sam Wants You: World War I and the Making of the Modern American Citizen</w:t>
      </w:r>
      <w:r w:rsidDel="00000000" w:rsidR="00000000" w:rsidRPr="00000000">
        <w:rPr>
          <w:rFonts w:ascii="Georgia" w:cs="Georgia" w:eastAsia="Georgia" w:hAnsi="Georgia"/>
          <w:sz w:val="24"/>
          <w:szCs w:val="24"/>
          <w:rtl w:val="0"/>
        </w:rPr>
        <w:t xml:space="preserve"> (New York, 2008; online edn, Oxford Academic, 1 Sept. 2008), </w:t>
      </w:r>
      <w:hyperlink r:id="rId13">
        <w:r w:rsidDel="00000000" w:rsidR="00000000" w:rsidRPr="00000000">
          <w:rPr>
            <w:rFonts w:ascii="Georgia" w:cs="Georgia" w:eastAsia="Georgia" w:hAnsi="Georgia"/>
            <w:sz w:val="24"/>
            <w:szCs w:val="24"/>
            <w:u w:val="single"/>
            <w:rtl w:val="0"/>
          </w:rPr>
          <w:t xml:space="preserve">https://doi.org/10.1093/acprof:oso/9780195335491.003.0001,</w:t>
        </w:r>
      </w:hyperlink>
      <w:r w:rsidDel="00000000" w:rsidR="00000000" w:rsidRPr="00000000">
        <w:rPr>
          <w:rFonts w:ascii="Georgia" w:cs="Georgia" w:eastAsia="Georgia" w:hAnsi="Georgia"/>
          <w:sz w:val="24"/>
          <w:szCs w:val="24"/>
          <w:rtl w:val="0"/>
        </w:rPr>
        <w:t xml:space="preserve"> accessed 20 Jan. 2025.</w:t>
      </w:r>
      <w:r w:rsidDel="00000000" w:rsidR="00000000" w:rsidRPr="00000000">
        <w:rPr>
          <w:rtl w:val="0"/>
        </w:rPr>
      </w:r>
    </w:p>
    <w:p w:rsidR="00000000" w:rsidDel="00000000" w:rsidP="00000000" w:rsidRDefault="00000000" w:rsidRPr="00000000" w14:paraId="0000002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E">
      <w:pPr>
        <w:rPr>
          <w:rFonts w:ascii="Georgia" w:cs="Georgia" w:eastAsia="Georgia" w:hAnsi="Georgia"/>
          <w:sz w:val="18"/>
          <w:szCs w:val="18"/>
        </w:rPr>
      </w:pPr>
      <w:r w:rsidDel="00000000" w:rsidR="00000000" w:rsidRPr="00000000">
        <w:rPr>
          <w:rFonts w:ascii="Georgia" w:cs="Georgia" w:eastAsia="Georgia" w:hAnsi="Georgia"/>
          <w:sz w:val="24"/>
          <w:szCs w:val="24"/>
          <w:rtl w:val="0"/>
        </w:rPr>
        <w:t xml:space="preserve">Gabriela Hammond. (2022). </w:t>
      </w:r>
      <w:r w:rsidDel="00000000" w:rsidR="00000000" w:rsidRPr="00000000">
        <w:rPr>
          <w:rFonts w:ascii="Georgia" w:cs="Georgia" w:eastAsia="Georgia" w:hAnsi="Georgia"/>
          <w:i w:val="1"/>
          <w:sz w:val="24"/>
          <w:szCs w:val="24"/>
          <w:rtl w:val="0"/>
        </w:rPr>
        <w:t xml:space="preserve">Statue of Liberty Meaning: What She Stands For</w:t>
      </w:r>
      <w:r w:rsidDel="00000000" w:rsidR="00000000" w:rsidRPr="00000000">
        <w:rPr>
          <w:rFonts w:ascii="Georgia" w:cs="Georgia" w:eastAsia="Georgia" w:hAnsi="Georgia"/>
          <w:sz w:val="24"/>
          <w:szCs w:val="24"/>
          <w:rtl w:val="0"/>
        </w:rPr>
        <w:t xml:space="preserve">. [Online]. Statue of Liberty Tour. Available at: </w:t>
      </w:r>
      <w:hyperlink r:id="rId14">
        <w:r w:rsidDel="00000000" w:rsidR="00000000" w:rsidRPr="00000000">
          <w:rPr>
            <w:rFonts w:ascii="Georgia" w:cs="Georgia" w:eastAsia="Georgia" w:hAnsi="Georgia"/>
            <w:sz w:val="24"/>
            <w:szCs w:val="24"/>
            <w:u w:val="single"/>
            <w:rtl w:val="0"/>
          </w:rPr>
          <w:t xml:space="preserve">https://www.statueoflibertytour.com/blog/statue-of-liberty-meaning-what-she-stands-for/</w:t>
        </w:r>
      </w:hyperlink>
      <w:r w:rsidDel="00000000" w:rsidR="00000000" w:rsidRPr="00000000">
        <w:rPr>
          <w:rFonts w:ascii="Georgia" w:cs="Georgia" w:eastAsia="Georgia" w:hAnsi="Georgia"/>
          <w:sz w:val="24"/>
          <w:szCs w:val="24"/>
          <w:rtl w:val="0"/>
        </w:rPr>
        <w:t xml:space="preserve"> [Accessed 18 January 2025].</w:t>
      </w:r>
      <w:r w:rsidDel="00000000" w:rsidR="00000000" w:rsidRPr="00000000">
        <w:rPr>
          <w:rtl w:val="0"/>
        </w:rPr>
      </w:r>
    </w:p>
    <w:p w:rsidR="00000000" w:rsidDel="00000000" w:rsidP="00000000" w:rsidRDefault="00000000" w:rsidRPr="00000000" w14:paraId="0000002F">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0">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Hopps H R. (1917). </w:t>
      </w:r>
      <w:r w:rsidDel="00000000" w:rsidR="00000000" w:rsidRPr="00000000">
        <w:rPr>
          <w:rFonts w:ascii="Georgia" w:cs="Georgia" w:eastAsia="Georgia" w:hAnsi="Georgia"/>
          <w:i w:val="1"/>
          <w:sz w:val="24"/>
          <w:szCs w:val="24"/>
          <w:rtl w:val="0"/>
        </w:rPr>
        <w:t xml:space="preserve">Destroy This Mad Brute</w:t>
      </w:r>
      <w:r w:rsidDel="00000000" w:rsidR="00000000" w:rsidRPr="00000000">
        <w:rPr>
          <w:rFonts w:ascii="Georgia" w:cs="Georgia" w:eastAsia="Georgia" w:hAnsi="Georgia"/>
          <w:sz w:val="24"/>
          <w:szCs w:val="24"/>
          <w:rtl w:val="0"/>
        </w:rPr>
        <w:t xml:space="preserve">. [Poster]. London: Imperial War Muesum.</w:t>
      </w:r>
    </w:p>
    <w:p w:rsidR="00000000" w:rsidDel="00000000" w:rsidP="00000000" w:rsidRDefault="00000000" w:rsidRPr="00000000" w14:paraId="00000031">
      <w:pPr>
        <w:rPr>
          <w:rFonts w:ascii="Georgia" w:cs="Georgia" w:eastAsia="Georgia" w:hAnsi="Georgia"/>
        </w:rPr>
      </w:pPr>
      <w:r w:rsidDel="00000000" w:rsidR="00000000" w:rsidRPr="00000000">
        <w:rPr>
          <w:rtl w:val="0"/>
        </w:rPr>
      </w:r>
    </w:p>
    <w:p w:rsidR="00000000" w:rsidDel="00000000" w:rsidP="00000000" w:rsidRDefault="00000000" w:rsidRPr="00000000" w14:paraId="00000032">
      <w:pPr>
        <w:rPr>
          <w:rFonts w:ascii="Georgia" w:cs="Georgia" w:eastAsia="Georgia" w:hAnsi="Georgia"/>
          <w:sz w:val="16"/>
          <w:szCs w:val="16"/>
        </w:rPr>
      </w:pPr>
      <w:r w:rsidDel="00000000" w:rsidR="00000000" w:rsidRPr="00000000">
        <w:rPr>
          <w:rFonts w:ascii="Georgia" w:cs="Georgia" w:eastAsia="Georgia" w:hAnsi="Georgia"/>
          <w:sz w:val="24"/>
          <w:szCs w:val="24"/>
          <w:rtl w:val="0"/>
        </w:rPr>
        <w:t xml:space="preserve">Imperial War Museum. (1917). </w:t>
      </w:r>
      <w:r w:rsidDel="00000000" w:rsidR="00000000" w:rsidRPr="00000000">
        <w:rPr>
          <w:rFonts w:ascii="Georgia" w:cs="Georgia" w:eastAsia="Georgia" w:hAnsi="Georgia"/>
          <w:i w:val="1"/>
          <w:sz w:val="24"/>
          <w:szCs w:val="24"/>
          <w:rtl w:val="0"/>
        </w:rPr>
        <w:t xml:space="preserve">Destroy This Mad Brute - Enlist</w:t>
      </w:r>
      <w:r w:rsidDel="00000000" w:rsidR="00000000" w:rsidRPr="00000000">
        <w:rPr>
          <w:rFonts w:ascii="Georgia" w:cs="Georgia" w:eastAsia="Georgia" w:hAnsi="Georgia"/>
          <w:sz w:val="24"/>
          <w:szCs w:val="24"/>
          <w:rtl w:val="0"/>
        </w:rPr>
        <w:t xml:space="preserve">. [Online]. Imperial War Museum. Available at: </w:t>
      </w:r>
      <w:hyperlink r:id="rId15">
        <w:r w:rsidDel="00000000" w:rsidR="00000000" w:rsidRPr="00000000">
          <w:rPr>
            <w:rFonts w:ascii="Georgia" w:cs="Georgia" w:eastAsia="Georgia" w:hAnsi="Georgia"/>
            <w:sz w:val="24"/>
            <w:szCs w:val="24"/>
            <w:u w:val="single"/>
            <w:rtl w:val="0"/>
          </w:rPr>
          <w:t xml:space="preserve">https://www.iwm.org.uk/ </w:t>
        </w:r>
      </w:hyperlink>
      <w:r w:rsidDel="00000000" w:rsidR="00000000" w:rsidRPr="00000000">
        <w:rPr>
          <w:rFonts w:ascii="Georgia" w:cs="Georgia" w:eastAsia="Georgia" w:hAnsi="Georgia"/>
          <w:sz w:val="24"/>
          <w:szCs w:val="24"/>
          <w:rtl w:val="0"/>
        </w:rPr>
        <w:t xml:space="preserve">[Accessed 18 January 2025].</w:t>
      </w:r>
      <w:r w:rsidDel="00000000" w:rsidR="00000000" w:rsidRPr="00000000">
        <w:rPr>
          <w:rtl w:val="0"/>
        </w:rPr>
      </w:r>
    </w:p>
    <w:p w:rsidR="00000000" w:rsidDel="00000000" w:rsidP="00000000" w:rsidRDefault="00000000" w:rsidRPr="00000000" w14:paraId="00000033">
      <w:pPr>
        <w:rPr>
          <w:rFonts w:ascii="Georgia" w:cs="Georgia" w:eastAsia="Georgia" w:hAnsi="Georgia"/>
        </w:rPr>
      </w:pPr>
      <w:r w:rsidDel="00000000" w:rsidR="00000000" w:rsidRPr="00000000">
        <w:rPr>
          <w:rtl w:val="0"/>
        </w:rPr>
      </w:r>
    </w:p>
    <w:p w:rsidR="00000000" w:rsidDel="00000000" w:rsidP="00000000" w:rsidRDefault="00000000" w:rsidRPr="00000000" w14:paraId="00000034">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James Montgomery Flagg. (1917). </w:t>
      </w:r>
      <w:r w:rsidDel="00000000" w:rsidR="00000000" w:rsidRPr="00000000">
        <w:rPr>
          <w:rFonts w:ascii="Georgia" w:cs="Georgia" w:eastAsia="Georgia" w:hAnsi="Georgia"/>
          <w:i w:val="1"/>
          <w:sz w:val="24"/>
          <w:szCs w:val="24"/>
          <w:rtl w:val="0"/>
        </w:rPr>
        <w:t xml:space="preserve">I WANT YOU FOR U.S ARMY</w:t>
      </w:r>
      <w:r w:rsidDel="00000000" w:rsidR="00000000" w:rsidRPr="00000000">
        <w:rPr>
          <w:rFonts w:ascii="Georgia" w:cs="Georgia" w:eastAsia="Georgia" w:hAnsi="Georgia"/>
          <w:sz w:val="24"/>
          <w:szCs w:val="24"/>
          <w:rtl w:val="0"/>
        </w:rPr>
        <w:t xml:space="preserve">. [Poster]. America: Smithsonian American Art Museum.</w:t>
      </w:r>
    </w:p>
    <w:p w:rsidR="00000000" w:rsidDel="00000000" w:rsidP="00000000" w:rsidRDefault="00000000" w:rsidRPr="00000000" w14:paraId="00000035">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6">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N/A. (1914). </w:t>
      </w:r>
      <w:r w:rsidDel="00000000" w:rsidR="00000000" w:rsidRPr="00000000">
        <w:rPr>
          <w:rFonts w:ascii="Georgia" w:cs="Georgia" w:eastAsia="Georgia" w:hAnsi="Georgia"/>
          <w:i w:val="1"/>
          <w:sz w:val="24"/>
          <w:szCs w:val="24"/>
          <w:rtl w:val="0"/>
        </w:rPr>
        <w:t xml:space="preserve">La bête féroce</w:t>
      </w:r>
      <w:r w:rsidDel="00000000" w:rsidR="00000000" w:rsidRPr="00000000">
        <w:rPr>
          <w:rFonts w:ascii="Georgia" w:cs="Georgia" w:eastAsia="Georgia" w:hAnsi="Georgia"/>
          <w:sz w:val="24"/>
          <w:szCs w:val="24"/>
          <w:rtl w:val="0"/>
        </w:rPr>
        <w:t xml:space="preserve">. [poster]. France: N/A.</w:t>
      </w:r>
    </w:p>
    <w:p w:rsidR="00000000" w:rsidDel="00000000" w:rsidP="00000000" w:rsidRDefault="00000000" w:rsidRPr="00000000" w14:paraId="00000037">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8">
      <w:pPr>
        <w:rPr>
          <w:rFonts w:ascii="Georgia" w:cs="Georgia" w:eastAsia="Georgia" w:hAnsi="Georgia"/>
          <w:sz w:val="18"/>
          <w:szCs w:val="18"/>
        </w:rPr>
      </w:pPr>
      <w:r w:rsidDel="00000000" w:rsidR="00000000" w:rsidRPr="00000000">
        <w:rPr>
          <w:rFonts w:ascii="Georgia" w:cs="Georgia" w:eastAsia="Georgia" w:hAnsi="Georgia"/>
          <w:sz w:val="24"/>
          <w:szCs w:val="24"/>
          <w:rtl w:val="0"/>
        </w:rPr>
        <w:t xml:space="preserve">Natalie Elder. (2013). </w:t>
      </w:r>
      <w:r w:rsidDel="00000000" w:rsidR="00000000" w:rsidRPr="00000000">
        <w:rPr>
          <w:rFonts w:ascii="Georgia" w:cs="Georgia" w:eastAsia="Georgia" w:hAnsi="Georgia"/>
          <w:i w:val="1"/>
          <w:sz w:val="24"/>
          <w:szCs w:val="24"/>
          <w:rtl w:val="0"/>
        </w:rPr>
        <w:t xml:space="preserve">Uncle Sam: The man and the meme</w:t>
      </w:r>
      <w:r w:rsidDel="00000000" w:rsidR="00000000" w:rsidRPr="00000000">
        <w:rPr>
          <w:rFonts w:ascii="Georgia" w:cs="Georgia" w:eastAsia="Georgia" w:hAnsi="Georgia"/>
          <w:sz w:val="24"/>
          <w:szCs w:val="24"/>
          <w:rtl w:val="0"/>
        </w:rPr>
        <w:t xml:space="preserve">. [Online]. National Museum of American History. Available at: </w:t>
      </w:r>
      <w:hyperlink r:id="rId16">
        <w:r w:rsidDel="00000000" w:rsidR="00000000" w:rsidRPr="00000000">
          <w:rPr>
            <w:rFonts w:ascii="Georgia" w:cs="Georgia" w:eastAsia="Georgia" w:hAnsi="Georgia"/>
            <w:sz w:val="24"/>
            <w:szCs w:val="24"/>
            <w:u w:val="single"/>
            <w:rtl w:val="0"/>
          </w:rPr>
          <w:t xml:space="preserve">https://americanhistory.si.edu/explore/stories/uncle-sam-man-and-meme </w:t>
        </w:r>
      </w:hyperlink>
      <w:r w:rsidDel="00000000" w:rsidR="00000000" w:rsidRPr="00000000">
        <w:rPr>
          <w:rFonts w:ascii="Georgia" w:cs="Georgia" w:eastAsia="Georgia" w:hAnsi="Georgia"/>
          <w:sz w:val="24"/>
          <w:szCs w:val="24"/>
          <w:rtl w:val="0"/>
        </w:rPr>
        <w:t xml:space="preserve">[Accessed 18 January 2025].</w:t>
      </w:r>
      <w:r w:rsidDel="00000000" w:rsidR="00000000" w:rsidRPr="00000000">
        <w:rPr>
          <w:rtl w:val="0"/>
        </w:rPr>
      </w:r>
    </w:p>
    <w:p w:rsidR="00000000" w:rsidDel="00000000" w:rsidP="00000000" w:rsidRDefault="00000000" w:rsidRPr="00000000" w14:paraId="00000039">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A">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Norman Lindsay. (1918). </w:t>
      </w:r>
      <w:r w:rsidDel="00000000" w:rsidR="00000000" w:rsidRPr="00000000">
        <w:rPr>
          <w:rFonts w:ascii="Georgia" w:cs="Georgia" w:eastAsia="Georgia" w:hAnsi="Georgia"/>
          <w:i w:val="1"/>
          <w:sz w:val="24"/>
          <w:szCs w:val="24"/>
          <w:rtl w:val="0"/>
        </w:rPr>
        <w:t xml:space="preserve">The Question Mark</w:t>
      </w:r>
      <w:r w:rsidDel="00000000" w:rsidR="00000000" w:rsidRPr="00000000">
        <w:rPr>
          <w:rFonts w:ascii="Georgia" w:cs="Georgia" w:eastAsia="Georgia" w:hAnsi="Georgia"/>
          <w:sz w:val="24"/>
          <w:szCs w:val="24"/>
          <w:rtl w:val="0"/>
        </w:rPr>
        <w:t xml:space="preserve">. [poster]. Australia.</w:t>
      </w:r>
    </w:p>
    <w:p w:rsidR="00000000" w:rsidDel="00000000" w:rsidP="00000000" w:rsidRDefault="00000000" w:rsidRPr="00000000" w14:paraId="0000003B">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C">
      <w:pPr>
        <w:rPr>
          <w:rFonts w:ascii="Georgia" w:cs="Georgia" w:eastAsia="Georgia" w:hAnsi="Georgia"/>
          <w:sz w:val="18"/>
          <w:szCs w:val="18"/>
        </w:rPr>
      </w:pPr>
      <w:r w:rsidDel="00000000" w:rsidR="00000000" w:rsidRPr="00000000">
        <w:rPr>
          <w:rFonts w:ascii="Georgia" w:cs="Georgia" w:eastAsia="Georgia" w:hAnsi="Georgia"/>
          <w:sz w:val="24"/>
          <w:szCs w:val="24"/>
          <w:rtl w:val="0"/>
        </w:rPr>
        <w:t xml:space="preserve">Otto Dix. (1924). </w:t>
      </w:r>
      <w:r w:rsidDel="00000000" w:rsidR="00000000" w:rsidRPr="00000000">
        <w:rPr>
          <w:rFonts w:ascii="Georgia" w:cs="Georgia" w:eastAsia="Georgia" w:hAnsi="Georgia"/>
          <w:i w:val="1"/>
          <w:sz w:val="24"/>
          <w:szCs w:val="24"/>
          <w:rtl w:val="0"/>
        </w:rPr>
        <w:t xml:space="preserve">Shock Troops Under Gas Attack</w:t>
      </w:r>
      <w:r w:rsidDel="00000000" w:rsidR="00000000" w:rsidRPr="00000000">
        <w:rPr>
          <w:rFonts w:ascii="Georgia" w:cs="Georgia" w:eastAsia="Georgia" w:hAnsi="Georgia"/>
          <w:sz w:val="24"/>
          <w:szCs w:val="24"/>
          <w:rtl w:val="0"/>
        </w:rPr>
        <w:t xml:space="preserve">. [Painting]. New York: MoMA</w:t>
      </w:r>
      <w:r w:rsidDel="00000000" w:rsidR="00000000" w:rsidRPr="00000000">
        <w:rPr>
          <w:rtl w:val="0"/>
        </w:rPr>
      </w:r>
    </w:p>
    <w:p w:rsidR="00000000" w:rsidDel="00000000" w:rsidP="00000000" w:rsidRDefault="00000000" w:rsidRPr="00000000" w14:paraId="0000003D">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3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PATRICIA O'TOOLE. (2023). </w:t>
      </w:r>
      <w:r w:rsidDel="00000000" w:rsidR="00000000" w:rsidRPr="00000000">
        <w:rPr>
          <w:rFonts w:ascii="Georgia" w:cs="Georgia" w:eastAsia="Georgia" w:hAnsi="Georgia"/>
          <w:i w:val="1"/>
          <w:sz w:val="24"/>
          <w:szCs w:val="24"/>
          <w:rtl w:val="0"/>
        </w:rPr>
        <w:t xml:space="preserve">How the US Government Used Propaganda to Sell Americans on World War I</w:t>
      </w:r>
      <w:r w:rsidDel="00000000" w:rsidR="00000000" w:rsidRPr="00000000">
        <w:rPr>
          <w:rFonts w:ascii="Georgia" w:cs="Georgia" w:eastAsia="Georgia" w:hAnsi="Georgia"/>
          <w:sz w:val="24"/>
          <w:szCs w:val="24"/>
          <w:rtl w:val="0"/>
        </w:rPr>
        <w:t xml:space="preserve">. [Online]. HISTORY. Available at: </w:t>
      </w:r>
      <w:hyperlink r:id="rId17">
        <w:r w:rsidDel="00000000" w:rsidR="00000000" w:rsidRPr="00000000">
          <w:rPr>
            <w:rFonts w:ascii="Georgia" w:cs="Georgia" w:eastAsia="Georgia" w:hAnsi="Georgia"/>
            <w:sz w:val="24"/>
            <w:szCs w:val="24"/>
            <w:u w:val="single"/>
            <w:rtl w:val="0"/>
          </w:rPr>
          <w:t xml:space="preserve">https://www.history.com/news/world-war-1-propaganda-woodrow-wilson-fake-news</w:t>
        </w:r>
      </w:hyperlink>
      <w:r w:rsidDel="00000000" w:rsidR="00000000" w:rsidRPr="00000000">
        <w:rPr>
          <w:rFonts w:ascii="Georgia" w:cs="Georgia" w:eastAsia="Georgia" w:hAnsi="Georgia"/>
          <w:sz w:val="24"/>
          <w:szCs w:val="24"/>
          <w:rtl w:val="0"/>
        </w:rPr>
        <w:t xml:space="preserve"> [Accessed 18 January 2024</w:t>
      </w:r>
    </w:p>
    <w:p w:rsidR="00000000" w:rsidDel="00000000" w:rsidP="00000000" w:rsidRDefault="00000000" w:rsidRPr="00000000" w14:paraId="0000003F">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40">
      <w:pPr>
        <w:shd w:fill="ffffff" w:val="clear"/>
        <w:spacing w:after="160" w:lineRule="auto"/>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The Alfred H. Barr, Jr. Galleries. (N/A). </w:t>
      </w:r>
      <w:r w:rsidDel="00000000" w:rsidR="00000000" w:rsidRPr="00000000">
        <w:rPr>
          <w:rFonts w:ascii="Georgia" w:cs="Georgia" w:eastAsia="Georgia" w:hAnsi="Georgia"/>
          <w:i w:val="1"/>
          <w:sz w:val="24"/>
          <w:szCs w:val="24"/>
          <w:rtl w:val="0"/>
        </w:rPr>
        <w:t xml:space="preserve">Otto Dix Shock Troops Advance under Gas (Sturmtruppe geht unter Gas vor) from The War (Der Krieg) 1924</w:t>
      </w:r>
      <w:r w:rsidDel="00000000" w:rsidR="00000000" w:rsidRPr="00000000">
        <w:rPr>
          <w:rFonts w:ascii="Georgia" w:cs="Georgia" w:eastAsia="Georgia" w:hAnsi="Georgia"/>
          <w:sz w:val="24"/>
          <w:szCs w:val="24"/>
          <w:rtl w:val="0"/>
        </w:rPr>
        <w:t xml:space="preserve">. [Online]. </w:t>
      </w:r>
      <w:hyperlink r:id="rId18">
        <w:r w:rsidDel="00000000" w:rsidR="00000000" w:rsidRPr="00000000">
          <w:rPr>
            <w:rFonts w:ascii="Georgia" w:cs="Georgia" w:eastAsia="Georgia" w:hAnsi="Georgia"/>
            <w:sz w:val="24"/>
            <w:szCs w:val="24"/>
            <w:u w:val="single"/>
            <w:rtl w:val="0"/>
          </w:rPr>
          <w:t xml:space="preserve">moMA. Available at: https://www.moma.org/collection/works/63260</w:t>
        </w:r>
      </w:hyperlink>
      <w:r w:rsidDel="00000000" w:rsidR="00000000" w:rsidRPr="00000000">
        <w:rPr>
          <w:rFonts w:ascii="Georgia" w:cs="Georgia" w:eastAsia="Georgia" w:hAnsi="Georgia"/>
          <w:sz w:val="24"/>
          <w:szCs w:val="24"/>
          <w:rtl w:val="0"/>
        </w:rPr>
        <w:t xml:space="preserve"> [Accessed 18 January 2025]</w:t>
      </w:r>
    </w:p>
    <w:p w:rsidR="00000000" w:rsidDel="00000000" w:rsidP="00000000" w:rsidRDefault="00000000" w:rsidRPr="00000000" w14:paraId="0000004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42">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43">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4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45">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6">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7">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8">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9">
      <w:pPr>
        <w:shd w:fill="ffffff" w:val="clear"/>
        <w:ind w:left="0" w:firstLine="0"/>
        <w:rPr>
          <w:rFonts w:ascii="Georgia" w:cs="Georgia" w:eastAsia="Georgia" w:hAnsi="Georgia"/>
          <w:sz w:val="24"/>
          <w:szCs w:val="24"/>
          <w:highlight w:val="green"/>
        </w:rPr>
      </w:pPr>
      <w:r w:rsidDel="00000000" w:rsidR="00000000" w:rsidRPr="00000000">
        <w:rPr>
          <w:rtl w:val="0"/>
        </w:rPr>
      </w:r>
    </w:p>
    <w:p w:rsidR="00000000" w:rsidDel="00000000" w:rsidP="00000000" w:rsidRDefault="00000000" w:rsidRPr="00000000" w14:paraId="0000004A">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B">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sectPr>
      <w:headerReference r:id="rId1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2">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https://www.history.com/news/world-war-1-propaganda-woodrow-wilson-fake-news</w:t>
        </w:r>
      </w:hyperlink>
      <w:r w:rsidDel="00000000" w:rsidR="00000000" w:rsidRPr="00000000">
        <w:rPr>
          <w:rtl w:val="0"/>
        </w:rPr>
      </w:r>
    </w:p>
  </w:footnote>
  <w:footnote w:id="3">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sz w:val="20"/>
            <w:szCs w:val="20"/>
            <w:u w:val="single"/>
            <w:rtl w:val="0"/>
          </w:rPr>
          <w:t xml:space="preserve"> https://www.historyhit.com/culture/anti-german-propaganda-posters-from-world-war-one/</w:t>
        </w:r>
      </w:hyperlink>
      <w:r w:rsidDel="00000000" w:rsidR="00000000" w:rsidRPr="00000000">
        <w:rPr>
          <w:rtl w:val="0"/>
        </w:rPr>
      </w:r>
    </w:p>
  </w:footnote>
  <w:footnote w:id="4">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https://www.historyhit.com/culture/anti-german-propaganda-posters-from-world-war-one/</w:t>
        </w:r>
      </w:hyperlink>
      <w:r w:rsidDel="00000000" w:rsidR="00000000" w:rsidRPr="00000000">
        <w:rPr>
          <w:rtl w:val="0"/>
        </w:rPr>
      </w:r>
    </w:p>
  </w:footnote>
  <w:footnote w:id="6">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hyperlink r:id="rId4">
        <w:r w:rsidDel="00000000" w:rsidR="00000000" w:rsidRPr="00000000">
          <w:rPr>
            <w:color w:val="1155cc"/>
            <w:sz w:val="20"/>
            <w:szCs w:val="20"/>
            <w:u w:val="single"/>
            <w:rtl w:val="0"/>
          </w:rPr>
          <w:t xml:space="preserve"> https://americanhistory.si.edu/explore/stories/uncle-sam-man-and-meme</w:t>
        </w:r>
      </w:hyperlink>
      <w:r w:rsidDel="00000000" w:rsidR="00000000" w:rsidRPr="00000000">
        <w:rPr>
          <w:rtl w:val="0"/>
        </w:rPr>
      </w:r>
    </w:p>
  </w:footnote>
  <w:footnote w:id="0">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hyperlink r:id="rId5">
        <w:r w:rsidDel="00000000" w:rsidR="00000000" w:rsidRPr="00000000">
          <w:rPr>
            <w:color w:val="1155cc"/>
            <w:sz w:val="20"/>
            <w:szCs w:val="20"/>
            <w:u w:val="single"/>
            <w:rtl w:val="0"/>
          </w:rPr>
          <w:t xml:space="preserve"> https://www.iwm.org.uk/collections/item/object/13610</w:t>
        </w:r>
      </w:hyperlink>
      <w:r w:rsidDel="00000000" w:rsidR="00000000" w:rsidRPr="00000000">
        <w:rPr>
          <w:rtl w:val="0"/>
        </w:rPr>
      </w:r>
    </w:p>
  </w:footnote>
  <w:footnote w:id="5">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hyperlink r:id="rId6">
        <w:r w:rsidDel="00000000" w:rsidR="00000000" w:rsidRPr="00000000">
          <w:rPr>
            <w:color w:val="1155cc"/>
            <w:sz w:val="20"/>
            <w:szCs w:val="20"/>
            <w:u w:val="single"/>
            <w:rtl w:val="0"/>
          </w:rPr>
          <w:t xml:space="preserve"> https://www.statueoflibertytour.com/blog/statue-of-liberty-meaning-what-she-stands-for/</w:t>
        </w:r>
      </w:hyperlink>
      <w:r w:rsidDel="00000000" w:rsidR="00000000" w:rsidRPr="00000000">
        <w:rPr>
          <w:rtl w:val="0"/>
        </w:rPr>
      </w:r>
    </w:p>
  </w:footnote>
  <w:footnote w:id="8">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hyperlink r:id="rId7">
        <w:r w:rsidDel="00000000" w:rsidR="00000000" w:rsidRPr="00000000">
          <w:rPr>
            <w:color w:val="1155cc"/>
            <w:sz w:val="20"/>
            <w:szCs w:val="20"/>
            <w:u w:val="single"/>
            <w:rtl w:val="0"/>
          </w:rPr>
          <w:t xml:space="preserve"> https://www.moma.org/collection/works/63260</w:t>
        </w:r>
      </w:hyperlink>
      <w:r w:rsidDel="00000000" w:rsidR="00000000" w:rsidRPr="00000000">
        <w:rPr>
          <w:rtl w:val="0"/>
        </w:rPr>
      </w:r>
    </w:p>
  </w:footnote>
  <w:footnote w:id="7">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hyperlink r:id="rId8">
        <w:r w:rsidDel="00000000" w:rsidR="00000000" w:rsidRPr="00000000">
          <w:rPr>
            <w:color w:val="1155cc"/>
            <w:sz w:val="20"/>
            <w:szCs w:val="20"/>
            <w:u w:val="single"/>
            <w:rtl w:val="0"/>
          </w:rPr>
          <w:t xml:space="preserve"> https://academic.oup.com/book/11171/chapter/159639698</w:t>
        </w:r>
      </w:hyperlink>
      <w:r w:rsidDel="00000000" w:rsidR="00000000" w:rsidRPr="00000000">
        <w:rPr>
          <w:rtl w:val="0"/>
        </w:rPr>
      </w:r>
    </w:p>
  </w:footnote>
  <w:footnote w:id="1">
    <w:p w:rsidR="00000000" w:rsidDel="00000000" w:rsidP="00000000" w:rsidRDefault="00000000" w:rsidRPr="00000000" w14:paraId="00000058">
      <w:pPr>
        <w:spacing w:line="240" w:lineRule="auto"/>
        <w:rPr>
          <w:sz w:val="20"/>
          <w:szCs w:val="20"/>
        </w:rPr>
      </w:pPr>
      <w:r w:rsidDel="00000000" w:rsidR="00000000" w:rsidRPr="00000000">
        <w:rPr>
          <w:rStyle w:val="FootnoteReference"/>
          <w:vertAlign w:val="superscript"/>
        </w:rPr>
        <w:footnoteRef/>
      </w:r>
      <w:hyperlink r:id="rId9">
        <w:r w:rsidDel="00000000" w:rsidR="00000000" w:rsidRPr="00000000">
          <w:rPr>
            <w:color w:val="1155cc"/>
            <w:sz w:val="20"/>
            <w:szCs w:val="20"/>
            <w:u w:val="single"/>
            <w:rtl w:val="0"/>
          </w:rPr>
          <w:t xml:space="preserve"> https://www.iwm.org.uk/collections/item/object/13610</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rPr>
        <w:rFonts w:ascii="Georgia" w:cs="Georgia" w:eastAsia="Georgia" w:hAnsi="Georgia"/>
        <w:sz w:val="24"/>
        <w:szCs w:val="24"/>
      </w:rPr>
    </w:pPr>
    <w:r w:rsidDel="00000000" w:rsidR="00000000" w:rsidRPr="00000000">
      <w:rPr>
        <w:rtl w:val="0"/>
      </w:rPr>
      <w:t xml:space="preserve">Katie Howell                         Wordcount- 1823</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2.png"/><Relationship Id="rId13" Type="http://schemas.openxmlformats.org/officeDocument/2006/relationships/hyperlink" Target="https://doi.org/10.1093/acprof:oso/9780195335491.003.0001" TargetMode="External"/><Relationship Id="rId12" Type="http://schemas.openxmlformats.org/officeDocument/2006/relationships/hyperlink" Target="https://www.historyhit.com/culture/anti-german-propaganda-posters-from-world-war-on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 Id="rId15" Type="http://schemas.openxmlformats.org/officeDocument/2006/relationships/hyperlink" Target="https://www.iwm.org.uk/" TargetMode="External"/><Relationship Id="rId14" Type="http://schemas.openxmlformats.org/officeDocument/2006/relationships/hyperlink" Target="https://www.statueoflibertytour.com/blog/statue-of-liberty-meaning-what-she-stands-for/" TargetMode="External"/><Relationship Id="rId17" Type="http://schemas.openxmlformats.org/officeDocument/2006/relationships/hyperlink" Target="https://www.history.com/news/world-war-1-propaganda-woodrow-wilson-fake-news" TargetMode="External"/><Relationship Id="rId16" Type="http://schemas.openxmlformats.org/officeDocument/2006/relationships/hyperlink" Target="https://americanhistory.si.edu/explore/stories/uncle-sam-man-and-meme" TargetMode="External"/><Relationship Id="rId5" Type="http://schemas.openxmlformats.org/officeDocument/2006/relationships/numbering" Target="numbering.xml"/><Relationship Id="rId19" Type="http://schemas.openxmlformats.org/officeDocument/2006/relationships/header" Target="header1.xml"/><Relationship Id="rId6" Type="http://schemas.openxmlformats.org/officeDocument/2006/relationships/styles" Target="styles.xml"/><Relationship Id="rId18" Type="http://schemas.openxmlformats.org/officeDocument/2006/relationships/hyperlink" Target="https://www.moma.org/collection/works/63260" TargetMode="External"/><Relationship Id="rId7" Type="http://schemas.openxmlformats.org/officeDocument/2006/relationships/image" Target="media/image4.png"/><Relationship Id="rId8" Type="http://schemas.openxmlformats.org/officeDocument/2006/relationships/image" Target="media/image5.png"/></Relationships>
</file>

<file path=word/_rels/footnotes.xml.rels><?xml version="1.0" encoding="UTF-8" standalone="yes"?><Relationships xmlns="http://schemas.openxmlformats.org/package/2006/relationships"><Relationship Id="rId1" Type="http://schemas.openxmlformats.org/officeDocument/2006/relationships/hyperlink" Target="https://www.history.com/news/world-war-1-propaganda-woodrow-wilson-fake-news" TargetMode="External"/><Relationship Id="rId2" Type="http://schemas.openxmlformats.org/officeDocument/2006/relationships/hyperlink" Target="https://www.historyhit.com/culture/anti-german-propaganda-posters-from-world-war-one/" TargetMode="External"/><Relationship Id="rId3" Type="http://schemas.openxmlformats.org/officeDocument/2006/relationships/hyperlink" Target="https://www.historyhit.com/culture/anti-german-propaganda-posters-from-world-war-one/" TargetMode="External"/><Relationship Id="rId4" Type="http://schemas.openxmlformats.org/officeDocument/2006/relationships/hyperlink" Target="https://americanhistory.si.edu/explore/stories/uncle-sam-man-and-meme" TargetMode="External"/><Relationship Id="rId9" Type="http://schemas.openxmlformats.org/officeDocument/2006/relationships/hyperlink" Target="https://www.iwm.org.uk/collections/item/object/13610" TargetMode="External"/><Relationship Id="rId5" Type="http://schemas.openxmlformats.org/officeDocument/2006/relationships/hyperlink" Target="https://www.iwm.org.uk/collections/item/object/13610" TargetMode="External"/><Relationship Id="rId6" Type="http://schemas.openxmlformats.org/officeDocument/2006/relationships/hyperlink" Target="https://www.statueoflibertytour.com/blog/statue-of-liberty-meaning-what-she-stands-for/" TargetMode="External"/><Relationship Id="rId7" Type="http://schemas.openxmlformats.org/officeDocument/2006/relationships/hyperlink" Target="https://www.moma.org/collection/works/63260" TargetMode="External"/><Relationship Id="rId8" Type="http://schemas.openxmlformats.org/officeDocument/2006/relationships/hyperlink" Target="https://academic.oup.com/book/11171/chapter/159639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