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F424D" w14:textId="0ED4B01F" w:rsidR="00AD7932" w:rsidRDefault="00AD7932" w:rsidP="00AD7932"/>
    <w:p w14:paraId="7D1F2F47" w14:textId="523B638C" w:rsidR="00AD7932" w:rsidRDefault="00AD7932" w:rsidP="00AD7932">
      <w:r>
        <w:t xml:space="preserve">In today's dynamic and competitive world, acquiring essential </w:t>
      </w:r>
      <w:r w:rsidR="00304F8F">
        <w:t>skills</w:t>
      </w:r>
      <w:r w:rsidR="00304F8F">
        <w:t xml:space="preserve"> is instrumental in achieving a successful academic journey, but also in the professional landscape. </w:t>
      </w:r>
      <w:r>
        <w:t xml:space="preserve">This summary explores </w:t>
      </w:r>
      <w:r w:rsidR="00304F8F">
        <w:t>5 essential transferable skills</w:t>
      </w:r>
      <w:r>
        <w:t xml:space="preserve"> and how they can support individuals in their chosen careers after graduation.</w:t>
      </w:r>
    </w:p>
    <w:p w14:paraId="3065B68C" w14:textId="77777777" w:rsidR="00AD7932" w:rsidRDefault="00AD7932" w:rsidP="00AD7932"/>
    <w:p w14:paraId="4918E729" w14:textId="77777777" w:rsidR="00AD7932" w:rsidRDefault="00AD7932" w:rsidP="00AD7932">
      <w:r>
        <w:t>1. Communication Skills:</w:t>
      </w:r>
    </w:p>
    <w:p w14:paraId="5B68E29D" w14:textId="62DBC3D4" w:rsidR="00AD7932" w:rsidRDefault="00AD7932" w:rsidP="00AD7932">
      <w:r>
        <w:t>Effective communication is fundamental in any professional setting. It involves conveying ideas clearly, active listening, and adapting communication styles to different audiences</w:t>
      </w:r>
      <w:r w:rsidR="00304F8F">
        <w:t xml:space="preserve"> allowing</w:t>
      </w:r>
      <w:r>
        <w:t xml:space="preserve"> individuals to articulate their thoughts, collaborate effectively, and build meaningful relationships with colleagues</w:t>
      </w:r>
      <w:r w:rsidR="00304F8F">
        <w:t xml:space="preserve"> and clients</w:t>
      </w:r>
      <w:r>
        <w:t>.</w:t>
      </w:r>
      <w:r w:rsidR="00304F8F">
        <w:t xml:space="preserve"> </w:t>
      </w:r>
      <w:r w:rsidRPr="00AD7932">
        <w:rPr>
          <w:vertAlign w:val="superscript"/>
        </w:rPr>
        <w:t>[2]</w:t>
      </w:r>
    </w:p>
    <w:p w14:paraId="61CA8F41" w14:textId="77777777" w:rsidR="00AD7932" w:rsidRDefault="00AD7932" w:rsidP="00AD7932"/>
    <w:p w14:paraId="32E691DF" w14:textId="491F59DB" w:rsidR="00AD7932" w:rsidRDefault="00AD7932" w:rsidP="00AD7932">
      <w:r>
        <w:t xml:space="preserve">2. Critical Thinking </w:t>
      </w:r>
      <w:r w:rsidR="00304F8F">
        <w:t>/</w:t>
      </w:r>
      <w:r>
        <w:t xml:space="preserve"> Problem-Solving:</w:t>
      </w:r>
    </w:p>
    <w:p w14:paraId="5276E902" w14:textId="3049DF6C" w:rsidR="00AD7932" w:rsidRDefault="00AD7932" w:rsidP="00AD7932">
      <w:r>
        <w:t xml:space="preserve">Critical thinking and problem-solving skills enable individuals to </w:t>
      </w:r>
      <w:r>
        <w:t>analyse</w:t>
      </w:r>
      <w:r>
        <w:t xml:space="preserve"> complex situations, evaluate information, and develop innovative solutions. These skills promote sound decision-making, creativity, and adaptability.</w:t>
      </w:r>
      <w:r w:rsidR="000C128D">
        <w:t xml:space="preserve"> </w:t>
      </w:r>
      <w:r w:rsidR="000C128D" w:rsidRPr="000C128D">
        <w:rPr>
          <w:vertAlign w:val="superscript"/>
        </w:rPr>
        <w:t>[3]</w:t>
      </w:r>
    </w:p>
    <w:p w14:paraId="36D5D921" w14:textId="77777777" w:rsidR="00AD7932" w:rsidRDefault="00AD7932" w:rsidP="00AD7932"/>
    <w:p w14:paraId="44F793F1" w14:textId="77777777" w:rsidR="00AD7932" w:rsidRDefault="00AD7932" w:rsidP="00AD7932">
      <w:r>
        <w:t>3. Digital Literacy:</w:t>
      </w:r>
    </w:p>
    <w:p w14:paraId="68F34CEE" w14:textId="17F519D4" w:rsidR="00AD7932" w:rsidRDefault="00AD7932" w:rsidP="00AD7932">
      <w:r>
        <w:t xml:space="preserve">In an increasingly digitized world, digital literacy is essential. It encompasses the ability to use technology effectively </w:t>
      </w:r>
      <w:r w:rsidR="00304F8F">
        <w:t xml:space="preserve">and </w:t>
      </w:r>
      <w:r>
        <w:t>navigate digital platforms</w:t>
      </w:r>
      <w:r w:rsidR="00304F8F">
        <w:t xml:space="preserve">. </w:t>
      </w:r>
      <w:r>
        <w:t>Proficiency in digital literacy enhances efficiency, facilitates information access, and opens doors to diverse career opportunities.</w:t>
      </w:r>
    </w:p>
    <w:p w14:paraId="58DB3222" w14:textId="77777777" w:rsidR="00AD7932" w:rsidRDefault="00AD7932" w:rsidP="00AD7932"/>
    <w:p w14:paraId="6C1F1CDD" w14:textId="743006EF" w:rsidR="00AD7932" w:rsidRDefault="00AD7932" w:rsidP="00AD7932">
      <w:r>
        <w:t>4. Teamwork</w:t>
      </w:r>
      <w:r w:rsidR="00304F8F">
        <w:t>:</w:t>
      </w:r>
    </w:p>
    <w:p w14:paraId="00A33450" w14:textId="5453074D" w:rsidR="00AD7932" w:rsidRDefault="00AD7932" w:rsidP="00AD7932">
      <w:r>
        <w:t>The ability to work collaboratively in diverse teams is vital in the workplace. Teamwork skills involve active participation, effective communication, conflict resolution, and cooperation. Building strong teamwork skills promotes synergy, fosters innovation, and maximizes productivity</w:t>
      </w:r>
      <w:r w:rsidR="000C128D">
        <w:t xml:space="preserve">. </w:t>
      </w:r>
      <w:r w:rsidR="000C128D" w:rsidRPr="000C128D">
        <w:rPr>
          <w:vertAlign w:val="superscript"/>
        </w:rPr>
        <w:t>[4]</w:t>
      </w:r>
    </w:p>
    <w:p w14:paraId="101A9571" w14:textId="77777777" w:rsidR="00AD7932" w:rsidRDefault="00AD7932" w:rsidP="00AD7932"/>
    <w:p w14:paraId="66E3C240" w14:textId="7186F4D5" w:rsidR="00AD7932" w:rsidRDefault="00AD7932" w:rsidP="00AD7932">
      <w:r>
        <w:t>5. Adaptability:</w:t>
      </w:r>
    </w:p>
    <w:p w14:paraId="4AA0116A" w14:textId="0EBB4E1B" w:rsidR="00AD7932" w:rsidRDefault="00AD7932" w:rsidP="00AD7932">
      <w:r>
        <w:t xml:space="preserve">The modern job market is constantly evolving, requiring individuals to be adaptable and resilient. Adaptable </w:t>
      </w:r>
      <w:r w:rsidR="00304F8F">
        <w:t>people</w:t>
      </w:r>
      <w:r>
        <w:t xml:space="preserve"> embrace change, learn new skills, and seize opportunities</w:t>
      </w:r>
      <w:r w:rsidR="00304F8F">
        <w:t xml:space="preserve"> and r</w:t>
      </w:r>
      <w:r>
        <w:t xml:space="preserve">esilience enables </w:t>
      </w:r>
      <w:r w:rsidR="00304F8F">
        <w:t>them</w:t>
      </w:r>
      <w:r>
        <w:t xml:space="preserve"> to bounce back from setbacks, overcome challenges, and maintain a positive mindset amidst adversity.</w:t>
      </w:r>
      <w:r w:rsidR="000C128D">
        <w:t xml:space="preserve"> </w:t>
      </w:r>
      <w:r w:rsidR="000C128D" w:rsidRPr="000C128D">
        <w:rPr>
          <w:vertAlign w:val="superscript"/>
        </w:rPr>
        <w:t>[4]</w:t>
      </w:r>
    </w:p>
    <w:p w14:paraId="45E5528C" w14:textId="77777777" w:rsidR="00E90529" w:rsidRDefault="00E90529"/>
    <w:p w14:paraId="2857A161"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[1]</w:t>
      </w:r>
    </w:p>
    <w:p w14:paraId="44D6BD50"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 xml:space="preserve">US GOVERNMENT, “PCRN: Employability Skills,” </w:t>
      </w:r>
      <w:r w:rsidRPr="000C128D">
        <w:rPr>
          <w:rFonts w:ascii="Times New Roman" w:eastAsia="Times New Roman" w:hAnsi="Times New Roman" w:cs="Times New Roman"/>
          <w:i/>
          <w:iCs/>
          <w:sz w:val="24"/>
          <w:szCs w:val="24"/>
        </w:rPr>
        <w:t>cte.ed.gov</w:t>
      </w:r>
      <w:r w:rsidRPr="000C128D">
        <w:rPr>
          <w:rFonts w:ascii="Times New Roman" w:eastAsia="Times New Roman" w:hAnsi="Times New Roman" w:cs="Times New Roman"/>
          <w:sz w:val="24"/>
          <w:szCs w:val="24"/>
        </w:rPr>
        <w:t>. https://cte.ed.gov/initiatives/employability-skills-framework</w:t>
      </w:r>
    </w:p>
    <w:p w14:paraId="7D296CF1"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[2]</w:t>
      </w:r>
    </w:p>
    <w:p w14:paraId="3945534F"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 xml:space="preserve">K. Kelley, “Why are Employability Skills Important,” </w:t>
      </w:r>
      <w:r w:rsidRPr="000C128D">
        <w:rPr>
          <w:rFonts w:ascii="Times New Roman" w:eastAsia="Times New Roman" w:hAnsi="Times New Roman" w:cs="Times New Roman"/>
          <w:i/>
          <w:iCs/>
          <w:sz w:val="24"/>
          <w:szCs w:val="24"/>
        </w:rPr>
        <w:t>Simplilearn.com</w:t>
      </w:r>
      <w:r w:rsidRPr="000C128D">
        <w:rPr>
          <w:rFonts w:ascii="Times New Roman" w:eastAsia="Times New Roman" w:hAnsi="Times New Roman" w:cs="Times New Roman"/>
          <w:sz w:val="24"/>
          <w:szCs w:val="24"/>
        </w:rPr>
        <w:t>, Jun. 05, 2020. https://www.simplilearn.com/why-are-employability-skills-important-article</w:t>
      </w:r>
    </w:p>
    <w:p w14:paraId="3399DDFC"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[3]</w:t>
      </w:r>
    </w:p>
    <w:p w14:paraId="30E5CFAF"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 xml:space="preserve">A. </w:t>
      </w:r>
      <w:proofErr w:type="spellStart"/>
      <w:r w:rsidRPr="000C128D">
        <w:rPr>
          <w:rFonts w:ascii="Times New Roman" w:eastAsia="Times New Roman" w:hAnsi="Times New Roman" w:cs="Times New Roman"/>
          <w:sz w:val="24"/>
          <w:szCs w:val="24"/>
        </w:rPr>
        <w:t>Cordiner</w:t>
      </w:r>
      <w:proofErr w:type="spellEnd"/>
      <w:r w:rsidRPr="000C128D">
        <w:rPr>
          <w:rFonts w:ascii="Times New Roman" w:eastAsia="Times New Roman" w:hAnsi="Times New Roman" w:cs="Times New Roman"/>
          <w:sz w:val="24"/>
          <w:szCs w:val="24"/>
        </w:rPr>
        <w:t xml:space="preserve">, “Employability Skills: 10 Skills Your Students Need,” </w:t>
      </w:r>
      <w:proofErr w:type="spellStart"/>
      <w:r w:rsidRPr="000C128D">
        <w:rPr>
          <w:rFonts w:ascii="Times New Roman" w:eastAsia="Times New Roman" w:hAnsi="Times New Roman" w:cs="Times New Roman"/>
          <w:i/>
          <w:iCs/>
          <w:sz w:val="24"/>
          <w:szCs w:val="24"/>
        </w:rPr>
        <w:t>Practera</w:t>
      </w:r>
      <w:proofErr w:type="spellEnd"/>
      <w:r w:rsidRPr="000C128D">
        <w:rPr>
          <w:rFonts w:ascii="Times New Roman" w:eastAsia="Times New Roman" w:hAnsi="Times New Roman" w:cs="Times New Roman"/>
          <w:sz w:val="24"/>
          <w:szCs w:val="24"/>
        </w:rPr>
        <w:t>, Sep. 24, 2021. https://practera.com/employability-skills/</w:t>
      </w:r>
    </w:p>
    <w:p w14:paraId="7B5D3CD2"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[4]</w:t>
      </w:r>
    </w:p>
    <w:p w14:paraId="42F332BC" w14:textId="77777777" w:rsidR="000C128D" w:rsidRPr="000C128D" w:rsidRDefault="000C128D" w:rsidP="000C128D">
      <w:pPr>
        <w:rPr>
          <w:rFonts w:ascii="Times New Roman" w:eastAsia="Times New Roman" w:hAnsi="Times New Roman" w:cs="Times New Roman"/>
          <w:sz w:val="24"/>
          <w:szCs w:val="24"/>
        </w:rPr>
      </w:pPr>
      <w:r w:rsidRPr="000C128D">
        <w:rPr>
          <w:rFonts w:ascii="Times New Roman" w:eastAsia="Times New Roman" w:hAnsi="Times New Roman" w:cs="Times New Roman"/>
          <w:sz w:val="24"/>
          <w:szCs w:val="24"/>
        </w:rPr>
        <w:t xml:space="preserve">“Why are transferable skills so important? | Michael Page UK,” </w:t>
      </w:r>
      <w:r w:rsidRPr="000C128D">
        <w:rPr>
          <w:rFonts w:ascii="Times New Roman" w:eastAsia="Times New Roman" w:hAnsi="Times New Roman" w:cs="Times New Roman"/>
          <w:i/>
          <w:iCs/>
          <w:sz w:val="24"/>
          <w:szCs w:val="24"/>
        </w:rPr>
        <w:t>Michael Page</w:t>
      </w:r>
      <w:r w:rsidRPr="000C128D">
        <w:rPr>
          <w:rFonts w:ascii="Times New Roman" w:eastAsia="Times New Roman" w:hAnsi="Times New Roman" w:cs="Times New Roman"/>
          <w:sz w:val="24"/>
          <w:szCs w:val="24"/>
        </w:rPr>
        <w:t>, 2019. https://www.michaelpage.co.uk/advice/career-advice/making-your-next-career-move/transferable-skills</w:t>
      </w:r>
    </w:p>
    <w:p w14:paraId="4D51A502" w14:textId="77777777" w:rsidR="000C128D" w:rsidRDefault="000C128D"/>
    <w:sectPr w:rsidR="000C12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A96"/>
    <w:rsid w:val="000C128D"/>
    <w:rsid w:val="00304F8F"/>
    <w:rsid w:val="003E720A"/>
    <w:rsid w:val="009C5A96"/>
    <w:rsid w:val="00A31927"/>
    <w:rsid w:val="00AD7932"/>
    <w:rsid w:val="00E9052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04D71"/>
  <w15:chartTrackingRefBased/>
  <w15:docId w15:val="{CAA48BAC-49CB-48F2-A6CD-16E5A9396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932"/>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16228">
      <w:bodyDiv w:val="1"/>
      <w:marLeft w:val="0"/>
      <w:marRight w:val="0"/>
      <w:marTop w:val="0"/>
      <w:marBottom w:val="0"/>
      <w:divBdr>
        <w:top w:val="none" w:sz="0" w:space="0" w:color="auto"/>
        <w:left w:val="none" w:sz="0" w:space="0" w:color="auto"/>
        <w:bottom w:val="none" w:sz="0" w:space="0" w:color="auto"/>
        <w:right w:val="none" w:sz="0" w:space="0" w:color="auto"/>
      </w:divBdr>
      <w:divsChild>
        <w:div w:id="1765032950">
          <w:marLeft w:val="0"/>
          <w:marRight w:val="0"/>
          <w:marTop w:val="0"/>
          <w:marBottom w:val="0"/>
          <w:divBdr>
            <w:top w:val="none" w:sz="0" w:space="0" w:color="auto"/>
            <w:left w:val="none" w:sz="0" w:space="0" w:color="auto"/>
            <w:bottom w:val="none" w:sz="0" w:space="0" w:color="auto"/>
            <w:right w:val="none" w:sz="0" w:space="0" w:color="auto"/>
          </w:divBdr>
          <w:divsChild>
            <w:div w:id="377779289">
              <w:marLeft w:val="0"/>
              <w:marRight w:val="0"/>
              <w:marTop w:val="0"/>
              <w:marBottom w:val="0"/>
              <w:divBdr>
                <w:top w:val="none" w:sz="0" w:space="0" w:color="auto"/>
                <w:left w:val="none" w:sz="0" w:space="0" w:color="auto"/>
                <w:bottom w:val="none" w:sz="0" w:space="0" w:color="auto"/>
                <w:right w:val="none" w:sz="0" w:space="0" w:color="auto"/>
              </w:divBdr>
            </w:div>
            <w:div w:id="709035488">
              <w:marLeft w:val="0"/>
              <w:marRight w:val="0"/>
              <w:marTop w:val="0"/>
              <w:marBottom w:val="0"/>
              <w:divBdr>
                <w:top w:val="none" w:sz="0" w:space="0" w:color="auto"/>
                <w:left w:val="none" w:sz="0" w:space="0" w:color="auto"/>
                <w:bottom w:val="none" w:sz="0" w:space="0" w:color="auto"/>
                <w:right w:val="none" w:sz="0" w:space="0" w:color="auto"/>
              </w:divBdr>
            </w:div>
            <w:div w:id="1892767488">
              <w:marLeft w:val="0"/>
              <w:marRight w:val="0"/>
              <w:marTop w:val="0"/>
              <w:marBottom w:val="0"/>
              <w:divBdr>
                <w:top w:val="none" w:sz="0" w:space="0" w:color="auto"/>
                <w:left w:val="none" w:sz="0" w:space="0" w:color="auto"/>
                <w:bottom w:val="none" w:sz="0" w:space="0" w:color="auto"/>
                <w:right w:val="none" w:sz="0" w:space="0" w:color="auto"/>
              </w:divBdr>
            </w:div>
            <w:div w:id="997002541">
              <w:marLeft w:val="0"/>
              <w:marRight w:val="0"/>
              <w:marTop w:val="0"/>
              <w:marBottom w:val="0"/>
              <w:divBdr>
                <w:top w:val="none" w:sz="0" w:space="0" w:color="auto"/>
                <w:left w:val="none" w:sz="0" w:space="0" w:color="auto"/>
                <w:bottom w:val="none" w:sz="0" w:space="0" w:color="auto"/>
                <w:right w:val="none" w:sz="0" w:space="0" w:color="auto"/>
              </w:divBdr>
            </w:div>
            <w:div w:id="208954350">
              <w:marLeft w:val="0"/>
              <w:marRight w:val="0"/>
              <w:marTop w:val="0"/>
              <w:marBottom w:val="0"/>
              <w:divBdr>
                <w:top w:val="none" w:sz="0" w:space="0" w:color="auto"/>
                <w:left w:val="none" w:sz="0" w:space="0" w:color="auto"/>
                <w:bottom w:val="none" w:sz="0" w:space="0" w:color="auto"/>
                <w:right w:val="none" w:sz="0" w:space="0" w:color="auto"/>
              </w:divBdr>
            </w:div>
            <w:div w:id="1076055079">
              <w:marLeft w:val="0"/>
              <w:marRight w:val="0"/>
              <w:marTop w:val="0"/>
              <w:marBottom w:val="0"/>
              <w:divBdr>
                <w:top w:val="none" w:sz="0" w:space="0" w:color="auto"/>
                <w:left w:val="none" w:sz="0" w:space="0" w:color="auto"/>
                <w:bottom w:val="none" w:sz="0" w:space="0" w:color="auto"/>
                <w:right w:val="none" w:sz="0" w:space="0" w:color="auto"/>
              </w:divBdr>
            </w:div>
            <w:div w:id="494880835">
              <w:marLeft w:val="0"/>
              <w:marRight w:val="0"/>
              <w:marTop w:val="0"/>
              <w:marBottom w:val="0"/>
              <w:divBdr>
                <w:top w:val="none" w:sz="0" w:space="0" w:color="auto"/>
                <w:left w:val="none" w:sz="0" w:space="0" w:color="auto"/>
                <w:bottom w:val="none" w:sz="0" w:space="0" w:color="auto"/>
                <w:right w:val="none" w:sz="0" w:space="0" w:color="auto"/>
              </w:divBdr>
            </w:div>
            <w:div w:id="151514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77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Euler Morais (2129382)</dc:creator>
  <cp:keywords/>
  <dc:description/>
  <cp:lastModifiedBy>Euler Morais (2129382)</cp:lastModifiedBy>
  <cp:revision>2</cp:revision>
  <dcterms:created xsi:type="dcterms:W3CDTF">2023-05-24T22:04:00Z</dcterms:created>
  <dcterms:modified xsi:type="dcterms:W3CDTF">2023-05-24T22:33:00Z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3dcfc06fa66253164e8d1c38eb0be5640e1ea7c0ceef12c5cd23ddbf5acbb33e</vt:lpwstr>
  </property>
</Properties>
</file>